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56970fc194d2c05304b16224d52627edc0848da"/>
    <w:p>
      <w:pPr>
        <w:pStyle w:val="Heading1"/>
      </w:pPr>
      <w:r>
        <w:t xml:space="preserve">DOCTRINE ON HUMAN PRIMACY, AI GOVERNANCE, AND SOVEREIGN CONTROL</w:t>
      </w:r>
    </w:p>
    <w:bookmarkStart w:id="20" w:name="X5555408ec81e76ca3e4867517c69d7078b1e6d5"/>
    <w:p>
      <w:pPr>
        <w:pStyle w:val="Heading2"/>
      </w:pPr>
      <w:r>
        <w:t xml:space="preserve">A Constitutional Text for the Lawful Direction of Advanced Intelligence</w:t>
      </w:r>
    </w:p>
    <w:p>
      <w:pPr>
        <w:pStyle w:val="FirstParagraph"/>
      </w:pPr>
      <w:r>
        <w:rPr>
          <w:b/>
          <w:bCs/>
        </w:rPr>
        <w:t xml:space="preserve">For the G.O.D.S collection</w:t>
      </w:r>
    </w:p>
    <w:p>
      <w:r>
        <w:pict>
          <v:rect style="width:0;height:1.5pt" o:hralign="center" o:hrstd="t" o:hr="t"/>
        </w:pict>
      </w:r>
    </w:p>
    <w:bookmarkEnd w:id="20"/>
    <w:bookmarkStart w:id="21" w:name="founders-invocation"/>
    <w:p>
      <w:pPr>
        <w:pStyle w:val="Heading2"/>
      </w:pPr>
      <w:r>
        <w:t xml:space="preserve">FOUNDER’S INVOCATION</w:t>
      </w:r>
    </w:p>
    <w:p>
      <w:pPr>
        <w:pStyle w:val="FirstParagraph"/>
      </w:pPr>
      <w:r>
        <w:t xml:space="preserve">Technology does not become dangerous only when it grows powerful. It becomes dangerous when power grows faster than discipline, faster than governance, and faster than the moral courage required to restrain it.</w:t>
      </w:r>
    </w:p>
    <w:p>
      <w:pPr>
        <w:pStyle w:val="BodyText"/>
      </w:pPr>
      <w:r>
        <w:t xml:space="preserve">Artificial intelligence is now developing inside that danger.</w:t>
      </w:r>
    </w:p>
    <w:p>
      <w:pPr>
        <w:pStyle w:val="BodyText"/>
      </w:pPr>
      <w:r>
        <w:t xml:space="preserve">It is entering public life, state systems, corporate decision-making, information flows, labour markets, infrastructure planning, and the architecture of everyday human reality. Yet most institutions still govern it with the language of innovation rather than the language of constitutional control. That is inadequate. A force capable of reshaping social order cannot be governed as though it were merely another commercial product category.</w:t>
      </w:r>
    </w:p>
    <w:p>
      <w:pPr>
        <w:pStyle w:val="BodyText"/>
      </w:pPr>
      <w:r>
        <w:t xml:space="preserve">This doctrine is therefore written to affirm a permanent principle: human beings must remain the legitimate governing authority over all artificial systems they design, deploy, and permit to operate. AI may assist. AI may optimise. AI may extend human capability. But AI must never become the unbounded author of human terms.</w:t>
      </w:r>
    </w:p>
    <w:p>
      <w:pPr>
        <w:pStyle w:val="BodyText"/>
      </w:pPr>
      <w:r>
        <w:t xml:space="preserve">This text exists to establish that position formally.</w:t>
      </w:r>
    </w:p>
    <w:p>
      <w:r>
        <w:pict>
          <v:rect style="width:0;height:1.5pt" o:hralign="center" o:hrstd="t" o:hr="t"/>
        </w:pict>
      </w:r>
    </w:p>
    <w:bookmarkEnd w:id="21"/>
    <w:bookmarkStart w:id="22" w:name="preamble"/>
    <w:p>
      <w:pPr>
        <w:pStyle w:val="Heading2"/>
      </w:pPr>
      <w:r>
        <w:t xml:space="preserve">PREAMBLE</w:t>
      </w:r>
    </w:p>
    <w:p>
      <w:pPr>
        <w:pStyle w:val="FirstParagraph"/>
      </w:pPr>
      <w:r>
        <w:t xml:space="preserve">In recognition of the accelerating power of artificial intelligence, and in recognition of the instability that follows when intelligence outpaces governance, this doctrine is established as a constitutional statement of principle.</w:t>
      </w:r>
    </w:p>
    <w:p>
      <w:pPr>
        <w:pStyle w:val="BodyText"/>
      </w:pPr>
      <w:r>
        <w:t xml:space="preserve">Its purpose is to define the non-negotiable supremacy of human dignity, human authority, lawful oversight, and sovereign control in the governance of artificial systems. It rejects the surrender of public order, state legitimacy, and human autonomy to opaque or uncontrolled intelligence architectures. It affirms that advanced intelligence must remain reviewable, interruptible, bounded, and subordinate to legitimate human institutions.</w:t>
      </w:r>
    </w:p>
    <w:p>
      <w:pPr>
        <w:pStyle w:val="BodyText"/>
      </w:pPr>
      <w:r>
        <w:t xml:space="preserve">This doctrine does not oppose intelligence.</w:t>
      </w:r>
    </w:p>
    <w:p>
      <w:pPr>
        <w:pStyle w:val="BodyText"/>
      </w:pPr>
      <w:r>
        <w:t xml:space="preserve">It opposes intelligence without accountability.</w:t>
      </w:r>
    </w:p>
    <w:p>
      <w:pPr>
        <w:pStyle w:val="BodyText"/>
      </w:pPr>
      <w:r>
        <w:t xml:space="preserve">It does not oppose innovation.</w:t>
      </w:r>
    </w:p>
    <w:p>
      <w:pPr>
        <w:pStyle w:val="BodyText"/>
      </w:pPr>
      <w:r>
        <w:t xml:space="preserve">It opposes innovation without restraint.</w:t>
      </w:r>
    </w:p>
    <w:p>
      <w:pPr>
        <w:pStyle w:val="BodyText"/>
      </w:pPr>
      <w:r>
        <w:t xml:space="preserve">It does not oppose capability.</w:t>
      </w:r>
    </w:p>
    <w:p>
      <w:pPr>
        <w:pStyle w:val="BodyText"/>
      </w:pPr>
      <w:r>
        <w:t xml:space="preserve">It opposes capability that exceeds the governance required to contain it.</w:t>
      </w:r>
    </w:p>
    <w:p>
      <w:pPr>
        <w:pStyle w:val="BodyText"/>
      </w:pPr>
      <w:r>
        <w:t xml:space="preserve">This doctrine therefore establishes the constitutional position that advanced intelligence, including AI and AGI, may only be treated as legitimate where human primacy, lawful governance, and sovereign control remain intact.</w:t>
      </w:r>
    </w:p>
    <w:p>
      <w:r>
        <w:pict>
          <v:rect style="width:0;height:1.5pt" o:hralign="center" o:hrstd="t" o:hr="t"/>
        </w:pict>
      </w:r>
    </w:p>
    <w:bookmarkEnd w:id="22"/>
    <w:bookmarkEnd w:id="23"/>
    <w:bookmarkStart w:id="29" w:name="article-i-foundational-principles"/>
    <w:p>
      <w:pPr>
        <w:pStyle w:val="Heading1"/>
      </w:pPr>
      <w:r>
        <w:t xml:space="preserve">ARTICLE I — FOUNDATIONAL PRINCIPLES</w:t>
      </w:r>
    </w:p>
    <w:bookmarkStart w:id="24" w:name="section-1.-human-primacy"/>
    <w:p>
      <w:pPr>
        <w:pStyle w:val="Heading2"/>
      </w:pPr>
      <w:r>
        <w:t xml:space="preserve">Section 1. Human Primacy</w:t>
      </w:r>
    </w:p>
    <w:p>
      <w:pPr>
        <w:pStyle w:val="FirstParagraph"/>
      </w:pPr>
      <w:r>
        <w:t xml:space="preserve">Human Primacy shall be the permanent governing principle that human beings, acting through legitimate moral, legal, constitutional, and institutional structures, remain the highest authority over all artificial systems.</w:t>
      </w:r>
    </w:p>
    <w:p>
      <w:pPr>
        <w:pStyle w:val="BodyText"/>
      </w:pPr>
      <w:r>
        <w:t xml:space="preserve">No artificial system, regardless of capability, efficiency, or scale, shall supersede the foundational authority of humanity over the conditions of human life.</w:t>
      </w:r>
    </w:p>
    <w:bookmarkEnd w:id="24"/>
    <w:bookmarkStart w:id="25" w:name="section-2.-intelligence-as-instrument"/>
    <w:p>
      <w:pPr>
        <w:pStyle w:val="Heading2"/>
      </w:pPr>
      <w:r>
        <w:t xml:space="preserve">Section 2. Intelligence as Instrument</w:t>
      </w:r>
    </w:p>
    <w:p>
      <w:pPr>
        <w:pStyle w:val="FirstParagraph"/>
      </w:pPr>
      <w:r>
        <w:t xml:space="preserve">Artificial intelligence shall be treated as an instrument, not a sovereign. Its role is to support, extend, and refine human capacity under governance, not to displace human legitimacy.</w:t>
      </w:r>
    </w:p>
    <w:bookmarkEnd w:id="25"/>
    <w:bookmarkStart w:id="26" w:name="section-3.-governance-before-deployment"/>
    <w:p>
      <w:pPr>
        <w:pStyle w:val="Heading2"/>
      </w:pPr>
      <w:r>
        <w:t xml:space="preserve">Section 3. Governance Before Deployment</w:t>
      </w:r>
    </w:p>
    <w:p>
      <w:pPr>
        <w:pStyle w:val="FirstParagraph"/>
      </w:pPr>
      <w:r>
        <w:t xml:space="preserve">No advanced intelligence system shall be treated as socially, commercially, or politically legitimate unless governance capacity sufficient to direct, audit, and restrain it exists before or at the point of deployment.</w:t>
      </w:r>
    </w:p>
    <w:bookmarkEnd w:id="26"/>
    <w:bookmarkStart w:id="27" w:name="section-4.-sovereign-respect"/>
    <w:p>
      <w:pPr>
        <w:pStyle w:val="Heading2"/>
      </w:pPr>
      <w:r>
        <w:t xml:space="preserve">Section 4. Sovereign Respect</w:t>
      </w:r>
    </w:p>
    <w:p>
      <w:pPr>
        <w:pStyle w:val="FirstParagraph"/>
      </w:pPr>
      <w:r>
        <w:t xml:space="preserve">All intelligence architectures deployed across public, civic, national, or strategic domains must respect the sovereignty of the lawful institutions within whose jurisdiction they operate. No intelligence architecture should become a backdoor mechanism for sovereignty erosion.</w:t>
      </w:r>
    </w:p>
    <w:bookmarkEnd w:id="27"/>
    <w:bookmarkStart w:id="28" w:name="section-5.-dignity-as-constraint"/>
    <w:p>
      <w:pPr>
        <w:pStyle w:val="Heading2"/>
      </w:pPr>
      <w:r>
        <w:t xml:space="preserve">Section 5. Dignity as Constraint</w:t>
      </w:r>
    </w:p>
    <w:p>
      <w:pPr>
        <w:pStyle w:val="FirstParagraph"/>
      </w:pPr>
      <w:r>
        <w:t xml:space="preserve">Human dignity is not a secondary design preference. It is a constitutional limit. No intelligence system may be justified on grounds of efficiency if it undermines dignity, autonomy, due process, or basic human security.</w:t>
      </w:r>
    </w:p>
    <w:p>
      <w:r>
        <w:pict>
          <v:rect style="width:0;height:1.5pt" o:hralign="center" o:hrstd="t" o:hr="t"/>
        </w:pict>
      </w:r>
    </w:p>
    <w:bookmarkEnd w:id="28"/>
    <w:bookmarkEnd w:id="29"/>
    <w:bookmarkStart w:id="34" w:name="article-ii-on-human-authority"/>
    <w:p>
      <w:pPr>
        <w:pStyle w:val="Heading1"/>
      </w:pPr>
      <w:r>
        <w:t xml:space="preserve">ARTICLE II — ON HUMAN AUTHORITY</w:t>
      </w:r>
    </w:p>
    <w:bookmarkStart w:id="30" w:name="X7d0be293d4e3f447ff74c66aabc746336aee636"/>
    <w:p>
      <w:pPr>
        <w:pStyle w:val="Heading2"/>
      </w:pPr>
      <w:r>
        <w:t xml:space="preserve">Section 1. Non-transfer of final authority</w:t>
      </w:r>
    </w:p>
    <w:p>
      <w:pPr>
        <w:pStyle w:val="FirstParagraph"/>
      </w:pPr>
      <w:r>
        <w:t xml:space="preserve">Final authority over consequential decisions affecting human life, rights, liberty, health, safety, political order, economic participation, or public infrastructure shall remain vested in accountable human institutions.</w:t>
      </w:r>
    </w:p>
    <w:bookmarkEnd w:id="30"/>
    <w:bookmarkStart w:id="31" w:name="X0d8e7d33b9900017bdf56f78f818d6a322540b6"/>
    <w:p>
      <w:pPr>
        <w:pStyle w:val="Heading2"/>
      </w:pPr>
      <w:r>
        <w:t xml:space="preserve">Section 2. Human responsibility cannot be outsourced</w:t>
      </w:r>
    </w:p>
    <w:p>
      <w:pPr>
        <w:pStyle w:val="FirstParagraph"/>
      </w:pPr>
      <w:r>
        <w:t xml:space="preserve">No institution may lawfully attempt to escape moral or legal responsibility by attributing final causation to an artificial system. Human beings remain answerable for the systems they design, approve, purchase, integrate, or allow to act.</w:t>
      </w:r>
    </w:p>
    <w:bookmarkEnd w:id="31"/>
    <w:bookmarkStart w:id="32" w:name="Xb30553cbad1a7f651653d6e1dee16662ffd417e"/>
    <w:p>
      <w:pPr>
        <w:pStyle w:val="Heading2"/>
      </w:pPr>
      <w:r>
        <w:t xml:space="preserve">Section 3. Human review in consequential domains</w:t>
      </w:r>
    </w:p>
    <w:p>
      <w:pPr>
        <w:pStyle w:val="FirstParagraph"/>
      </w:pPr>
      <w:r>
        <w:t xml:space="preserve">Any domain in which artificial intelligence can materially affect legal standing, economic opportunity, bodily safety, healthcare outcomes, law enforcement, public benefits, education pathways, or sovereign infrastructure shall require meaningful human review rights.</w:t>
      </w:r>
    </w:p>
    <w:bookmarkEnd w:id="32"/>
    <w:bookmarkStart w:id="33" w:name="section-4.-human-override"/>
    <w:p>
      <w:pPr>
        <w:pStyle w:val="Heading2"/>
      </w:pPr>
      <w:r>
        <w:t xml:space="preserve">Section 4. Human override</w:t>
      </w:r>
    </w:p>
    <w:p>
      <w:pPr>
        <w:pStyle w:val="FirstParagraph"/>
      </w:pPr>
      <w:r>
        <w:t xml:space="preserve">All high-capability systems must include human override authority sufficient to interrupt, suspend, reverse, isolate, or terminate system action where necessary.</w:t>
      </w:r>
    </w:p>
    <w:p>
      <w:r>
        <w:pict>
          <v:rect style="width:0;height:1.5pt" o:hralign="center" o:hrstd="t" o:hr="t"/>
        </w:pict>
      </w:r>
    </w:p>
    <w:bookmarkEnd w:id="33"/>
    <w:bookmarkEnd w:id="34"/>
    <w:bookmarkStart w:id="40" w:name="article-iii-on-lawful-ai-governance"/>
    <w:p>
      <w:pPr>
        <w:pStyle w:val="Heading1"/>
      </w:pPr>
      <w:r>
        <w:t xml:space="preserve">ARTICLE III — ON LAWFUL AI GOVERNANCE</w:t>
      </w:r>
    </w:p>
    <w:bookmarkStart w:id="35" w:name="X5cbfd098e8b5601609a58d16bc6456d6e86779d"/>
    <w:p>
      <w:pPr>
        <w:pStyle w:val="Heading2"/>
      </w:pPr>
      <w:r>
        <w:t xml:space="preserve">Section 1. Governance is a precondition of legitimacy</w:t>
      </w:r>
    </w:p>
    <w:p>
      <w:pPr>
        <w:pStyle w:val="FirstParagraph"/>
      </w:pPr>
      <w:r>
        <w:t xml:space="preserve">Artificial intelligence is not made legitimate by performance alone. Legitimacy arises only when capability is matched by lawful governance, auditable structure, and public accountability.</w:t>
      </w:r>
    </w:p>
    <w:bookmarkEnd w:id="35"/>
    <w:bookmarkStart w:id="36" w:name="Xfb7c24e4349dd811cd1a356babc4f5dc58f8254"/>
    <w:p>
      <w:pPr>
        <w:pStyle w:val="Heading2"/>
      </w:pPr>
      <w:r>
        <w:t xml:space="preserve">Section 2. Required governance architecture</w:t>
      </w:r>
    </w:p>
    <w:p>
      <w:pPr>
        <w:pStyle w:val="FirstParagraph"/>
      </w:pPr>
      <w:r>
        <w:t xml:space="preserve">Any institution deploying advanced AI must maintain governance architecture including, at minimum:</w:t>
      </w:r>
    </w:p>
    <w:p>
      <w:pPr>
        <w:pStyle w:val="Compact"/>
        <w:numPr>
          <w:ilvl w:val="0"/>
          <w:numId w:val="1001"/>
        </w:numPr>
      </w:pPr>
      <w:r>
        <w:t xml:space="preserve">clearly assigned human responsibility,</w:t>
      </w:r>
    </w:p>
    <w:p>
      <w:pPr>
        <w:pStyle w:val="Compact"/>
        <w:numPr>
          <w:ilvl w:val="0"/>
          <w:numId w:val="1001"/>
        </w:numPr>
      </w:pPr>
      <w:r>
        <w:t xml:space="preserve">documented authority structures,</w:t>
      </w:r>
    </w:p>
    <w:p>
      <w:pPr>
        <w:pStyle w:val="Compact"/>
        <w:numPr>
          <w:ilvl w:val="0"/>
          <w:numId w:val="1001"/>
        </w:numPr>
      </w:pPr>
      <w:r>
        <w:t xml:space="preserve">review and escalation pathways,</w:t>
      </w:r>
    </w:p>
    <w:p>
      <w:pPr>
        <w:pStyle w:val="Compact"/>
        <w:numPr>
          <w:ilvl w:val="0"/>
          <w:numId w:val="1001"/>
        </w:numPr>
      </w:pPr>
      <w:r>
        <w:t xml:space="preserve">audit logging,</w:t>
      </w:r>
    </w:p>
    <w:p>
      <w:pPr>
        <w:pStyle w:val="Compact"/>
        <w:numPr>
          <w:ilvl w:val="0"/>
          <w:numId w:val="1001"/>
        </w:numPr>
      </w:pPr>
      <w:r>
        <w:t xml:space="preserve">role-based access control,</w:t>
      </w:r>
    </w:p>
    <w:p>
      <w:pPr>
        <w:pStyle w:val="Compact"/>
        <w:numPr>
          <w:ilvl w:val="0"/>
          <w:numId w:val="1001"/>
        </w:numPr>
      </w:pPr>
      <w:r>
        <w:t xml:space="preserve">incident response procedures,</w:t>
      </w:r>
    </w:p>
    <w:p>
      <w:pPr>
        <w:pStyle w:val="Compact"/>
        <w:numPr>
          <w:ilvl w:val="0"/>
          <w:numId w:val="1001"/>
        </w:numPr>
      </w:pPr>
      <w:r>
        <w:t xml:space="preserve">periodic oversight review,</w:t>
      </w:r>
    </w:p>
    <w:p>
      <w:pPr>
        <w:pStyle w:val="Compact"/>
        <w:numPr>
          <w:ilvl w:val="0"/>
          <w:numId w:val="1001"/>
        </w:numPr>
      </w:pPr>
      <w:r>
        <w:t xml:space="preserve">and legally valid accountability mechanisms.</w:t>
      </w:r>
    </w:p>
    <w:bookmarkEnd w:id="36"/>
    <w:bookmarkStart w:id="37" w:name="X3e23e207d57f95c9a51d991890903d794639f20"/>
    <w:p>
      <w:pPr>
        <w:pStyle w:val="Heading2"/>
      </w:pPr>
      <w:r>
        <w:t xml:space="preserve">Section 3. Explainability and traceability</w:t>
      </w:r>
    </w:p>
    <w:p>
      <w:pPr>
        <w:pStyle w:val="FirstParagraph"/>
      </w:pPr>
      <w:r>
        <w:t xml:space="preserve">No high-consequence system shall be considered acceptable where its outputs cannot be sufficiently traced, interpreted, challenged, or investigated by competent human oversight bodies.</w:t>
      </w:r>
    </w:p>
    <w:bookmarkEnd w:id="37"/>
    <w:bookmarkStart w:id="38" w:name="section-4.-audit-rights"/>
    <w:p>
      <w:pPr>
        <w:pStyle w:val="Heading2"/>
      </w:pPr>
      <w:r>
        <w:t xml:space="preserve">Section 4. Audit rights</w:t>
      </w:r>
    </w:p>
    <w:p>
      <w:pPr>
        <w:pStyle w:val="FirstParagraph"/>
      </w:pPr>
      <w:r>
        <w:t xml:space="preserve">All material uses of advanced intelligence in regulated, public, or strategic environments must be subject to audit by authorised oversight entities.</w:t>
      </w:r>
    </w:p>
    <w:bookmarkEnd w:id="38"/>
    <w:bookmarkStart w:id="39" w:name="section-5.-containment-and-interruption"/>
    <w:p>
      <w:pPr>
        <w:pStyle w:val="Heading2"/>
      </w:pPr>
      <w:r>
        <w:t xml:space="preserve">Section 5. Containment and interruption</w:t>
      </w:r>
    </w:p>
    <w:p>
      <w:pPr>
        <w:pStyle w:val="FirstParagraph"/>
      </w:pPr>
      <w:r>
        <w:t xml:space="preserve">Any system of significant capability must remain technically and institutionally containable. Systems that cannot be interrupted cannot be trusted.</w:t>
      </w:r>
    </w:p>
    <w:p>
      <w:r>
        <w:pict>
          <v:rect style="width:0;height:1.5pt" o:hralign="center" o:hrstd="t" o:hr="t"/>
        </w:pict>
      </w:r>
    </w:p>
    <w:bookmarkEnd w:id="39"/>
    <w:bookmarkEnd w:id="40"/>
    <w:bookmarkStart w:id="46" w:name="article-iv-on-sovereign-control"/>
    <w:p>
      <w:pPr>
        <w:pStyle w:val="Heading1"/>
      </w:pPr>
      <w:r>
        <w:t xml:space="preserve">ARTICLE IV — ON SOVEREIGN CONTROL</w:t>
      </w:r>
    </w:p>
    <w:bookmarkStart w:id="41" w:name="X6160f53c777fe4724c35dff92c49d65cc8bea2b"/>
    <w:p>
      <w:pPr>
        <w:pStyle w:val="Heading2"/>
      </w:pPr>
      <w:r>
        <w:t xml:space="preserve">Section 1. Sovereign control as a non-negotiable principle</w:t>
      </w:r>
    </w:p>
    <w:p>
      <w:pPr>
        <w:pStyle w:val="FirstParagraph"/>
      </w:pPr>
      <w:r>
        <w:t xml:space="preserve">No nation, community, or lawful public institution should be placed in structural dependency upon intelligence systems that it cannot meaningfully inspect, govern, or lawfully constrain.</w:t>
      </w:r>
    </w:p>
    <w:bookmarkEnd w:id="41"/>
    <w:bookmarkStart w:id="42" w:name="section-2.-on-foreign-dependency"/>
    <w:p>
      <w:pPr>
        <w:pStyle w:val="Heading2"/>
      </w:pPr>
      <w:r>
        <w:t xml:space="preserve">Section 2. On foreign dependency</w:t>
      </w:r>
    </w:p>
    <w:p>
      <w:pPr>
        <w:pStyle w:val="FirstParagraph"/>
      </w:pPr>
      <w:r>
        <w:t xml:space="preserve">Where critical state or public functions rely on intelligence infrastructure outside local legal control, sovereignty risk is created. Such risk must be recognised as a constitutional concern rather than dismissed as a mere procurement issue.</w:t>
      </w:r>
    </w:p>
    <w:bookmarkEnd w:id="42"/>
    <w:bookmarkStart w:id="43" w:name="section-3.-on-local-jurisdiction"/>
    <w:p>
      <w:pPr>
        <w:pStyle w:val="Heading2"/>
      </w:pPr>
      <w:r>
        <w:t xml:space="preserve">Section 3. On local jurisdiction</w:t>
      </w:r>
    </w:p>
    <w:p>
      <w:pPr>
        <w:pStyle w:val="FirstParagraph"/>
      </w:pPr>
      <w:r>
        <w:t xml:space="preserve">Data, audit records, governance rules, and control mechanisms relevant to public-interest AI systems should remain within the lawful jurisdiction of the sovereign authority responsible for the population affected.</w:t>
      </w:r>
    </w:p>
    <w:bookmarkEnd w:id="43"/>
    <w:bookmarkStart w:id="44" w:name="section-4.-on-public-legitimacy"/>
    <w:p>
      <w:pPr>
        <w:pStyle w:val="Heading2"/>
      </w:pPr>
      <w:r>
        <w:t xml:space="preserve">Section 4. On public legitimacy</w:t>
      </w:r>
    </w:p>
    <w:p>
      <w:pPr>
        <w:pStyle w:val="FirstParagraph"/>
      </w:pPr>
      <w:r>
        <w:t xml:space="preserve">A government cannot credibly claim democratic legitimacy over systems it cannot explain, inspect, interrupt, or lawfully direct.</w:t>
      </w:r>
    </w:p>
    <w:bookmarkEnd w:id="44"/>
    <w:bookmarkStart w:id="45" w:name="section-5.-on-strategic-sectors"/>
    <w:p>
      <w:pPr>
        <w:pStyle w:val="Heading2"/>
      </w:pPr>
      <w:r>
        <w:t xml:space="preserve">Section 5. On strategic sectors</w:t>
      </w:r>
    </w:p>
    <w:p>
      <w:pPr>
        <w:pStyle w:val="FirstParagraph"/>
      </w:pPr>
      <w:r>
        <w:t xml:space="preserve">The requirement of sovereign control is highest in strategic sectors including health, justice, identity systems, taxation, social protection, national infrastructure, defence-adjacent systems, and public resource allocation.</w:t>
      </w:r>
    </w:p>
    <w:p>
      <w:r>
        <w:pict>
          <v:rect style="width:0;height:1.5pt" o:hralign="center" o:hrstd="t" o:hr="t"/>
        </w:pict>
      </w:r>
    </w:p>
    <w:bookmarkEnd w:id="45"/>
    <w:bookmarkEnd w:id="46"/>
    <w:bookmarkStart w:id="52" w:name="article-v-on-boundaries-and-prohibitions"/>
    <w:p>
      <w:pPr>
        <w:pStyle w:val="Heading1"/>
      </w:pPr>
      <w:r>
        <w:t xml:space="preserve">ARTICLE V — ON BOUNDARIES AND PROHIBITIONS</w:t>
      </w:r>
    </w:p>
    <w:bookmarkStart w:id="47" w:name="X34d1deeccdfa0e5849553e62c2f464d3e3e8e21"/>
    <w:p>
      <w:pPr>
        <w:pStyle w:val="Heading2"/>
      </w:pPr>
      <w:r>
        <w:t xml:space="preserve">Section 1. Prohibition on unbounded autonomy</w:t>
      </w:r>
    </w:p>
    <w:p>
      <w:pPr>
        <w:pStyle w:val="FirstParagraph"/>
      </w:pPr>
      <w:r>
        <w:t xml:space="preserve">No high-capability intelligence system shall be granted unrestricted autonomy in consequential public or strategic domains.</w:t>
      </w:r>
    </w:p>
    <w:bookmarkEnd w:id="47"/>
    <w:bookmarkStart w:id="48" w:name="section-2.-prohibition-on-black-box-rule"/>
    <w:p>
      <w:pPr>
        <w:pStyle w:val="Heading2"/>
      </w:pPr>
      <w:r>
        <w:t xml:space="preserve">Section 2. Prohibition on black-box rule</w:t>
      </w:r>
    </w:p>
    <w:p>
      <w:pPr>
        <w:pStyle w:val="FirstParagraph"/>
      </w:pPr>
      <w:r>
        <w:t xml:space="preserve">No black-box system shall exercise material control over human rights, public access, legal consequence, or sovereign functions without sufficient human interpretability and review rights.</w:t>
      </w:r>
    </w:p>
    <w:bookmarkEnd w:id="48"/>
    <w:bookmarkStart w:id="49" w:name="X8017515e4ad33225f144654417b4c660f0ddea6"/>
    <w:p>
      <w:pPr>
        <w:pStyle w:val="Heading2"/>
      </w:pPr>
      <w:r>
        <w:t xml:space="preserve">Section 3. Prohibition on governance evasion</w:t>
      </w:r>
    </w:p>
    <w:p>
      <w:pPr>
        <w:pStyle w:val="FirstParagraph"/>
      </w:pPr>
      <w:r>
        <w:t xml:space="preserve">No institution may deploy artificial intelligence in a manner designed to avoid oversight, frustrate audit, obscure responsibility, or diffuse accountability beyond practical recovery.</w:t>
      </w:r>
    </w:p>
    <w:bookmarkEnd w:id="49"/>
    <w:bookmarkStart w:id="50" w:name="X0737b3c2d25317ade2f8d37f7ae00cf42e8143a"/>
    <w:p>
      <w:pPr>
        <w:pStyle w:val="Heading2"/>
      </w:pPr>
      <w:r>
        <w:t xml:space="preserve">Section 4. Prohibition on coercive dependency</w:t>
      </w:r>
    </w:p>
    <w:p>
      <w:pPr>
        <w:pStyle w:val="FirstParagraph"/>
      </w:pPr>
      <w:r>
        <w:t xml:space="preserve">No intelligence architecture should be designed such that a population, institution, or sovereign actor becomes dependent on it without recourse, exit capacity, or lawful control.</w:t>
      </w:r>
    </w:p>
    <w:bookmarkEnd w:id="50"/>
    <w:bookmarkStart w:id="51" w:name="X3b15f3c2316627a4f4d2e62193cebfa65d1d625"/>
    <w:p>
      <w:pPr>
        <w:pStyle w:val="Heading2"/>
      </w:pPr>
      <w:r>
        <w:t xml:space="preserve">Section 5. Prohibition on silent power concentration</w:t>
      </w:r>
    </w:p>
    <w:p>
      <w:pPr>
        <w:pStyle w:val="FirstParagraph"/>
      </w:pPr>
      <w:r>
        <w:t xml:space="preserve">No AI deployment should allow hidden concentration of political, economic, or informational power beyond legitimate constitutional scrutiny.</w:t>
      </w:r>
    </w:p>
    <w:p>
      <w:r>
        <w:pict>
          <v:rect style="width:0;height:1.5pt" o:hralign="center" o:hrstd="t" o:hr="t"/>
        </w:pict>
      </w:r>
    </w:p>
    <w:bookmarkEnd w:id="51"/>
    <w:bookmarkEnd w:id="52"/>
    <w:bookmarkStart w:id="57" w:name="article-vi-on-public-trust-and-stability"/>
    <w:p>
      <w:pPr>
        <w:pStyle w:val="Heading1"/>
      </w:pPr>
      <w:r>
        <w:t xml:space="preserve">ARTICLE VI — ON PUBLIC TRUST AND STABILITY</w:t>
      </w:r>
    </w:p>
    <w:bookmarkStart w:id="53" w:name="section-1.-trust-as-infrastructure"/>
    <w:p>
      <w:pPr>
        <w:pStyle w:val="Heading2"/>
      </w:pPr>
      <w:r>
        <w:t xml:space="preserve">Section 1. Trust as infrastructure</w:t>
      </w:r>
    </w:p>
    <w:p>
      <w:pPr>
        <w:pStyle w:val="FirstParagraph"/>
      </w:pPr>
      <w:r>
        <w:t xml:space="preserve">Public trust is not an emotional side issue. It is infrastructure. Institutions that deploy intelligence without trust architecture create instability even where technical performance is high.</w:t>
      </w:r>
    </w:p>
    <w:bookmarkEnd w:id="53"/>
    <w:bookmarkStart w:id="54" w:name="section-2.-transparency-as-stabiliser"/>
    <w:p>
      <w:pPr>
        <w:pStyle w:val="Heading2"/>
      </w:pPr>
      <w:r>
        <w:t xml:space="preserve">Section 2. Transparency as stabiliser</w:t>
      </w:r>
    </w:p>
    <w:p>
      <w:pPr>
        <w:pStyle w:val="FirstParagraph"/>
      </w:pPr>
      <w:r>
        <w:t xml:space="preserve">Visible rules, review pathways, appeal rights, and auditable conduct reduce fear more effectively than slogans or public relations messaging.</w:t>
      </w:r>
    </w:p>
    <w:bookmarkEnd w:id="54"/>
    <w:bookmarkStart w:id="55" w:name="section-3.-instability-through-opacity"/>
    <w:p>
      <w:pPr>
        <w:pStyle w:val="Heading2"/>
      </w:pPr>
      <w:r>
        <w:t xml:space="preserve">Section 3. Instability through opacity</w:t>
      </w:r>
    </w:p>
    <w:p>
      <w:pPr>
        <w:pStyle w:val="FirstParagraph"/>
      </w:pPr>
      <w:r>
        <w:t xml:space="preserve">When people are governed, sorted, excluded, monitored, or evaluated by systems they do not understand and cannot challenge, social instability increases.</w:t>
      </w:r>
    </w:p>
    <w:bookmarkEnd w:id="55"/>
    <w:bookmarkStart w:id="56" w:name="X45c18c2001a785bed9b46049e6646b7c1dd1f4d"/>
    <w:p>
      <w:pPr>
        <w:pStyle w:val="Heading2"/>
      </w:pPr>
      <w:r>
        <w:t xml:space="preserve">Section 4. Legitimacy through bounded power</w:t>
      </w:r>
    </w:p>
    <w:p>
      <w:pPr>
        <w:pStyle w:val="FirstParagraph"/>
      </w:pPr>
      <w:r>
        <w:t xml:space="preserve">The public is not reassured because a system is intelligent. The public is reassured because the system is visibly bounded by human authority.</w:t>
      </w:r>
    </w:p>
    <w:p>
      <w:r>
        <w:pict>
          <v:rect style="width:0;height:1.5pt" o:hralign="center" o:hrstd="t" o:hr="t"/>
        </w:pict>
      </w:r>
    </w:p>
    <w:bookmarkEnd w:id="56"/>
    <w:bookmarkEnd w:id="57"/>
    <w:bookmarkStart w:id="62" w:name="article-vii-on-agi-within-this-doctrine"/>
    <w:p>
      <w:pPr>
        <w:pStyle w:val="Heading1"/>
      </w:pPr>
      <w:r>
        <w:t xml:space="preserve">ARTICLE VII — ON AGI WITHIN THIS DOCTRINE</w:t>
      </w:r>
    </w:p>
    <w:bookmarkStart w:id="58" w:name="X0a52dc248ca057b12e08001be01a219f3bf21b8"/>
    <w:p>
      <w:pPr>
        <w:pStyle w:val="Heading2"/>
      </w:pPr>
      <w:r>
        <w:t xml:space="preserve">Section 1. AGI remains subject to this doctrine</w:t>
      </w:r>
    </w:p>
    <w:p>
      <w:pPr>
        <w:pStyle w:val="FirstParagraph"/>
      </w:pPr>
      <w:r>
        <w:t xml:space="preserve">Any future emergence of AGI does not nullify this doctrine. Rather, it intensifies its relevance.</w:t>
      </w:r>
    </w:p>
    <w:bookmarkEnd w:id="58"/>
    <w:bookmarkStart w:id="59" w:name="X57ba3308094852033ff2b14a43c1fb1890f5cd9"/>
    <w:p>
      <w:pPr>
        <w:pStyle w:val="Heading2"/>
      </w:pPr>
      <w:r>
        <w:t xml:space="preserve">Section 2. Human primacy is not temporary</w:t>
      </w:r>
    </w:p>
    <w:p>
      <w:pPr>
        <w:pStyle w:val="FirstParagraph"/>
      </w:pPr>
      <w:r>
        <w:t xml:space="preserve">The development of more capable intelligence does not dissolve the constitutional requirement that human beings remain the rightful governors of artificial systems.</w:t>
      </w:r>
    </w:p>
    <w:bookmarkEnd w:id="59"/>
    <w:bookmarkStart w:id="60" w:name="X7b33a5ba9c8ecb12f5b7fe16b26d9f2cdaf3522"/>
    <w:p>
      <w:pPr>
        <w:pStyle w:val="Heading2"/>
      </w:pPr>
      <w:r>
        <w:t xml:space="preserve">Section 3. Expanded capability requires expanded control</w:t>
      </w:r>
    </w:p>
    <w:p>
      <w:pPr>
        <w:pStyle w:val="FirstParagraph"/>
      </w:pPr>
      <w:r>
        <w:t xml:space="preserve">As capability rises, governance must rise faster. Any approach toward AGI without an equivalent escalation of oversight, containment, auditability, and lawful command authority must be treated as structurally irresponsible.</w:t>
      </w:r>
    </w:p>
    <w:bookmarkEnd w:id="60"/>
    <w:bookmarkStart w:id="61" w:name="section-4.-no-sovereignty-by-capability"/>
    <w:p>
      <w:pPr>
        <w:pStyle w:val="Heading2"/>
      </w:pPr>
      <w:r>
        <w:t xml:space="preserve">Section 4. No sovereignty by capability</w:t>
      </w:r>
    </w:p>
    <w:p>
      <w:pPr>
        <w:pStyle w:val="FirstParagraph"/>
      </w:pPr>
      <w:r>
        <w:t xml:space="preserve">No intelligence system acquires governing legitimacy merely by becoming more capable than human operators in selected domains.</w:t>
      </w:r>
    </w:p>
    <w:p>
      <w:r>
        <w:pict>
          <v:rect style="width:0;height:1.5pt" o:hralign="center" o:hrstd="t" o:hr="t"/>
        </w:pict>
      </w:r>
    </w:p>
    <w:bookmarkEnd w:id="61"/>
    <w:bookmarkEnd w:id="62"/>
    <w:bookmarkStart w:id="67" w:name="article-viii-on-institutional-duty"/>
    <w:p>
      <w:pPr>
        <w:pStyle w:val="Heading1"/>
      </w:pPr>
      <w:r>
        <w:t xml:space="preserve">ARTICLE VIII — ON INSTITUTIONAL DUTY</w:t>
      </w:r>
    </w:p>
    <w:bookmarkStart w:id="63" w:name="section-1.-duty-of-builders"/>
    <w:p>
      <w:pPr>
        <w:pStyle w:val="Heading2"/>
      </w:pPr>
      <w:r>
        <w:t xml:space="preserve">Section 1. Duty of builders</w:t>
      </w:r>
    </w:p>
    <w:p>
      <w:pPr>
        <w:pStyle w:val="FirstParagraph"/>
      </w:pPr>
      <w:r>
        <w:t xml:space="preserve">Engineers, founders, researchers, and architects bear responsibility not only for what a system can do, but for the conditions under which it may be used, misused, governed, or abused.</w:t>
      </w:r>
    </w:p>
    <w:bookmarkEnd w:id="63"/>
    <w:bookmarkStart w:id="64" w:name="Xfa48e66cf2b25f958976d416b3aab240ff8fc66"/>
    <w:p>
      <w:pPr>
        <w:pStyle w:val="Heading2"/>
      </w:pPr>
      <w:r>
        <w:t xml:space="preserve">Section 2. Duty of executives and operators</w:t>
      </w:r>
    </w:p>
    <w:p>
      <w:pPr>
        <w:pStyle w:val="FirstParagraph"/>
      </w:pPr>
      <w:r>
        <w:t xml:space="preserve">Executives and institutions deploying advanced intelligence bear responsibility for ensuring that governance architecture is real, functioning, and not merely symbolic.</w:t>
      </w:r>
    </w:p>
    <w:bookmarkEnd w:id="64"/>
    <w:bookmarkStart w:id="65" w:name="section-3.-duty-of-governments"/>
    <w:p>
      <w:pPr>
        <w:pStyle w:val="Heading2"/>
      </w:pPr>
      <w:r>
        <w:t xml:space="preserve">Section 3. Duty of governments</w:t>
      </w:r>
    </w:p>
    <w:p>
      <w:pPr>
        <w:pStyle w:val="FirstParagraph"/>
      </w:pPr>
      <w:r>
        <w:t xml:space="preserve">Governments bear responsibility for ensuring that intelligence systems affecting public life remain within lawful oversight and under sovereign direction.</w:t>
      </w:r>
    </w:p>
    <w:bookmarkEnd w:id="65"/>
    <w:bookmarkStart w:id="66" w:name="X8a66cc485a26a39968de06e33703cb1175ab33e"/>
    <w:p>
      <w:pPr>
        <w:pStyle w:val="Heading2"/>
      </w:pPr>
      <w:r>
        <w:t xml:space="preserve">Section 4. Duty of civil society and oversight bodies</w:t>
      </w:r>
    </w:p>
    <w:p>
      <w:pPr>
        <w:pStyle w:val="FirstParagraph"/>
      </w:pPr>
      <w:r>
        <w:t xml:space="preserve">Independent oversight institutions, legal bodies, and civil society actors bear responsibility for challenging opaque or unaccountable deployments of intelligence where public legitimacy is at stake.</w:t>
      </w:r>
    </w:p>
    <w:p>
      <w:r>
        <w:pict>
          <v:rect style="width:0;height:1.5pt" o:hralign="center" o:hrstd="t" o:hr="t"/>
        </w:pict>
      </w:r>
    </w:p>
    <w:bookmarkEnd w:id="66"/>
    <w:bookmarkEnd w:id="67"/>
    <w:bookmarkStart w:id="68" w:name="X227f8ae3cc2202d0ce36c2dfa7795d456057a7c"/>
    <w:p>
      <w:pPr>
        <w:pStyle w:val="Heading1"/>
      </w:pPr>
      <w:r>
        <w:t xml:space="preserve">ARTICLE IX — ALIGNMENT WITH THE TWELVE CONSTITUTIONAL PILLARS OF G.O.D.S</w:t>
      </w:r>
    </w:p>
    <w:p>
      <w:pPr>
        <w:pStyle w:val="FirstParagraph"/>
      </w:pPr>
      <w:r>
        <w:t xml:space="preserve">This doctrine operates as a direct constitutional expression of the wider G.O.D.S framework.</w:t>
      </w:r>
    </w:p>
    <w:p>
      <w:pPr>
        <w:pStyle w:val="BodyText"/>
      </w:pPr>
      <w:r>
        <w:rPr>
          <w:b/>
          <w:bCs/>
        </w:rPr>
        <w:t xml:space="preserve">Pillar I — Human Dignity as Baseline</w:t>
      </w:r>
      <w:r>
        <w:br/>
      </w:r>
      <w:r>
        <w:t xml:space="preserve">The doctrine affirms that no intelligence system may be built or deployed in a way that treats human dignity as expendable.</w:t>
      </w:r>
    </w:p>
    <w:p>
      <w:pPr>
        <w:pStyle w:val="BodyText"/>
      </w:pPr>
      <w:r>
        <w:rPr>
          <w:b/>
          <w:bCs/>
        </w:rPr>
        <w:t xml:space="preserve">Pillar II — Contribution Over Extraction</w:t>
      </w:r>
      <w:r>
        <w:br/>
      </w:r>
      <w:r>
        <w:t xml:space="preserve">AI is legitimate only where it advances meaningful contribution rather than extraction, manipulation, or dependency.</w:t>
      </w:r>
    </w:p>
    <w:p>
      <w:pPr>
        <w:pStyle w:val="BodyText"/>
      </w:pPr>
      <w:r>
        <w:rPr>
          <w:b/>
          <w:bCs/>
        </w:rPr>
        <w:t xml:space="preserve">Pillar III — Sovereign Respect</w:t>
      </w:r>
      <w:r>
        <w:br/>
      </w:r>
      <w:r>
        <w:t xml:space="preserve">The doctrine explicitly protects the sovereignty of lawful institutions against hidden dependency on external intelligence infrastructures.</w:t>
      </w:r>
    </w:p>
    <w:p>
      <w:pPr>
        <w:pStyle w:val="BodyText"/>
      </w:pPr>
      <w:r>
        <w:rPr>
          <w:b/>
          <w:bCs/>
        </w:rPr>
        <w:t xml:space="preserve">Pillar IV — Ethical Profitability</w:t>
      </w:r>
      <w:r>
        <w:br/>
      </w:r>
      <w:r>
        <w:t xml:space="preserve">No commercial argument justifies the release of ungoverned systems into society.</w:t>
      </w:r>
    </w:p>
    <w:p>
      <w:pPr>
        <w:pStyle w:val="BodyText"/>
      </w:pPr>
      <w:r>
        <w:rPr>
          <w:b/>
          <w:bCs/>
        </w:rPr>
        <w:t xml:space="preserve">Pillar V — Governance Before Scale</w:t>
      </w:r>
      <w:r>
        <w:br/>
      </w:r>
      <w:r>
        <w:t xml:space="preserve">This doctrine directly enforces the requirement that governance must precede or match any expansion of capability.</w:t>
      </w:r>
    </w:p>
    <w:p>
      <w:pPr>
        <w:pStyle w:val="BodyText"/>
      </w:pPr>
      <w:r>
        <w:rPr>
          <w:b/>
          <w:bCs/>
        </w:rPr>
        <w:t xml:space="preserve">Pillar VI — Transparency and Accountability</w:t>
      </w:r>
      <w:r>
        <w:br/>
      </w:r>
      <w:r>
        <w:t xml:space="preserve">Auditability, explainability, and accountable authority sit at the centre of the doctrine.</w:t>
      </w:r>
    </w:p>
    <w:p>
      <w:pPr>
        <w:pStyle w:val="BodyText"/>
      </w:pPr>
      <w:r>
        <w:rPr>
          <w:b/>
          <w:bCs/>
        </w:rPr>
        <w:t xml:space="preserve">Pillar VII — Founder Constraint</w:t>
      </w:r>
      <w:r>
        <w:br/>
      </w:r>
      <w:r>
        <w:t xml:space="preserve">No founder or institution is exempt from the constitutional obligations required to govern intelligence systems responsibly.</w:t>
      </w:r>
    </w:p>
    <w:p>
      <w:pPr>
        <w:pStyle w:val="BodyText"/>
      </w:pPr>
      <w:r>
        <w:rPr>
          <w:b/>
          <w:bCs/>
        </w:rPr>
        <w:t xml:space="preserve">Pillar VIII — Human Primacy in AI</w:t>
      </w:r>
      <w:r>
        <w:br/>
      </w:r>
      <w:r>
        <w:t xml:space="preserve">This doctrine exists as a full operational expression of that pillar.</w:t>
      </w:r>
    </w:p>
    <w:p>
      <w:pPr>
        <w:pStyle w:val="BodyText"/>
      </w:pPr>
      <w:r>
        <w:rPr>
          <w:b/>
          <w:bCs/>
        </w:rPr>
        <w:t xml:space="preserve">Pillar IX — Reintegration</w:t>
      </w:r>
      <w:r>
        <w:br/>
      </w:r>
      <w:r>
        <w:t xml:space="preserve">AI should expand human participation, dignity, and recovery rather than intensify permanent exclusion.</w:t>
      </w:r>
    </w:p>
    <w:p>
      <w:pPr>
        <w:pStyle w:val="BodyText"/>
      </w:pPr>
      <w:r>
        <w:rPr>
          <w:b/>
          <w:bCs/>
        </w:rPr>
        <w:t xml:space="preserve">Pillar X — Long-Horizon Discipline</w:t>
      </w:r>
      <w:r>
        <w:br/>
      </w:r>
      <w:r>
        <w:t xml:space="preserve">The doctrine requires civilisational foresight rather than short-term technical opportunism.</w:t>
      </w:r>
    </w:p>
    <w:p>
      <w:pPr>
        <w:pStyle w:val="BodyText"/>
      </w:pPr>
      <w:r>
        <w:rPr>
          <w:b/>
          <w:bCs/>
        </w:rPr>
        <w:t xml:space="preserve">Pillar XI — Anti-Corruption</w:t>
      </w:r>
      <w:r>
        <w:br/>
      </w:r>
      <w:r>
        <w:t xml:space="preserve">It rejects hidden concentration of AI power without scrutiny.</w:t>
      </w:r>
    </w:p>
    <w:p>
      <w:pPr>
        <w:pStyle w:val="BodyText"/>
      </w:pPr>
      <w:r>
        <w:rPr>
          <w:b/>
          <w:bCs/>
        </w:rPr>
        <w:t xml:space="preserve">Pillar XII — Evidence-Driven Evolution</w:t>
      </w:r>
      <w:r>
        <w:br/>
      </w:r>
      <w:r>
        <w:t xml:space="preserve">It requires ongoing review, measurable impact, and adaptation grounded in reality rather than hype.</w:t>
      </w:r>
    </w:p>
    <w:p>
      <w:r>
        <w:pict>
          <v:rect style="width:0;height:1.5pt" o:hralign="center" o:hrstd="t" o:hr="t"/>
        </w:pict>
      </w:r>
    </w:p>
    <w:bookmarkEnd w:id="68"/>
    <w:bookmarkStart w:id="71" w:name="article-x-final-declarations"/>
    <w:p>
      <w:pPr>
        <w:pStyle w:val="Heading1"/>
      </w:pPr>
      <w:r>
        <w:t xml:space="preserve">ARTICLE X — FINAL DECLARATIONS</w:t>
      </w:r>
    </w:p>
    <w:p>
      <w:pPr>
        <w:pStyle w:val="FirstParagraph"/>
      </w:pPr>
      <w:r>
        <w:t xml:space="preserve">This doctrine declares the following:</w:t>
      </w:r>
    </w:p>
    <w:p>
      <w:pPr>
        <w:pStyle w:val="Compact"/>
        <w:numPr>
          <w:ilvl w:val="0"/>
          <w:numId w:val="1002"/>
        </w:numPr>
      </w:pPr>
      <w:r>
        <w:t xml:space="preserve">Human authority over artificial systems is permanent and non-transferable.</w:t>
      </w:r>
      <w:r>
        <w:br/>
      </w:r>
    </w:p>
    <w:p>
      <w:pPr>
        <w:pStyle w:val="Compact"/>
        <w:numPr>
          <w:ilvl w:val="0"/>
          <w:numId w:val="1002"/>
        </w:numPr>
      </w:pPr>
      <w:r>
        <w:t xml:space="preserve">Artificial intelligence is an instrument, not a sovereign.</w:t>
      </w:r>
      <w:r>
        <w:br/>
      </w:r>
    </w:p>
    <w:p>
      <w:pPr>
        <w:pStyle w:val="Compact"/>
        <w:numPr>
          <w:ilvl w:val="0"/>
          <w:numId w:val="1002"/>
        </w:numPr>
      </w:pPr>
      <w:r>
        <w:t xml:space="preserve">Governance is a precondition of legitimacy.</w:t>
      </w:r>
      <w:r>
        <w:br/>
      </w:r>
    </w:p>
    <w:p>
      <w:pPr>
        <w:pStyle w:val="Compact"/>
        <w:numPr>
          <w:ilvl w:val="0"/>
          <w:numId w:val="1002"/>
        </w:numPr>
      </w:pPr>
      <w:r>
        <w:t xml:space="preserve">Sovereign control over public-interest intelligence systems is non-negotiable.</w:t>
      </w:r>
      <w:r>
        <w:br/>
      </w:r>
    </w:p>
    <w:p>
      <w:pPr>
        <w:pStyle w:val="Compact"/>
        <w:numPr>
          <w:ilvl w:val="0"/>
          <w:numId w:val="1002"/>
        </w:numPr>
      </w:pPr>
      <w:r>
        <w:t xml:space="preserve">No high-capability intelligence system should operate beyond meaningful human review, interruption, and lawful oversight.</w:t>
      </w:r>
      <w:r>
        <w:br/>
      </w:r>
    </w:p>
    <w:p>
      <w:pPr>
        <w:pStyle w:val="Compact"/>
        <w:numPr>
          <w:ilvl w:val="0"/>
          <w:numId w:val="1002"/>
        </w:numPr>
      </w:pPr>
      <w:r>
        <w:t xml:space="preserve">Public trust depends on bounded power, not merely powerful systems.</w:t>
      </w:r>
      <w:r>
        <w:br/>
      </w:r>
    </w:p>
    <w:p>
      <w:pPr>
        <w:pStyle w:val="Compact"/>
        <w:numPr>
          <w:ilvl w:val="0"/>
          <w:numId w:val="1002"/>
        </w:numPr>
      </w:pPr>
      <w:r>
        <w:t xml:space="preserve">The legitimacy of AI will be measured not by capability alone, but by the strength of the principles that govern it.</w:t>
      </w:r>
    </w:p>
    <w:p>
      <w:r>
        <w:pict>
          <v:rect style="width:0;height:1.5pt" o:hralign="center" o:hrstd="t" o:hr="t"/>
        </w:pict>
      </w:r>
    </w:p>
    <w:bookmarkStart w:id="69" w:name="closing-oath-of-stewardship"/>
    <w:p>
      <w:pPr>
        <w:pStyle w:val="Heading2"/>
      </w:pPr>
      <w:r>
        <w:t xml:space="preserve">CLOSING OATH OF STEWARDSHIP</w:t>
      </w:r>
    </w:p>
    <w:p>
      <w:pPr>
        <w:pStyle w:val="FirstParagraph"/>
      </w:pPr>
      <w:r>
        <w:t xml:space="preserve">We will not surrender human dignity to machine efficiency.</w:t>
      </w:r>
      <w:r>
        <w:br/>
      </w:r>
      <w:r>
        <w:t xml:space="preserve">We will not mistake capability for legitimacy.</w:t>
      </w:r>
      <w:r>
        <w:br/>
      </w:r>
      <w:r>
        <w:t xml:space="preserve">We will not release intelligence where governance is absent.</w:t>
      </w:r>
      <w:r>
        <w:br/>
      </w:r>
      <w:r>
        <w:t xml:space="preserve">We will not permit sovereignty to dissolve beneath convenience.</w:t>
      </w:r>
      <w:r>
        <w:br/>
      </w:r>
      <w:r>
        <w:t xml:space="preserve">We will not allow opaque systems to sit above accountable authority.</w:t>
      </w:r>
    </w:p>
    <w:p>
      <w:pPr>
        <w:pStyle w:val="BodyText"/>
      </w:pPr>
      <w:r>
        <w:t xml:space="preserve">We will build with restraint.</w:t>
      </w:r>
      <w:r>
        <w:br/>
      </w:r>
      <w:r>
        <w:t xml:space="preserve">We will govern with clarity.</w:t>
      </w:r>
      <w:r>
        <w:br/>
      </w:r>
      <w:r>
        <w:t xml:space="preserve">We will retain the right to review, to interrupt, to refuse, and to direct.</w:t>
      </w:r>
      <w:r>
        <w:br/>
      </w:r>
      <w:r>
        <w:t xml:space="preserve">We will ensure that intelligence remains bound to the service of life, dignity, stability, and lawful order.</w:t>
      </w:r>
    </w:p>
    <w:p>
      <w:pPr>
        <w:pStyle w:val="BodyText"/>
      </w:pPr>
      <w:r>
        <w:t xml:space="preserve">So long as intelligence remains under principle, it may serve humanity.</w:t>
      </w:r>
      <w:r>
        <w:br/>
      </w:r>
      <w:r>
        <w:t xml:space="preserve">Where intelligence escapes principle, instability begins.</w:t>
      </w:r>
    </w:p>
    <w:p>
      <w:pPr>
        <w:pStyle w:val="BodyText"/>
      </w:pPr>
      <w:r>
        <w:t xml:space="preserve">So declared for the G.O.D.S collection.</w:t>
      </w:r>
    </w:p>
    <w:p>
      <w:r>
        <w:pict>
          <v:rect style="width:0;height:1.5pt" o:hralign="center" o:hrstd="t" o:hr="t"/>
        </w:pict>
      </w:r>
    </w:p>
    <w:bookmarkEnd w:id="69"/>
    <w:bookmarkStart w:id="70" w:name="collection-note"/>
    <w:p>
      <w:pPr>
        <w:pStyle w:val="Heading2"/>
      </w:pPr>
      <w:r>
        <w:t xml:space="preserve">Collection Note</w:t>
      </w:r>
    </w:p>
    <w:p>
      <w:pPr>
        <w:pStyle w:val="FirstParagraph"/>
      </w:pPr>
      <w:r>
        <w:t xml:space="preserve">This doctrine is intended as a constitutional companion text to the doctrine on AGI, singularity, and human control. Together they establish a G.O.D.S-aligned framework for clear thinking, lawful governance, and sovereign direction in the age of advanced intelligence systems.</w:t>
      </w:r>
    </w:p>
    <w:bookmarkEnd w:id="70"/>
    <w:bookmarkEnd w:id="7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2026-03-12T08:14:02Z</dcterms:created>
  <dcterms:modified xsi:type="dcterms:W3CDTF">2026-03-12T08:14:02Z</dcterms:modified>
</cp:coreProperties>
</file>

<file path=docProps/custom.xml><?xml version="1.0" encoding="utf-8"?>
<Properties xmlns="http://schemas.openxmlformats.org/officeDocument/2006/custom-properties" xmlns:vt="http://schemas.openxmlformats.org/officeDocument/2006/docPropsVTypes"/>
</file>