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960" w:after="80"/>
        <w:jc w:val="center"/>
      </w:pPr>
      <w:r>
        <w:rPr>
          <w:rFonts w:ascii="Arial" w:cs="Arial" w:eastAsia="Arial" w:hAnsi="Arial"/>
          <w:b/>
          <w:bCs/>
          <w:color w:val="C9A84C"/>
          <w:sz w:val="72"/>
          <w:szCs w:val="72"/>
        </w:rPr>
        <w:t xml:space="preserve">G.O.D.S</w:t>
      </w:r>
    </w:p>
    <w:p>
      <w:pPr>
        <w:spacing w:before="0" w:after="80"/>
        <w:jc w:val="center"/>
      </w:pPr>
      <w:r>
        <w:rPr>
          <w:rFonts w:ascii="Arial" w:cs="Arial" w:eastAsia="Arial" w:hAnsi="Arial"/>
          <w:b/>
          <w:bCs/>
          <w:color w:val="1A1A2E"/>
          <w:sz w:val="34"/>
          <w:szCs w:val="34"/>
        </w:rPr>
        <w:t xml:space="preserve">CONSTITUTIONAL GOVERNANCE CHARTER</w:t>
      </w:r>
    </w:p>
    <w:p>
      <w:pPr>
        <w:spacing w:before="0" w:after="80"/>
        <w:jc w:val="center"/>
      </w:pPr>
      <w:r>
        <w:rPr>
          <w:rFonts w:ascii="Arial" w:cs="Arial" w:eastAsia="Arial" w:hAnsi="Arial"/>
          <w:b/>
          <w:bCs/>
          <w:color w:val="1A1A2E"/>
          <w:sz w:val="26"/>
          <w:szCs w:val="26"/>
        </w:rPr>
        <w:t xml:space="preserve">&amp; MEMORANDUM OF INCORPORATION BLUEPRINT</w:t>
      </w:r>
    </w:p>
    <w:p>
      <w:pPr>
        <w:spacing w:before="0" w:after="120"/>
        <w:jc w:val="center"/>
      </w:pPr>
      <w:r>
        <w:rPr>
          <w:rFonts w:ascii="Arial" w:cs="Arial" w:eastAsia="Arial" w:hAnsi="Arial"/>
          <w:color w:val="888888"/>
          <w:sz w:val="20"/>
          <w:szCs w:val="20"/>
        </w:rPr>
        <w:t xml:space="preserve">The Legal Governance Architecture, Share Structure, MOI Blueprint, and Constitutional Constraints of G.O.D.S Holdings</w:t>
      </w:r>
    </w:p>
    <w:p>
      <w:pPr>
        <w:pBdr>
          <w:bottom w:val="single" w:color="C9A84C" w:sz="4"/>
        </w:pBdr>
        <w:spacing w:before="120" w:after="120"/>
      </w:pPr>
    </w:p>
    <w:p>
      <w:pPr>
        <w:spacing w:before="200" w:after="400"/>
        <w:jc w:val="center"/>
      </w:pPr>
      <w:r>
        <w:rPr>
          <w:rFonts w:ascii="Arial" w:cs="Arial" w:eastAsia="Arial" w:hAnsi="Arial"/>
          <w:b/>
          <w:bCs/>
          <w:color w:val="C9A84C"/>
          <w:sz w:val="20"/>
          <w:szCs w:val="20"/>
        </w:rPr>
        <w:t xml:space="preserve">Sashin J. Singh — Founder &amp; Architect | G.O.D.S Holdings | Johannesburg, 2026 — DRAFT FOR LEGAL REVIEW</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FF3E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IMPORTANT LEGAL DISCLAIMER</w:t>
            </w:r>
          </w:p>
          <w:p>
            <w:pPr>
              <w:spacing w:before="80" w:after="80"/>
            </w:pPr>
            <w:r>
              <w:rPr>
                <w:rFonts w:ascii="Arial" w:cs="Arial" w:eastAsia="Arial" w:hAnsi="Arial"/>
                <w:b w:val="false"/>
                <w:bCs w:val="false"/>
                <w:color w:val="111111"/>
                <w:sz w:val="22"/>
                <w:szCs w:val="22"/>
              </w:rPr>
              <w:t xml:space="preserve">This document is an architectural blueprint — the structural logic that must be translated into a legally binding Memorandum of Incorporation by a qualified South African commercial attorney with experience in complex holding company structures. This document does not constitute legal advice and cannot substitute for professional legal counsel. The architectural logic here is authoritative; the specific legal language must be professionally drafted.</w:t>
            </w:r>
          </w:p>
        </w:tc>
      </w:tr>
    </w:tbl>
    <w:p>
      <w:pPr>
        <w:spacing w:before="80" w:after="80"/>
      </w:pPr>
      <w:r>
        <w:t xml:space="preserve"/>
      </w:r>
    </w:p>
    <w:p>
      <w:pPr>
        <w:spacing w:before="400" w:after="160"/>
      </w:pPr>
      <w:r>
        <w:rPr>
          <w:rFonts w:ascii="Arial" w:cs="Arial" w:eastAsia="Arial" w:hAnsi="Arial"/>
          <w:b/>
          <w:bCs/>
          <w:color w:val="0A0A0A"/>
          <w:sz w:val="36"/>
          <w:szCs w:val="36"/>
        </w:rPr>
        <w:t xml:space="preserve">PART ONE — THE CORPORATE ARCHITECTURE</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The Five-Entity Structure</w:t>
      </w:r>
    </w:p>
    <w:p>
      <w:pPr>
        <w:spacing w:before="80" w:after="80"/>
      </w:pPr>
      <w:r>
        <w:rPr>
          <w:rFonts w:ascii="Arial" w:cs="Arial" w:eastAsia="Arial" w:hAnsi="Arial"/>
          <w:b w:val="false"/>
          <w:bCs w:val="false"/>
          <w:color w:val="111111"/>
          <w:sz w:val="22"/>
          <w:szCs w:val="22"/>
        </w:rPr>
        <w:t xml:space="preserve">G.O.D.S operates through five distinct legal entities, arranged in a governance hierarchy that separates mission custody from commercial operations. Understanding this separation is critical to understanding why each entity must be registered correctly from the start.</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80" w:after="80"/>
              <w:jc w:val="center"/>
            </w:pPr>
            <w:r>
              <w:rPr>
                <w:rFonts w:ascii="Arial" w:cs="Arial" w:eastAsia="Arial" w:hAnsi="Arial"/>
                <w:b/>
                <w:bCs/>
                <w:color w:val="C9A84C"/>
                <w:sz w:val="28"/>
                <w:szCs w:val="28"/>
              </w:rPr>
              <w:t xml:space="preserve">G.O.D.S IP TRUST</w:t>
            </w:r>
          </w:p>
          <w:p>
            <w:pPr>
              <w:spacing w:before="80" w:after="80"/>
              <w:jc w:val="center"/>
            </w:pPr>
            <w:r>
              <w:rPr>
                <w:rFonts w:ascii="Arial" w:cs="Arial" w:eastAsia="Arial" w:hAnsi="Arial"/>
                <w:b w:val="false"/>
                <w:bCs w:val="false"/>
                <w:color w:val="333333"/>
                <w:sz w:val="20"/>
                <w:szCs w:val="20"/>
              </w:rPr>
              <w:t xml:space="preserve">Mission Custody · IP Protection · Constitutional Custodian · Cannot be sold or wound up</w:t>
            </w:r>
          </w:p>
          <w:p>
            <w:pPr>
              <w:spacing w:before="80" w:after="80"/>
            </w:pPr>
            <w:r>
              <w:t xml:space="preserve"/>
            </w:r>
          </w:p>
          <w:p>
            <w:pPr>
              <w:spacing w:before="80" w:after="80"/>
              <w:jc w:val="center"/>
            </w:pPr>
            <w:r>
              <w:rPr>
                <w:rFonts w:ascii="Arial" w:cs="Arial" w:eastAsia="Arial" w:hAnsi="Arial"/>
                <w:b/>
                <w:bCs/>
                <w:color w:val="C9A84C"/>
                <w:sz w:val="28"/>
                <w:szCs w:val="28"/>
              </w:rPr>
              <w:t xml:space="preserve">↓</w:t>
            </w:r>
          </w:p>
          <w:p>
            <w:pPr>
              <w:spacing w:before="80" w:after="80"/>
            </w:pPr>
            <w:r>
              <w:t xml:space="preserve"/>
            </w:r>
          </w:p>
          <w:p>
            <w:pPr>
              <w:spacing w:before="80" w:after="80"/>
              <w:jc w:val="center"/>
            </w:pPr>
            <w:r>
              <w:rPr>
                <w:rFonts w:ascii="Arial" w:cs="Arial" w:eastAsia="Arial" w:hAnsi="Arial"/>
                <w:b/>
                <w:bCs/>
                <w:color w:val="1A1A2E"/>
                <w:sz w:val="28"/>
                <w:szCs w:val="28"/>
              </w:rPr>
              <w:t xml:space="preserve">G.O.D.S HOLDINGS (PTY) LTD</w:t>
            </w:r>
          </w:p>
          <w:p>
            <w:pPr>
              <w:spacing w:before="80" w:after="80"/>
              <w:jc w:val="center"/>
            </w:pPr>
            <w:r>
              <w:rPr>
                <w:rFonts w:ascii="Arial" w:cs="Arial" w:eastAsia="Arial" w:hAnsi="Arial"/>
                <w:b w:val="false"/>
                <w:bCs w:val="false"/>
                <w:color w:val="333333"/>
                <w:sz w:val="20"/>
                <w:szCs w:val="20"/>
              </w:rPr>
              <w:t xml:space="preserve">Constitutional Parent · Governance Authority · Class A Share Custodian · 12 Pillar Enforcement</w:t>
            </w:r>
          </w:p>
          <w:p>
            <w:pPr>
              <w:spacing w:before="80" w:after="80"/>
            </w:pPr>
            <w:r>
              <w:t xml:space="preserve"/>
            </w:r>
          </w:p>
          <w:p>
            <w:pPr>
              <w:spacing w:before="80" w:after="80"/>
              <w:jc w:val="center"/>
            </w:pPr>
            <w:r>
              <w:rPr>
                <w:rFonts w:ascii="Arial" w:cs="Arial" w:eastAsia="Arial" w:hAnsi="Arial"/>
                <w:b/>
                <w:bCs/>
                <w:color w:val="C9A84C"/>
                <w:sz w:val="28"/>
                <w:szCs w:val="28"/>
              </w:rPr>
              <w:t xml:space="preserve">↓</w:t>
            </w:r>
          </w:p>
          <w:p>
            <w:pPr>
              <w:spacing w:before="80" w:after="80"/>
            </w:pPr>
            <w:r>
              <w:t xml:space="preserve"/>
            </w:r>
          </w:p>
          <w:p>
            <w:pPr>
              <w:spacing w:before="80" w:after="80"/>
              <w:jc w:val="center"/>
            </w:pPr>
            <w:r>
              <w:rPr>
                <w:rFonts w:ascii="Arial" w:cs="Arial" w:eastAsia="Arial" w:hAnsi="Arial"/>
                <w:b/>
                <w:bCs/>
                <w:color w:val="1A1A2E"/>
                <w:sz w:val="28"/>
                <w:szCs w:val="28"/>
              </w:rPr>
              <w:t xml:space="preserve">G.O.D.S TS HOLDINGS (PTY) LTD</w:t>
            </w:r>
          </w:p>
          <w:p>
            <w:pPr>
              <w:spacing w:before="80" w:after="80"/>
              <w:jc w:val="center"/>
            </w:pPr>
            <w:r>
              <w:rPr>
                <w:rFonts w:ascii="Arial" w:cs="Arial" w:eastAsia="Arial" w:hAnsi="Arial"/>
                <w:b w:val="false"/>
                <w:bCs w:val="false"/>
                <w:color w:val="333333"/>
                <w:sz w:val="20"/>
                <w:szCs w:val="20"/>
              </w:rPr>
              <w:t xml:space="preserve">Commercial Engine · 8-Division Revenue Architecture · Investor-Facing Entity · Capital Raise Vehicle</w:t>
            </w:r>
          </w:p>
          <w:p>
            <w:pPr>
              <w:spacing w:before="80" w:after="80"/>
            </w:pPr>
            <w:r>
              <w:t xml:space="preserve"/>
            </w:r>
          </w:p>
          <w:p>
            <w:pPr>
              <w:spacing w:before="80" w:after="80"/>
              <w:jc w:val="center"/>
            </w:pPr>
            <w:r>
              <w:rPr>
                <w:rFonts w:ascii="Arial" w:cs="Arial" w:eastAsia="Arial" w:hAnsi="Arial"/>
                <w:b/>
                <w:bCs/>
                <w:color w:val="C9A84C"/>
                <w:sz w:val="28"/>
                <w:szCs w:val="28"/>
              </w:rPr>
              <w:t xml:space="preserve">↓  ↓  ↓  ↓</w:t>
            </w:r>
          </w:p>
          <w:p>
            <w:pPr>
              <w:spacing w:before="80" w:after="8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80"/>
                    <w:left w:type="dxa" w:w="0"/>
                    <w:bottom w:type="dxa" w:w="80"/>
                    <w:right w:type="dxa" w:w="200"/>
                  </w:tcMar>
                </w:tcPr>
                <w:p>
                  <w:pPr>
                    <w:spacing w:before="80" w:after="80"/>
                    <w:jc w:val="center"/>
                  </w:pPr>
                  <w:r>
                    <w:rPr>
                      <w:rFonts w:ascii="Arial" w:cs="Arial" w:eastAsia="Arial" w:hAnsi="Arial"/>
                      <w:b/>
                      <w:bCs/>
                      <w:color w:val="1A1A2E"/>
                      <w:sz w:val="22"/>
                      <w:szCs w:val="22"/>
                    </w:rPr>
                    <w:t xml:space="preserve">S.E.T.H.S (PTY) LTD</w:t>
                  </w:r>
                </w:p>
                <w:p>
                  <w:pPr>
                    <w:spacing w:before="80" w:after="80"/>
                    <w:jc w:val="center"/>
                  </w:pPr>
                  <w:r>
                    <w:rPr>
                      <w:rFonts w:ascii="Arial" w:cs="Arial" w:eastAsia="Arial" w:hAnsi="Arial"/>
                      <w:b w:val="false"/>
                      <w:bCs w:val="false"/>
                      <w:color w:val="333333"/>
                      <w:sz w:val="18"/>
                      <w:szCs w:val="18"/>
                    </w:rPr>
                    <w:t xml:space="preserve">Human Capital Division</w:t>
                  </w:r>
                </w:p>
              </w:tc>
              <w:tc>
                <w:tcPr>
                  <w:tcW w:type="dxa" w:w="4680"/>
                  <w:tcBorders>
                    <w:top w:val="none" w:color="FFFFFF" w:sz="0"/>
                    <w:left w:val="none" w:color="FFFFFF" w:sz="0"/>
                    <w:bottom w:val="none" w:color="FFFFFF" w:sz="0"/>
                    <w:right w:val="none" w:color="FFFFFF" w:sz="0"/>
                  </w:tcBorders>
                  <w:tcMar>
                    <w:top w:type="dxa" w:w="80"/>
                    <w:left w:type="dxa" w:w="200"/>
                    <w:bottom w:type="dxa" w:w="80"/>
                    <w:right w:type="dxa" w:w="0"/>
                  </w:tcMar>
                </w:tcPr>
                <w:p>
                  <w:pPr>
                    <w:spacing w:before="80" w:after="80"/>
                    <w:jc w:val="center"/>
                  </w:pPr>
                  <w:r>
                    <w:rPr>
                      <w:rFonts w:ascii="Arial" w:cs="Arial" w:eastAsia="Arial" w:hAnsi="Arial"/>
                      <w:b/>
                      <w:bCs/>
                      <w:color w:val="1A1A2E"/>
                      <w:sz w:val="22"/>
                      <w:szCs w:val="22"/>
                    </w:rPr>
                    <w:t xml:space="preserve">UDOC TECHNOLOGIES (PTY) LTD</w:t>
                  </w:r>
                </w:p>
                <w:p>
                  <w:pPr>
                    <w:spacing w:before="80" w:after="80"/>
                    <w:jc w:val="center"/>
                  </w:pPr>
                  <w:r>
                    <w:rPr>
                      <w:rFonts w:ascii="Arial" w:cs="Arial" w:eastAsia="Arial" w:hAnsi="Arial"/>
                      <w:b w:val="false"/>
                      <w:bCs w:val="false"/>
                      <w:color w:val="333333"/>
                      <w:sz w:val="18"/>
                      <w:szCs w:val="18"/>
                    </w:rPr>
                    <w:t xml:space="preserve">Digital Governance Division</w:t>
                  </w:r>
                </w:p>
              </w:tc>
            </w:tr>
          </w:tbl>
          <w:p>
            <w:pPr>
              <w:spacing w:before="80" w:after="80"/>
            </w:pPr>
            <w:r>
              <w:t xml:space="preserve"/>
            </w:r>
          </w:p>
          <w:tbl>
            <w:tblPr>
              <w:tblW w:type="dxa" w:w="9360"/>
              <w:tblBorders>
                <w:top w:val="none" w:color="FFFFFF" w:sz="0"/>
                <w:left w:val="none" w:color="FFFFFF" w:sz="0"/>
                <w:bottom w:val="none" w:color="FFFFFF" w:sz="0"/>
                <w:right w:val="none" w:color="FFFFFF" w:sz="0"/>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none" w:color="FFFFFF" w:sz="0"/>
                  </w:tcBorders>
                  <w:tcMar>
                    <w:top w:type="dxa" w:w="80"/>
                    <w:left w:type="dxa" w:w="0"/>
                    <w:bottom w:type="dxa" w:w="80"/>
                    <w:right w:type="dxa" w:w="200"/>
                  </w:tcMar>
                </w:tcPr>
                <w:p>
                  <w:pPr>
                    <w:spacing w:before="80" w:after="80"/>
                    <w:jc w:val="center"/>
                  </w:pPr>
                  <w:r>
                    <w:rPr>
                      <w:rFonts w:ascii="Arial" w:cs="Arial" w:eastAsia="Arial" w:hAnsi="Arial"/>
                      <w:b/>
                      <w:bCs/>
                      <w:color w:val="1A1A2E"/>
                      <w:sz w:val="22"/>
                      <w:szCs w:val="22"/>
                    </w:rPr>
                    <w:t xml:space="preserve">TS INDUSTRIES (PTY) LTD</w:t>
                  </w:r>
                </w:p>
                <w:p>
                  <w:pPr>
                    <w:spacing w:before="80" w:after="80"/>
                    <w:jc w:val="center"/>
                  </w:pPr>
                  <w:r>
                    <w:rPr>
                      <w:rFonts w:ascii="Arial" w:cs="Arial" w:eastAsia="Arial" w:hAnsi="Arial"/>
                      <w:b w:val="false"/>
                      <w:bCs w:val="false"/>
                      <w:color w:val="333333"/>
                      <w:sz w:val="18"/>
                      <w:szCs w:val="18"/>
                    </w:rPr>
                    <w:t xml:space="preserve">Production &amp; Infrastructure Division</w:t>
                  </w:r>
                </w:p>
              </w:tc>
              <w:tc>
                <w:tcPr>
                  <w:tcW w:type="dxa" w:w="4680"/>
                  <w:tcBorders>
                    <w:top w:val="none" w:color="FFFFFF" w:sz="0"/>
                    <w:left w:val="none" w:color="FFFFFF" w:sz="0"/>
                    <w:bottom w:val="none" w:color="FFFFFF" w:sz="0"/>
                    <w:right w:val="none" w:color="FFFFFF" w:sz="0"/>
                  </w:tcBorders>
                  <w:tcMar>
                    <w:top w:type="dxa" w:w="80"/>
                    <w:left w:type="dxa" w:w="200"/>
                    <w:bottom w:type="dxa" w:w="80"/>
                    <w:right w:type="dxa" w:w="0"/>
                  </w:tcMar>
                </w:tcPr>
                <w:p>
                  <w:pPr>
                    <w:spacing w:before="80" w:after="80"/>
                    <w:jc w:val="center"/>
                  </w:pPr>
                  <w:r>
                    <w:rPr>
                      <w:rFonts w:ascii="Arial" w:cs="Arial" w:eastAsia="Arial" w:hAnsi="Arial"/>
                      <w:b/>
                      <w:bCs/>
                      <w:color w:val="1A1A2E"/>
                      <w:sz w:val="22"/>
                      <w:szCs w:val="22"/>
                    </w:rPr>
                    <w:t xml:space="preserve">M.A.D.I.B.A CAPITAL (PTY) LTD</w:t>
                  </w:r>
                </w:p>
                <w:p>
                  <w:pPr>
                    <w:spacing w:before="80" w:after="80"/>
                    <w:jc w:val="center"/>
                  </w:pPr>
                  <w:r>
                    <w:rPr>
                      <w:rFonts w:ascii="Arial" w:cs="Arial" w:eastAsia="Arial" w:hAnsi="Arial"/>
                      <w:b w:val="false"/>
                      <w:bCs w:val="false"/>
                      <w:color w:val="333333"/>
                      <w:sz w:val="18"/>
                      <w:szCs w:val="18"/>
                    </w:rPr>
                    <w:t xml:space="preserve">Capital &amp; Sovereign Partnerships Division</w:t>
                  </w:r>
                </w:p>
              </w:tc>
            </w:tr>
          </w:tbl>
          <w:p/>
        </w:tc>
      </w:tr>
    </w:tbl>
    <w:p>
      <w:pPr>
        <w:spacing w:before="80" w:after="80"/>
      </w:pPr>
      <w:r>
        <w:t xml:space="preserve"/>
      </w:r>
    </w:p>
    <w:p>
      <w:pPr>
        <w:spacing w:before="280" w:after="120"/>
      </w:pPr>
      <w:r>
        <w:rPr>
          <w:rFonts w:ascii="Arial" w:cs="Arial" w:eastAsia="Arial" w:hAnsi="Arial"/>
          <w:b/>
          <w:bCs/>
          <w:color w:val="1A1A2E"/>
          <w:sz w:val="28"/>
          <w:szCs w:val="28"/>
        </w:rPr>
        <w:t xml:space="preserve">Why This Structure</w:t>
      </w:r>
    </w:p>
    <w:p>
      <w:pPr>
        <w:spacing w:before="80" w:after="80"/>
      </w:pPr>
      <w:r>
        <w:rPr>
          <w:rFonts w:ascii="Arial" w:cs="Arial" w:eastAsia="Arial" w:hAnsi="Arial"/>
          <w:b w:val="false"/>
          <w:bCs w:val="false"/>
          <w:color w:val="111111"/>
          <w:sz w:val="22"/>
          <w:szCs w:val="22"/>
        </w:rPr>
        <w:t xml:space="preserve">The separation between the IP Trust, Holdings, TS Holdings, and the four divisions is not administrative convenience. It is a deliberate protection architecture that prevents four specific failure modes: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Failure Mode</w:t>
            </w:r>
          </w:p>
        </w:tc>
        <w:tc>
          <w:tcPr>
            <w:tcW w:type="dxa" w:w="32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Without This Structure</w:t>
            </w:r>
          </w:p>
        </w:tc>
        <w:tc>
          <w:tcPr>
            <w:tcW w:type="dxa" w:w="328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With This Structure</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Hostile investor takeover</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Majority shareholder controls the entire system</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Class A shares in Holdings cannot be acquired by investors. IP Trust holds ultimate governance authority.</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Mission drift</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Commercial pressure overrides constitutional principles</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Constitutional Oversight Board has binding authority. IP Trust holds mission custodianship independent of commercial operations.</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Division insolvency contamination</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Failure of one division threatens entire system</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Each division is a separate legal entity. Division insolvency is ring-fenced. Holdings and Trust are unaffected.</w:t>
            </w:r>
          </w:p>
        </w:tc>
      </w:tr>
      <w:tr>
        <w:tc>
          <w:tcPr>
            <w:tcW w:type="dxa" w:w="28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Founder death / incapacity</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Unresolved succession destroys institutional continuity</w:t>
            </w:r>
          </w:p>
        </w:tc>
        <w:tc>
          <w:tcPr>
            <w:tcW w:type="dxa" w:w="328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Class A share succession defined in Trust deed. Oversight Board maintains continuity. Operations continue under COO authority.</w:t>
            </w:r>
          </w:p>
        </w:tc>
      </w:tr>
    </w:tbl>
    <w:p>
      <w:pPr>
        <w:spacing w:before="80" w:after="80"/>
      </w:pPr>
      <w:r>
        <w:t xml:space="preserve"/>
      </w:r>
    </w:p>
    <w:p>
      <w:r>
        <w:br w:type="page"/>
      </w:r>
    </w:p>
    <w:p>
      <w:pPr>
        <w:spacing w:before="400" w:after="160"/>
      </w:pPr>
      <w:r>
        <w:rPr>
          <w:rFonts w:ascii="Arial" w:cs="Arial" w:eastAsia="Arial" w:hAnsi="Arial"/>
          <w:b/>
          <w:bCs/>
          <w:color w:val="0A0A0A"/>
          <w:sz w:val="36"/>
          <w:szCs w:val="36"/>
        </w:rPr>
        <w:t xml:space="preserve">PART TWO — THE G.O.D.S IP TRUST</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What the Trust Holds</w:t>
      </w:r>
    </w:p>
    <w:p>
      <w:pPr>
        <w:spacing w:before="80" w:after="80"/>
      </w:pPr>
      <w:r>
        <w:rPr>
          <w:rFonts w:ascii="Arial" w:cs="Arial" w:eastAsia="Arial" w:hAnsi="Arial"/>
          <w:b w:val="false"/>
          <w:bCs w:val="false"/>
          <w:color w:val="111111"/>
          <w:sz w:val="22"/>
          <w:szCs w:val="22"/>
        </w:rPr>
        <w:t xml:space="preserve">The G.O.D.S IP Trust is the most important legal entity in the entire architecture. It is not a commercial entity. It does not generate revenue. It does not employ people. It does one thing: it holds the intellectual property, the constitutional framework, and the Class A governance authority in a structure that cannot be unwound by any commercial transaction.</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Trust Property — What the Trust Holds</w:t>
            </w:r>
          </w:p>
          <w:p>
            <w:pPr>
              <w:pStyle w:val="ListParagraph"/>
              <w:numPr>
                <w:ilvl w:val="0"/>
                <w:numId w:val="2"/>
              </w:numPr>
              <w:spacing w:before="60" w:after="60"/>
            </w:pPr>
            <w:r>
              <w:rPr>
                <w:rFonts w:ascii="Arial" w:cs="Arial" w:eastAsia="Arial" w:hAnsi="Arial"/>
                <w:sz w:val="22"/>
                <w:szCs w:val="22"/>
              </w:rPr>
              <w:t xml:space="preserve">The G.O.D.S name, trademark, and all associated intellectual property</w:t>
            </w:r>
          </w:p>
          <w:p>
            <w:pPr>
              <w:pStyle w:val="ListParagraph"/>
              <w:numPr>
                <w:ilvl w:val="0"/>
                <w:numId w:val="2"/>
              </w:numPr>
              <w:spacing w:before="60" w:after="60"/>
            </w:pPr>
            <w:r>
              <w:rPr>
                <w:rFonts w:ascii="Arial" w:cs="Arial" w:eastAsia="Arial" w:hAnsi="Arial"/>
                <w:sz w:val="22"/>
                <w:szCs w:val="22"/>
              </w:rPr>
              <w:t xml:space="preserve">The 12 Constitutional Pillars in their definitive form — the Trust is the only entity that can propose amendments to the Pillars, requiring a 75% Trustee vote and 10-year implementation delay</w:t>
            </w:r>
          </w:p>
          <w:p>
            <w:pPr>
              <w:pStyle w:val="ListParagraph"/>
              <w:numPr>
                <w:ilvl w:val="0"/>
                <w:numId w:val="2"/>
              </w:numPr>
              <w:spacing w:before="60" w:after="60"/>
            </w:pPr>
            <w:r>
              <w:rPr>
                <w:rFonts w:ascii="Arial" w:cs="Arial" w:eastAsia="Arial" w:hAnsi="Arial"/>
                <w:sz w:val="22"/>
                <w:szCs w:val="22"/>
              </w:rPr>
              <w:t xml:space="preserve">The G.O.D.S system architecture documentation — all founding documents are IP Trust property</w:t>
            </w:r>
          </w:p>
          <w:p>
            <w:pPr>
              <w:pStyle w:val="ListParagraph"/>
              <w:numPr>
                <w:ilvl w:val="0"/>
                <w:numId w:val="2"/>
              </w:numPr>
              <w:spacing w:before="60" w:after="60"/>
            </w:pPr>
            <w:r>
              <w:rPr>
                <w:rFonts w:ascii="Arial" w:cs="Arial" w:eastAsia="Arial" w:hAnsi="Arial"/>
                <w:sz w:val="22"/>
                <w:szCs w:val="22"/>
              </w:rPr>
              <w:t xml:space="preserve">Class A governance shares in G.O.D.S Holdings (Pty) Ltd — held in Trust, not by the Founder personally</w:t>
            </w:r>
          </w:p>
          <w:p>
            <w:pPr>
              <w:pStyle w:val="ListParagraph"/>
              <w:numPr>
                <w:ilvl w:val="0"/>
                <w:numId w:val="2"/>
              </w:numPr>
              <w:spacing w:before="60" w:after="60"/>
            </w:pPr>
            <w:r>
              <w:rPr>
                <w:rFonts w:ascii="Arial" w:cs="Arial" w:eastAsia="Arial" w:hAnsi="Arial"/>
                <w:sz w:val="22"/>
                <w:szCs w:val="22"/>
              </w:rPr>
              <w:t xml:space="preserve">Succession rights — the Trust deed defines Class A share succession across generations</w:t>
            </w:r>
          </w:p>
          <w:p>
            <w:pPr>
              <w:pStyle w:val="ListParagraph"/>
              <w:numPr>
                <w:ilvl w:val="0"/>
                <w:numId w:val="2"/>
              </w:numPr>
              <w:spacing w:before="60" w:after="60"/>
            </w:pPr>
            <w:r>
              <w:rPr>
                <w:rFonts w:ascii="Arial" w:cs="Arial" w:eastAsia="Arial" w:hAnsi="Arial"/>
                <w:sz w:val="22"/>
                <w:szCs w:val="22"/>
              </w:rPr>
              <w:t xml:space="preserve">The right to appoint or remove the Founder from operational authority (separate from ownership)</w:t>
            </w:r>
          </w:p>
          <w:p>
            <w:pPr>
              <w:spacing w:before="80" w:after="80"/>
            </w:pPr>
            <w:r>
              <w:t xml:space="preserve"/>
            </w:r>
          </w:p>
          <w:p>
            <w:pPr>
              <w:spacing w:before="200" w:after="80"/>
            </w:pPr>
            <w:r>
              <w:rPr>
                <w:rFonts w:ascii="Arial" w:cs="Arial" w:eastAsia="Arial" w:hAnsi="Arial"/>
                <w:b/>
                <w:bCs/>
                <w:color w:val="C9A84C"/>
                <w:sz w:val="24"/>
                <w:szCs w:val="24"/>
              </w:rPr>
              <w:t xml:space="preserve">What the Trust Cannot Do</w:t>
            </w:r>
          </w:p>
          <w:p>
            <w:pPr>
              <w:pStyle w:val="ListParagraph"/>
              <w:numPr>
                <w:ilvl w:val="0"/>
                <w:numId w:val="2"/>
              </w:numPr>
              <w:spacing w:before="60" w:after="60"/>
            </w:pPr>
            <w:r>
              <w:rPr>
                <w:rFonts w:ascii="Arial" w:cs="Arial" w:eastAsia="Arial" w:hAnsi="Arial"/>
                <w:sz w:val="22"/>
                <w:szCs w:val="22"/>
              </w:rPr>
              <w:t xml:space="preserve">The Trust cannot engage in commercial activities</w:t>
            </w:r>
          </w:p>
          <w:p>
            <w:pPr>
              <w:pStyle w:val="ListParagraph"/>
              <w:numPr>
                <w:ilvl w:val="0"/>
                <w:numId w:val="2"/>
              </w:numPr>
              <w:spacing w:before="60" w:after="60"/>
            </w:pPr>
            <w:r>
              <w:rPr>
                <w:rFonts w:ascii="Arial" w:cs="Arial" w:eastAsia="Arial" w:hAnsi="Arial"/>
                <w:sz w:val="22"/>
                <w:szCs w:val="22"/>
              </w:rPr>
              <w:t xml:space="preserve">The Trust cannot distribute income — it is a non-beneficiary trust in the commercial sense</w:t>
            </w:r>
          </w:p>
          <w:p>
            <w:pPr>
              <w:pStyle w:val="ListParagraph"/>
              <w:numPr>
                <w:ilvl w:val="0"/>
                <w:numId w:val="2"/>
              </w:numPr>
              <w:spacing w:before="60" w:after="60"/>
            </w:pPr>
            <w:r>
              <w:rPr>
                <w:rFonts w:ascii="Arial" w:cs="Arial" w:eastAsia="Arial" w:hAnsi="Arial"/>
                <w:sz w:val="22"/>
                <w:szCs w:val="22"/>
              </w:rPr>
              <w:t xml:space="preserve">The Trust cannot be used as security for any debt obligation</w:t>
            </w:r>
          </w:p>
          <w:p>
            <w:pPr>
              <w:pStyle w:val="ListParagraph"/>
              <w:numPr>
                <w:ilvl w:val="0"/>
                <w:numId w:val="2"/>
              </w:numPr>
              <w:spacing w:before="60" w:after="60"/>
            </w:pPr>
            <w:r>
              <w:rPr>
                <w:rFonts w:ascii="Arial" w:cs="Arial" w:eastAsia="Arial" w:hAnsi="Arial"/>
                <w:sz w:val="22"/>
                <w:szCs w:val="22"/>
              </w:rPr>
              <w:t xml:space="preserve">The Trust cannot be wound up while any G.O.D.S entity is operational — dissolution requires all entities to have ceased operations and all obligations to have been settled</w:t>
            </w:r>
          </w:p>
        </w:tc>
      </w:tr>
    </w:tbl>
    <w:p>
      <w:pPr>
        <w:spacing w:before="80" w:after="80"/>
      </w:pPr>
      <w:r>
        <w:t xml:space="preserve"/>
      </w:r>
    </w:p>
    <w:p>
      <w:pPr>
        <w:spacing w:before="280" w:after="120"/>
      </w:pPr>
      <w:r>
        <w:rPr>
          <w:rFonts w:ascii="Arial" w:cs="Arial" w:eastAsia="Arial" w:hAnsi="Arial"/>
          <w:b/>
          <w:bCs/>
          <w:color w:val="1A1A2E"/>
          <w:sz w:val="28"/>
          <w:szCs w:val="28"/>
        </w:rPr>
        <w:t xml:space="preserve">Trust Deed Structure</w:t>
      </w:r>
    </w:p>
    <w:p>
      <w:pPr>
        <w:spacing w:before="80" w:after="80"/>
      </w:pPr>
      <w:r>
        <w:rPr>
          <w:rFonts w:ascii="Arial" w:cs="Arial" w:eastAsia="Arial" w:hAnsi="Arial"/>
          <w:b w:val="false"/>
          <w:bCs w:val="false"/>
          <w:color w:val="111111"/>
          <w:sz w:val="22"/>
          <w:szCs w:val="22"/>
        </w:rPr>
        <w:t xml:space="preserve">The Trust deed must be drafted by a Trust law specialist and registered with the Master of the High Court in Johannesburg. The Trust deed should include:</w:t>
      </w:r>
    </w:p>
    <w:p>
      <w:pPr>
        <w:pStyle w:val="ListParagraph"/>
        <w:numPr>
          <w:ilvl w:val="0"/>
          <w:numId w:val="2"/>
        </w:numPr>
        <w:spacing w:before="60" w:after="60"/>
      </w:pPr>
      <w:r>
        <w:rPr>
          <w:rFonts w:ascii="Arial" w:cs="Arial" w:eastAsia="Arial" w:hAnsi="Arial"/>
          <w:sz w:val="22"/>
          <w:szCs w:val="22"/>
        </w:rPr>
        <w:t xml:space="preserve">Founding trustee: Sashin J. Singh (Founder)</w:t>
      </w:r>
    </w:p>
    <w:p>
      <w:pPr>
        <w:pStyle w:val="ListParagraph"/>
        <w:numPr>
          <w:ilvl w:val="0"/>
          <w:numId w:val="2"/>
        </w:numPr>
        <w:spacing w:before="60" w:after="60"/>
      </w:pPr>
      <w:r>
        <w:rPr>
          <w:rFonts w:ascii="Arial" w:cs="Arial" w:eastAsia="Arial" w:hAnsi="Arial"/>
          <w:sz w:val="22"/>
          <w:szCs w:val="22"/>
        </w:rPr>
        <w:t xml:space="preserve">Independent trustees (minimum 2): One institutional representative (e.g., Legal Aid South Africa, retired judge) and one family trustee designated by the Founder</w:t>
      </w:r>
    </w:p>
    <w:p>
      <w:pPr>
        <w:pStyle w:val="ListParagraph"/>
        <w:numPr>
          <w:ilvl w:val="0"/>
          <w:numId w:val="2"/>
        </w:numPr>
        <w:spacing w:before="60" w:after="60"/>
      </w:pPr>
      <w:r>
        <w:rPr>
          <w:rFonts w:ascii="Arial" w:cs="Arial" w:eastAsia="Arial" w:hAnsi="Arial"/>
          <w:sz w:val="22"/>
          <w:szCs w:val="22"/>
        </w:rPr>
        <w:t xml:space="preserve">Trustee decisions: Routine matters by majority. Constitutional amendments require 75% vote.</w:t>
      </w:r>
    </w:p>
    <w:p>
      <w:pPr>
        <w:pStyle w:val="ListParagraph"/>
        <w:numPr>
          <w:ilvl w:val="0"/>
          <w:numId w:val="2"/>
        </w:numPr>
        <w:spacing w:before="60" w:after="60"/>
      </w:pPr>
      <w:r>
        <w:rPr>
          <w:rFonts w:ascii="Arial" w:cs="Arial" w:eastAsia="Arial" w:hAnsi="Arial"/>
          <w:sz w:val="22"/>
          <w:szCs w:val="22"/>
        </w:rPr>
        <w:t xml:space="preserve">Successor trustee process: Defined appointment and qualification criteria for future trustees</w:t>
      </w:r>
    </w:p>
    <w:p>
      <w:pPr>
        <w:pStyle w:val="ListParagraph"/>
        <w:numPr>
          <w:ilvl w:val="0"/>
          <w:numId w:val="2"/>
        </w:numPr>
        <w:spacing w:before="60" w:after="60"/>
      </w:pPr>
      <w:r>
        <w:rPr>
          <w:rFonts w:ascii="Arial" w:cs="Arial" w:eastAsia="Arial" w:hAnsi="Arial"/>
          <w:sz w:val="22"/>
          <w:szCs w:val="22"/>
        </w:rPr>
        <w:t xml:space="preserve">Trust purpose clause: Explicit statement that the Trust exists solely to preserve the G.O.D.S constitutional architecture across generations</w:t>
      </w:r>
    </w:p>
    <w:p>
      <w:pPr>
        <w:spacing w:before="80" w:after="80"/>
      </w:pPr>
      <w:r>
        <w:t xml:space="preserve"/>
      </w:r>
    </w:p>
    <w:p>
      <w:r>
        <w:br w:type="page"/>
      </w:r>
    </w:p>
    <w:p>
      <w:pPr>
        <w:spacing w:before="400" w:after="160"/>
      </w:pPr>
      <w:r>
        <w:rPr>
          <w:rFonts w:ascii="Arial" w:cs="Arial" w:eastAsia="Arial" w:hAnsi="Arial"/>
          <w:b/>
          <w:bCs/>
          <w:color w:val="0A0A0A"/>
          <w:sz w:val="36"/>
          <w:szCs w:val="36"/>
        </w:rPr>
        <w:t xml:space="preserve">PART THREE — G.O.D.S HOLDINGS MOI BLUEPRINT</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Share Structure</w:t>
      </w:r>
    </w:p>
    <w:p>
      <w:pPr>
        <w:spacing w:before="80" w:after="80"/>
      </w:pPr>
      <w:r>
        <w:rPr>
          <w:rFonts w:ascii="Arial" w:cs="Arial" w:eastAsia="Arial" w:hAnsi="Arial"/>
          <w:b w:val="false"/>
          <w:bCs w:val="false"/>
          <w:color w:val="111111"/>
          <w:sz w:val="22"/>
          <w:szCs w:val="22"/>
        </w:rPr>
        <w:t xml:space="preserve">The Memorandum of Incorporation for G.O.D.S Holdings (Pty) Ltd must be a custom document — not the default CIPC template. The following is the architectural blueprint for what it must contain.</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9F5EC"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Authorized Share Capital</w:t>
            </w:r>
          </w:p>
          <w:p>
            <w:pPr>
              <w:spacing w:before="80" w:after="80"/>
            </w:pPr>
            <w:r>
              <w:rPr>
                <w:rFonts w:ascii="Arial" w:cs="Arial" w:eastAsia="Arial" w:hAnsi="Arial"/>
                <w:b w:val="false"/>
                <w:bCs w:val="false"/>
                <w:color w:val="111111"/>
                <w:sz w:val="22"/>
                <w:szCs w:val="22"/>
              </w:rPr>
              <w:t xml:space="preserve">Total authorized shares: 10,000,000 (ten million)</w:t>
            </w:r>
          </w:p>
          <w:p>
            <w:pPr>
              <w:spacing w:before="80" w:after="80"/>
            </w:pPr>
            <w:r>
              <w:rPr>
                <w:rFonts w:ascii="Arial" w:cs="Arial" w:eastAsia="Arial" w:hAnsi="Arial"/>
                <w:b w:val="false"/>
                <w:bCs w:val="false"/>
                <w:color w:val="111111"/>
                <w:sz w:val="22"/>
                <w:szCs w:val="22"/>
              </w:rPr>
              <w:t xml:space="preserve">Initially issued shares: 1,000 (one thousand) — all Class A, held by the G.O.D.S IP Trust on behalf of the Founder</w:t>
            </w:r>
          </w:p>
          <w:p>
            <w:pPr>
              <w:spacing w:before="80" w:after="80"/>
            </w:pPr>
            <w:r>
              <w:rPr>
                <w:rFonts w:ascii="Arial" w:cs="Arial" w:eastAsia="Arial" w:hAnsi="Arial"/>
                <w:b w:val="false"/>
                <w:bCs w:val="false"/>
                <w:color w:val="111111"/>
                <w:sz w:val="22"/>
                <w:szCs w:val="22"/>
              </w:rPr>
              <w:t xml:space="preserve">Remaining 9,999,000 shares remain authorized but unissued, available for future issuance by Board resolution</w:t>
            </w:r>
          </w:p>
          <w:p>
            <w:pPr>
              <w:spacing w:before="80" w:after="80"/>
            </w:pPr>
            <w:r>
              <w:t xml:space="preserve"/>
            </w:r>
          </w:p>
          <w:p>
            <w:pPr>
              <w:spacing w:before="200" w:after="80"/>
            </w:pPr>
            <w:r>
              <w:rPr>
                <w:rFonts w:ascii="Arial" w:cs="Arial" w:eastAsia="Arial" w:hAnsi="Arial"/>
                <w:b/>
                <w:bCs/>
                <w:color w:val="C9A84C"/>
                <w:sz w:val="24"/>
                <w:szCs w:val="24"/>
              </w:rPr>
              <w:t xml:space="preserve">Share Classes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00"/>
              <w:gridCol w:w="2000"/>
              <w:gridCol w:w="1400"/>
              <w:gridCol w:w="2700"/>
              <w:gridCol w:w="2360"/>
            </w:tblGrid>
            <w:tr>
              <w:tc>
                <w:tcPr>
                  <w:tcW w:type="dxa" w:w="9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Class</w:t>
                  </w:r>
                </w:p>
              </w:tc>
              <w:tc>
                <w:tcPr>
                  <w:tcW w:type="dxa" w:w="20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Name</w:t>
                  </w:r>
                </w:p>
              </w:tc>
              <w:tc>
                <w:tcPr>
                  <w:tcW w:type="dxa" w:w="14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Voting Rights</w:t>
                  </w:r>
                </w:p>
              </w:tc>
              <w:tc>
                <w:tcPr>
                  <w:tcW w:type="dxa" w:w="27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Purpose</w:t>
                  </w:r>
                </w:p>
              </w:tc>
              <w:tc>
                <w:tcPr>
                  <w:tcW w:type="dxa" w:w="23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Who Can Hold</w:t>
                  </w:r>
                </w:p>
              </w:tc>
            </w:tr>
            <w:tr>
              <w:tc>
                <w:tcPr>
                  <w:tcW w:type="dxa" w:w="9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Class A</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Founder Governance Shares</w:t>
                  </w:r>
                </w:p>
              </w:tc>
              <w:tc>
                <w:tcPr>
                  <w:tcW w:type="dxa" w:w="1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10 votes per share</w:t>
                  </w:r>
                </w:p>
              </w:tc>
              <w:tc>
                <w:tcPr>
                  <w:tcW w:type="dxa" w:w="27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Constitutional control and system direction</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G.O.D.S IP Trust only. Cannot be transferred to any other holder.</w:t>
                  </w:r>
                </w:p>
              </w:tc>
            </w:tr>
            <w:tr>
              <w:tc>
                <w:tcPr>
                  <w:tcW w:type="dxa" w:w="9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Class B</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Investor Shares</w:t>
                  </w:r>
                </w:p>
              </w:tc>
              <w:tc>
                <w:tcPr>
                  <w:tcW w:type="dxa" w:w="1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1 vote per share</w:t>
                  </w:r>
                </w:p>
              </w:tc>
              <w:tc>
                <w:tcPr>
                  <w:tcW w:type="dxa" w:w="27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Commercial participation and capital returns</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Institutional investors, strategic investors, approved individuals</w:t>
                  </w:r>
                </w:p>
              </w:tc>
            </w:tr>
            <w:tr>
              <w:tc>
                <w:tcPr>
                  <w:tcW w:type="dxa" w:w="9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Class C</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Strategic Partner Shares</w:t>
                  </w:r>
                </w:p>
              </w:tc>
              <w:tc>
                <w:tcPr>
                  <w:tcW w:type="dxa" w:w="1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1 vote per share, with restrictions</w:t>
                  </w:r>
                </w:p>
              </w:tc>
              <w:tc>
                <w:tcPr>
                  <w:tcW w:type="dxa" w:w="27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Government, sovereign fund, and development finance partnerships</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Government entities, DFIs, sovereign funds only</w:t>
                  </w:r>
                </w:p>
              </w:tc>
            </w:tr>
            <w:tr>
              <w:tc>
                <w:tcPr>
                  <w:tcW w:type="dxa" w:w="9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Class D</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Employee Participation Shares</w:t>
                  </w:r>
                </w:p>
              </w:tc>
              <w:tc>
                <w:tcPr>
                  <w:tcW w:type="dxa" w:w="14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No voting rights</w:t>
                  </w:r>
                </w:p>
              </w:tc>
              <w:tc>
                <w:tcPr>
                  <w:tcW w:type="dxa" w:w="27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Workforce participation and long-term incentive</w:t>
                  </w:r>
                </w:p>
              </w:tc>
              <w:tc>
                <w:tcPr>
                  <w:tcW w:type="dxa" w:w="23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Employees of any G.O.D.S entity and S.E.T.H.S program graduates after 3 years employment</w:t>
                  </w:r>
                </w:p>
              </w:tc>
            </w:tr>
          </w:tbl>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FF3E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CRITICAL VOTING CONTROL CALCULATION</w:t>
            </w:r>
          </w:p>
          <w:p>
            <w:pPr>
              <w:spacing w:before="80" w:after="80"/>
            </w:pPr>
            <w:r>
              <w:rPr>
                <w:rFonts w:ascii="Arial" w:cs="Arial" w:eastAsia="Arial" w:hAnsi="Arial"/>
                <w:b w:val="false"/>
                <w:bCs w:val="false"/>
                <w:color w:val="111111"/>
                <w:sz w:val="22"/>
                <w:szCs w:val="22"/>
              </w:rPr>
              <w:t xml:space="preserve">With 1,000 Class A shares at 10 votes per share, the IP Trust holds 10,000 votes. To lose constitutional control, Class B and C shares would need to be issued at a total of more than 10,001 shares — which requires Board approval. The Founder (via the Trust) holds a permanent Board seat with veto authority over new share issuances. This means control can never be diluted without explicit Founder consent.</w:t>
            </w:r>
          </w:p>
        </w:tc>
      </w:tr>
    </w:tbl>
    <w:p>
      <w:pPr>
        <w:spacing w:before="80" w:after="80"/>
      </w:pPr>
      <w:r>
        <w:t xml:space="preserve"/>
      </w:r>
    </w:p>
    <w:p>
      <w:pPr>
        <w:spacing w:before="280" w:after="120"/>
      </w:pPr>
      <w:r>
        <w:rPr>
          <w:rFonts w:ascii="Arial" w:cs="Arial" w:eastAsia="Arial" w:hAnsi="Arial"/>
          <w:b/>
          <w:bCs/>
          <w:color w:val="1A1A2E"/>
          <w:sz w:val="28"/>
          <w:szCs w:val="28"/>
        </w:rPr>
        <w:t xml:space="preserve">MOI Section Architecture — Blueprint</w:t>
      </w:r>
    </w:p>
    <w:p>
      <w:pPr>
        <w:spacing w:before="80" w:after="80"/>
      </w:pPr>
      <w:r>
        <w:rPr>
          <w:rFonts w:ascii="Arial" w:cs="Arial" w:eastAsia="Arial" w:hAnsi="Arial"/>
          <w:b w:val="false"/>
          <w:bCs w:val="false"/>
          <w:color w:val="111111"/>
          <w:sz w:val="22"/>
          <w:szCs w:val="22"/>
        </w:rPr>
        <w:t xml:space="preserve">The following sections must appear in the G.O.D.S Holdings MOI. The section titles and content descriptions below are the architectural blueprint. A qualified attorney must draft the binding legal language.</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SECTION 1: COMPANY NAME AND TYPE</w:t>
            </w:r>
          </w:p>
          <w:p>
            <w:pPr>
              <w:spacing w:before="80" w:after="80"/>
            </w:pPr>
            <w:r>
              <w:rPr>
                <w:rFonts w:ascii="Arial" w:cs="Arial" w:eastAsia="Arial" w:hAnsi="Arial"/>
                <w:b w:val="false"/>
                <w:bCs w:val="false"/>
                <w:color w:val="111111"/>
                <w:sz w:val="22"/>
                <w:szCs w:val="22"/>
              </w:rPr>
              <w:t xml:space="preserve">G.O.D.S Holdings (Pty) Ltd. Private company. Not publicly traded. No public offer of shares permitted without conversion to public company status, which requires 75% shareholder vote and IP Trust consent.</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SECTION 2: OBJECTS CLAUSE — MULTI-SECTOR AUTHORIZATION</w:t>
            </w:r>
          </w:p>
          <w:p>
            <w:pPr>
              <w:spacing w:before="80" w:after="80"/>
            </w:pPr>
            <w:r>
              <w:rPr>
                <w:rFonts w:ascii="Arial" w:cs="Arial" w:eastAsia="Arial" w:hAnsi="Arial"/>
                <w:b w:val="false"/>
                <w:bCs w:val="false"/>
                <w:color w:val="111111"/>
                <w:sz w:val="22"/>
                <w:szCs w:val="22"/>
              </w:rPr>
              <w:t xml:space="preserve">The Company may engage in, conduct, or support business activities including but not limited to: infrastructure development and construction; technology systems and digital infrastructure; agricultural technology and food security systems; manufacturing and industrial production; energy production, storage, and distribution; water systems and utilities; telecommunications and digital communications; logistics and supply chain management; artificial intelligence systems and governance; human capital development and workforce reintegration; financial services and capital management; economic development programs and partnerships; government services and sovereign advisory; and all activities ancillary or related to the above.</w:t>
            </w:r>
          </w:p>
          <w:p>
            <w:pPr>
              <w:spacing w:before="80" w:after="80"/>
            </w:pPr>
            <w:r>
              <w:t xml:space="preserve"/>
            </w:r>
          </w:p>
          <w:p>
            <w:pPr>
              <w:spacing w:before="80" w:after="80"/>
            </w:pPr>
            <w:r>
              <w:rPr>
                <w:rFonts w:ascii="Arial" w:cs="Arial" w:eastAsia="Arial" w:hAnsi="Arial"/>
                <w:b w:val="false"/>
                <w:bCs w:val="false"/>
                <w:color w:val="111111"/>
                <w:sz w:val="22"/>
                <w:szCs w:val="22"/>
              </w:rPr>
              <w:t xml:space="preserve">This clause is intentionally broad. It legally authorizes all T.S subsidiary activities and all division operations under a single Holdings entity.</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SECTION 3: DIVISION STRUCTURE</w:t>
            </w:r>
          </w:p>
          <w:p>
            <w:pPr>
              <w:spacing w:before="80" w:after="80"/>
            </w:pPr>
            <w:r>
              <w:rPr>
                <w:rFonts w:ascii="Arial" w:cs="Arial" w:eastAsia="Arial" w:hAnsi="Arial"/>
                <w:b w:val="false"/>
                <w:bCs w:val="false"/>
                <w:color w:val="111111"/>
                <w:sz w:val="22"/>
                <w:szCs w:val="22"/>
              </w:rPr>
              <w:t xml:space="preserve">The Company shall organize its strategic operations through four structural divisions: (1) S.E.T.H.S — Systematically Engineered To Hinder Speculators — Human Capital Infrastructure; (2) T.S — The Technological Sector — Production and Infrastructure; (3) UDOC — Unified Digital Oversight and Coordination — Digital Governance Infrastructure; (4) M.A.D.I.B.A — My African Dream Is Being Achieved — Capital and Sovereign Partnerships. Each division may be implemented through wholly-owned or majority-owned subsidiary companies, joint ventures, or special purpose vehicles.</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SECTION 4: CONSTITUTIONAL PILLARS INCORPORATION</w:t>
            </w:r>
          </w:p>
          <w:p>
            <w:pPr>
              <w:spacing w:before="80" w:after="80"/>
            </w:pPr>
            <w:r>
              <w:rPr>
                <w:rFonts w:ascii="Arial" w:cs="Arial" w:eastAsia="Arial" w:hAnsi="Arial"/>
                <w:b w:val="false"/>
                <w:bCs w:val="false"/>
                <w:color w:val="111111"/>
                <w:sz w:val="22"/>
                <w:szCs w:val="22"/>
              </w:rPr>
              <w:t xml:space="preserve">The Company shall operate in permanent alignment with the 12 Constitutional Pillars of the G.O.D.S Framework, as held in their definitive form by the G.O.D.S IP Trust. The Constitutional Pillars shall guide all material decisions relating to investment strategy, operational expansion, workforce development, technology governance, and capital deployment. No Board resolution, shareholder vote, or executive decision that materially violates any Constitutional Pillar shall be valid. The Constitutional Oversight Board holds binding authority to determine whether a proposed action violates the Constitutional Pillars.</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SECTION 5: IP TRUST RECOGNITION</w:t>
            </w:r>
          </w:p>
          <w:p>
            <w:pPr>
              <w:spacing w:before="80" w:after="80"/>
            </w:pPr>
            <w:r>
              <w:rPr>
                <w:rFonts w:ascii="Arial" w:cs="Arial" w:eastAsia="Arial" w:hAnsi="Arial"/>
                <w:b w:val="false"/>
                <w:bCs w:val="false"/>
                <w:color w:val="111111"/>
                <w:sz w:val="22"/>
                <w:szCs w:val="22"/>
              </w:rPr>
              <w:t xml:space="preserve">The Intellectual Property, constitutional framework, system architecture, and Class A governance shares of the Company are held in custodianship by the G.O.D.S IP Trust, a Trust registered with the Master of the High Court, Johannesburg. The Trust's custodianship rights are perpetual and cannot be terminated by any shareholder vote, Board resolution, or commercial transaction. Any proposed amendment to the relationship between the Company and the IP Trust requires a 75% shareholder vote, unanimous IP Trust Trustee vote, and a 10-year implementation period.</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SECTION 6: CONSTITUTIONAL OVERSIGHT BOARD</w:t>
            </w:r>
          </w:p>
          <w:p>
            <w:pPr>
              <w:spacing w:before="80" w:after="80"/>
            </w:pPr>
            <w:r>
              <w:rPr>
                <w:rFonts w:ascii="Arial" w:cs="Arial" w:eastAsia="Arial" w:hAnsi="Arial"/>
                <w:b w:val="false"/>
                <w:bCs w:val="false"/>
                <w:color w:val="111111"/>
                <w:sz w:val="22"/>
                <w:szCs w:val="22"/>
              </w:rPr>
              <w:t xml:space="preserve">The Company shall maintain a Constitutional Oversight Board (COB) comprising not fewer than five and not more than nine independent members appointed through the process defined in the Constitutional Oversight Board Charter. The COB has binding authority to review any material decision against the 12 Constitutional Pillars and to issue a binding halt order on any action it determines to be in material violation. The COB operates independently of the Board of Directors and reports to the IP Trust, not to shareholders.</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SECTION 7: FOUNDER AUTHORITY AND CONSTRAINT</w:t>
            </w:r>
          </w:p>
          <w:p>
            <w:pPr>
              <w:spacing w:before="80" w:after="80"/>
            </w:pPr>
            <w:r>
              <w:rPr>
                <w:rFonts w:ascii="Arial" w:cs="Arial" w:eastAsia="Arial" w:hAnsi="Arial"/>
                <w:b w:val="false"/>
                <w:bCs w:val="false"/>
                <w:color w:val="111111"/>
                <w:sz w:val="22"/>
                <w:szCs w:val="22"/>
              </w:rPr>
              <w:t xml:space="preserve">The Founder holds Class A shares through the G.O.D.S IP Trust and occupies the position of Executive Chairman of G.O.D.S Holdings. The Founder may be removed from operational authority — but not from ownership — by a unanimous COB resolution confirming material and documented violation of three or more Constitutional Pillars. Removal from operational authority does not affect Class A share rights held by the IP Trust. The Founder retains governance authority (via Class A votes) even in the absence of operational authority.</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SECTION 8: SUBSIDIARY AND SPV AUTHORIZATION</w:t>
            </w:r>
          </w:p>
          <w:p>
            <w:pPr>
              <w:spacing w:before="80" w:after="80"/>
            </w:pPr>
            <w:r>
              <w:rPr>
                <w:rFonts w:ascii="Arial" w:cs="Arial" w:eastAsia="Arial" w:hAnsi="Arial"/>
                <w:b w:val="false"/>
                <w:bCs w:val="false"/>
                <w:color w:val="111111"/>
                <w:sz w:val="22"/>
                <w:szCs w:val="22"/>
              </w:rPr>
              <w:t xml:space="preserve">The Company may incorporate subsidiary companies, establish joint ventures, create special purpose vehicles, and participate in public-private partnerships to execute activities within the scope of the Objects Clause. Each such entity shall be required to operate in alignment with the Constitutional Pillars. No subsidiary or SPV may be structured in a manner that circumvents the governance architecture of the Company.</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SECTION 9: GENERATIONAL SUCCESSION</w:t>
            </w:r>
          </w:p>
          <w:p>
            <w:pPr>
              <w:spacing w:before="80" w:after="80"/>
            </w:pPr>
            <w:r>
              <w:rPr>
                <w:rFonts w:ascii="Arial" w:cs="Arial" w:eastAsia="Arial" w:hAnsi="Arial"/>
                <w:b w:val="false"/>
                <w:bCs w:val="false"/>
                <w:color w:val="111111"/>
                <w:sz w:val="22"/>
                <w:szCs w:val="22"/>
              </w:rPr>
              <w:t xml:space="preserve">Upon the death, permanent incapacitation, or voluntary retirement of the Founder, the Class A shares held by the G.O.D.S IP Trust shall continue to be held by the Trust and exercised by the Trustees in accordance with the Trust deed. The Trust deed defines the succession of Founder-designated family members as successor trustees. The institutional continuity of G.O.D.S Holdings is not dependent on the survival or capacity of any individual.</w:t>
            </w:r>
          </w:p>
        </w:tc>
      </w:tr>
    </w:tbl>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SECTION 10: EMPLOYEE AND PARTICIPANT EQUITY</w:t>
            </w:r>
          </w:p>
          <w:p>
            <w:pPr>
              <w:spacing w:before="80" w:after="80"/>
            </w:pPr>
            <w:r>
              <w:rPr>
                <w:rFonts w:ascii="Arial" w:cs="Arial" w:eastAsia="Arial" w:hAnsi="Arial"/>
                <w:b w:val="false"/>
                <w:bCs w:val="false"/>
                <w:color w:val="111111"/>
                <w:sz w:val="22"/>
                <w:szCs w:val="22"/>
              </w:rPr>
              <w:t xml:space="preserve">The Company may issue Class D participation shares or phantom equity instruments to employees of any G.O.D.S entity who have served for not less than three consecutive years, and to S.E.T.H.S program graduates who have maintained employment for not less than three consecutive years. Class D instruments carry no voting rights but entitle holders to defined economic participation rights as specified in the relevant participation scheme.</w:t>
            </w:r>
          </w:p>
        </w:tc>
      </w:tr>
    </w:tbl>
    <w:p>
      <w:pPr>
        <w:spacing w:before="80" w:after="80"/>
      </w:pPr>
      <w:r>
        <w:t xml:space="preserve"/>
      </w:r>
    </w:p>
    <w:p>
      <w:r>
        <w:br w:type="page"/>
      </w:r>
    </w:p>
    <w:p>
      <w:pPr>
        <w:spacing w:before="400" w:after="160"/>
      </w:pPr>
      <w:r>
        <w:rPr>
          <w:rFonts w:ascii="Arial" w:cs="Arial" w:eastAsia="Arial" w:hAnsi="Arial"/>
          <w:b/>
          <w:bCs/>
          <w:color w:val="0A0A0A"/>
          <w:sz w:val="36"/>
          <w:szCs w:val="36"/>
        </w:rPr>
        <w:t xml:space="preserve">PART FOUR — TS INDUSTRIES MOI BLUEPRINT</w:t>
      </w:r>
    </w:p>
    <w:p>
      <w:pPr>
        <w:pBdr>
          <w:bottom w:val="single" w:color="C9A84C" w:sz="4"/>
        </w:pBdr>
        <w:spacing w:before="120" w:after="120"/>
      </w:pPr>
    </w:p>
    <w:p>
      <w:pPr>
        <w:spacing w:before="280" w:after="120"/>
      </w:pPr>
      <w:r>
        <w:rPr>
          <w:rFonts w:ascii="Arial" w:cs="Arial" w:eastAsia="Arial" w:hAnsi="Arial"/>
          <w:b/>
          <w:bCs/>
          <w:color w:val="1A1A2E"/>
          <w:sz w:val="28"/>
          <w:szCs w:val="28"/>
        </w:rPr>
        <w:t xml:space="preserve">Multi-Sector Registration Architecture</w:t>
      </w:r>
    </w:p>
    <w:p>
      <w:pPr>
        <w:spacing w:before="80" w:after="80"/>
      </w:pPr>
      <w:r>
        <w:rPr>
          <w:rFonts w:ascii="Arial" w:cs="Arial" w:eastAsia="Arial" w:hAnsi="Arial"/>
          <w:b w:val="false"/>
          <w:bCs w:val="false"/>
          <w:color w:val="111111"/>
          <w:sz w:val="22"/>
          <w:szCs w:val="22"/>
        </w:rPr>
        <w:t xml:space="preserve">TS Industries (Pty) Ltd is the operational holding company for all T.S sector subsidiaries. Its MOI must be structured to authorize multi-sector operations and to allow subsidiary creation across all SIC categories.</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1"/>
              <w:left w:val="single" w:color="C9A84C" w:sz="1"/>
              <w:bottom w:val="single" w:color="C9A84C" w:sz="1"/>
              <w:right w:val="single" w:color="C9A84C" w:sz="1"/>
            </w:tcBorders>
            <w:shd w:fill="F5F5F0" w:val="clear"/>
            <w:tcMar>
              <w:top w:type="dxa" w:w="200"/>
              <w:left w:type="dxa" w:w="300"/>
              <w:bottom w:type="dxa" w:w="200"/>
              <w:right w:type="dxa" w:w="300"/>
            </w:tcMar>
          </w:tcPr>
          <w:p>
            <w:pPr>
              <w:spacing w:before="200" w:after="80"/>
            </w:pPr>
            <w:r>
              <w:rPr>
                <w:rFonts w:ascii="Arial" w:cs="Arial" w:eastAsia="Arial" w:hAnsi="Arial"/>
                <w:b/>
                <w:bCs/>
                <w:color w:val="C9A84C"/>
                <w:sz w:val="24"/>
                <w:szCs w:val="24"/>
              </w:rPr>
              <w:t xml:space="preserve">TS INDUSTRIES SUBSIDIARY STRUCTURE</w:t>
            </w:r>
          </w:p>
          <w:p>
            <w:pPr>
              <w:spacing w:before="80"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2000"/>
              <w:gridCol w:w="3000"/>
              <w:gridCol w:w="1760"/>
            </w:tblGrid>
            <w:tr>
              <w:tc>
                <w:tcPr>
                  <w:tcW w:type="dxa" w:w="26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Subsidiary Entity</w:t>
                  </w:r>
                </w:p>
              </w:tc>
              <w:tc>
                <w:tcPr>
                  <w:tcW w:type="dxa" w:w="20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Primary SIC Code(s)</w:t>
                  </w:r>
                </w:p>
              </w:tc>
              <w:tc>
                <w:tcPr>
                  <w:tcW w:type="dxa" w:w="300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Primary Activities</w:t>
                  </w:r>
                </w:p>
              </w:tc>
              <w:tc>
                <w:tcPr>
                  <w:tcW w:type="dxa" w:w="1760"/>
                  <w:tcBorders>
                    <w:top w:val="single" w:color="C9A84C" w:sz="1"/>
                    <w:left w:val="single" w:color="C9A84C" w:sz="1"/>
                    <w:bottom w:val="single" w:color="C9A84C" w:sz="1"/>
                    <w:right w:val="single" w:color="C9A84C" w:sz="1"/>
                  </w:tcBorders>
                  <w:shd w:fill="1A1A2E" w:val="clear"/>
                  <w:tcMar>
                    <w:top w:type="dxa" w:w="80"/>
                    <w:left w:type="dxa" w:w="120"/>
                    <w:bottom w:type="dxa" w:w="80"/>
                    <w:right w:type="dxa" w:w="120"/>
                  </w:tcMar>
                </w:tcPr>
                <w:p>
                  <w:r>
                    <w:rPr>
                      <w:rFonts w:ascii="Arial" w:cs="Arial" w:eastAsia="Arial" w:hAnsi="Arial"/>
                      <w:b/>
                      <w:bCs/>
                      <w:color w:val="FFFFFF"/>
                      <w:sz w:val="20"/>
                      <w:szCs w:val="20"/>
                    </w:rPr>
                    <w:t xml:space="preserve">First Operational Year</w:t>
                  </w:r>
                </w:p>
              </w:tc>
            </w:tr>
            <w:tr>
              <w:tc>
                <w:tcPr>
                  <w:tcW w:type="dxa" w:w="2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Energy (Pty) Ltd</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40100 — Electricity production and distribution</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Solar PV installation, battery storage, microgrid systems, renewable energy EPC</w:t>
                  </w:r>
                </w:p>
              </w:tc>
              <w:tc>
                <w:tcPr>
                  <w:tcW w:type="dxa" w:w="1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Year 1–2</w:t>
                  </w:r>
                </w:p>
              </w:tc>
            </w:tr>
            <w:tr>
              <w:tc>
                <w:tcPr>
                  <w:tcW w:type="dxa" w:w="2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Construction &amp; Housing (Pty) Ltd</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45000 — Construction</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Modular housing, government social housing contracts, infrastructure construction</w:t>
                  </w:r>
                </w:p>
              </w:tc>
              <w:tc>
                <w:tcPr>
                  <w:tcW w:type="dxa" w:w="1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Year 1–2</w:t>
                  </w:r>
                </w:p>
              </w:tc>
            </w:tr>
            <w:tr>
              <w:tc>
                <w:tcPr>
                  <w:tcW w:type="dxa" w:w="2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AgriTech (Pty) Ltd</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01000 — Agriculture; 73000 — R&amp;D</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Vertical farming, precision agriculture, hydroponics, food security systems</w:t>
                  </w:r>
                </w:p>
              </w:tc>
              <w:tc>
                <w:tcPr>
                  <w:tcW w:type="dxa" w:w="1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Year 2–3</w:t>
                  </w:r>
                </w:p>
              </w:tc>
            </w:tr>
            <w:tr>
              <w:tc>
                <w:tcPr>
                  <w:tcW w:type="dxa" w:w="2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Water Systems (Pty) Ltd</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41000 — Water purification and distribution</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Municipal water infrastructure, wastewater systems, water management technology</w:t>
                  </w:r>
                </w:p>
              </w:tc>
              <w:tc>
                <w:tcPr>
                  <w:tcW w:type="dxa" w:w="1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Year 2–3</w:t>
                  </w:r>
                </w:p>
              </w:tc>
            </w:tr>
            <w:tr>
              <w:tc>
                <w:tcPr>
                  <w:tcW w:type="dxa" w:w="2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Digital Infrastructure (Pty) Ltd</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64200 — Telecommunications; 72000 — Computer services</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Data centres, fibre infrastructure, UDOC hosting, sovereign cloud infrastructure</w:t>
                  </w:r>
                </w:p>
              </w:tc>
              <w:tc>
                <w:tcPr>
                  <w:tcW w:type="dxa" w:w="1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Year 2–3</w:t>
                  </w:r>
                </w:p>
              </w:tc>
            </w:tr>
            <w:tr>
              <w:tc>
                <w:tcPr>
                  <w:tcW w:type="dxa" w:w="2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Manufacturing (Pty) Ltd</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28000–35000 — Manufacturing</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Industrial components, modular building materials, renewable energy components</w:t>
                  </w:r>
                </w:p>
              </w:tc>
              <w:tc>
                <w:tcPr>
                  <w:tcW w:type="dxa" w:w="1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Year 3–5</w:t>
                  </w:r>
                </w:p>
              </w:tc>
            </w:tr>
            <w:tr>
              <w:tc>
                <w:tcPr>
                  <w:tcW w:type="dxa" w:w="26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TS Logistics (Pty) Ltd</w:t>
                  </w:r>
                </w:p>
              </w:tc>
              <w:tc>
                <w:tcPr>
                  <w:tcW w:type="dxa" w:w="2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60000 — Land transport; 63000 — Support activities</w:t>
                  </w:r>
                </w:p>
              </w:tc>
              <w:tc>
                <w:tcPr>
                  <w:tcW w:type="dxa" w:w="300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Last-mile delivery, supply chain optimisation, logistics infrastructure</w:t>
                  </w:r>
                </w:p>
              </w:tc>
              <w:tc>
                <w:tcPr>
                  <w:tcW w:type="dxa" w:w="1760"/>
                  <w:tcBorders>
                    <w:top w:val="single" w:color="C9A84C" w:sz="1"/>
                    <w:left w:val="single" w:color="C9A84C" w:sz="1"/>
                    <w:bottom w:val="single" w:color="C9A84C" w:sz="1"/>
                    <w:right w:val="single" w:color="C9A84C" w:sz="1"/>
                  </w:tcBorders>
                  <w:tcMar>
                    <w:top w:type="dxa" w:w="80"/>
                    <w:left w:type="dxa" w:w="120"/>
                    <w:bottom w:type="dxa" w:w="80"/>
                    <w:right w:type="dxa" w:w="120"/>
                  </w:tcMar>
                </w:tcPr>
                <w:p>
                  <w:r>
                    <w:rPr>
                      <w:rFonts w:ascii="Arial" w:cs="Arial" w:eastAsia="Arial" w:hAnsi="Arial"/>
                      <w:sz w:val="20"/>
                      <w:szCs w:val="20"/>
                    </w:rPr>
                    <w:t xml:space="preserve">Year 3–5</w:t>
                  </w:r>
                </w:p>
              </w:tc>
            </w:tr>
          </w:tbl>
          <w:p/>
        </w:tc>
      </w:tr>
    </w:tbl>
    <w:p>
      <w:pPr>
        <w:spacing w:before="80" w:after="80"/>
      </w:pPr>
      <w:r>
        <w:t xml:space="preserve"/>
      </w:r>
    </w:p>
    <w:p>
      <w:pPr>
        <w:spacing w:before="80" w:after="80"/>
      </w:pPr>
      <w:r>
        <w:t xml:space="preserve"/>
      </w:r>
    </w:p>
    <w:p>
      <w:pPr>
        <w:pBdr>
          <w:bottom w:val="single" w:color="C9A84C" w:sz="4"/>
        </w:pBdr>
        <w:spacing w:before="120" w:after="120"/>
      </w:pPr>
    </w:p>
    <w:p>
      <w:pPr>
        <w:spacing w:before="80" w:after="80"/>
      </w:pPr>
      <w:r>
        <w:t xml:space="preserve"/>
      </w:r>
    </w:p>
    <w:p>
      <w:pPr>
        <w:spacing w:before="80" w:after="80"/>
        <w:jc w:val="center"/>
      </w:pPr>
      <w:r>
        <w:rPr>
          <w:rFonts w:ascii="Arial" w:cs="Arial" w:eastAsia="Arial" w:hAnsi="Arial"/>
          <w:b/>
          <w:bCs/>
          <w:color w:val="1A1A2E"/>
          <w:sz w:val="22"/>
          <w:szCs w:val="22"/>
        </w:rPr>
        <w:t xml:space="preserve">Constitutional Governance Charter &amp; MOI Blueprint — G.O.D.S Holdings</w:t>
      </w:r>
    </w:p>
    <w:p>
      <w:pPr>
        <w:spacing w:before="80" w:after="80"/>
        <w:jc w:val="center"/>
      </w:pPr>
      <w:r>
        <w:rPr>
          <w:rFonts w:ascii="Arial" w:cs="Arial" w:eastAsia="Arial" w:hAnsi="Arial"/>
          <w:b w:val="false"/>
          <w:bCs w:val="false"/>
          <w:color w:val="888888"/>
          <w:sz w:val="20"/>
          <w:szCs w:val="20"/>
        </w:rPr>
        <w:t xml:space="preserve">G.O.D.S Holdings | Johannesburg, South Africa | 2026</w:t>
      </w:r>
    </w:p>
    <w:p>
      <w:pPr>
        <w:spacing w:before="0" w:after="200"/>
        <w:jc w:val="center"/>
      </w:pPr>
      <w:r>
        <w:rPr>
          <w:rFonts w:ascii="Arial" w:cs="Arial" w:eastAsia="Arial" w:hAnsi="Arial"/>
          <w:i/>
          <w:iCs/>
          <w:color w:val="888888"/>
          <w:sz w:val="20"/>
          <w:szCs w:val="20"/>
        </w:rPr>
        <w:t xml:space="preserve">CONFIDENTIAL — For Institutional Review Only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2026-03-12T08:00:48.105Z</dcterms:created>
  <dcterms:modified xsi:type="dcterms:W3CDTF">2026-03-12T08:00:48.106Z</dcterms:modified>
</cp:coreProperties>
</file>

<file path=docProps/custom.xml><?xml version="1.0" encoding="utf-8"?>
<Properties xmlns="http://schemas.openxmlformats.org/officeDocument/2006/custom-properties" xmlns:vt="http://schemas.openxmlformats.org/officeDocument/2006/docPropsVTypes"/>
</file>