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B8536" w14:textId="77777777" w:rsidR="009151BA" w:rsidRDefault="004439A8">
      <w:pPr>
        <w:spacing w:before="1440" w:after="200"/>
        <w:jc w:val="center"/>
      </w:pPr>
      <w:r>
        <w:rPr>
          <w:rFonts w:ascii="Georgia" w:eastAsia="Georgia" w:hAnsi="Georgia" w:cs="Georgia"/>
          <w:b/>
          <w:bCs/>
          <w:color w:val="BF9B30"/>
          <w:sz w:val="120"/>
          <w:szCs w:val="120"/>
        </w:rPr>
        <w:t>G.O.D.S</w:t>
      </w:r>
    </w:p>
    <w:p w14:paraId="4E023FD5" w14:textId="77777777" w:rsidR="009151BA" w:rsidRDefault="004439A8">
      <w:pPr>
        <w:spacing w:before="120" w:after="120"/>
        <w:jc w:val="center"/>
      </w:pPr>
      <w:r>
        <w:rPr>
          <w:color w:val="0D2B55"/>
          <w:sz w:val="34"/>
          <w:szCs w:val="34"/>
        </w:rPr>
        <w:t>GOOD ORDERLY DIRECTIONAL SYSTEMS</w:t>
      </w:r>
    </w:p>
    <w:p w14:paraId="4757B8B4" w14:textId="77777777" w:rsidR="009151BA" w:rsidRDefault="009151BA">
      <w:pPr>
        <w:pBdr>
          <w:bottom w:val="single" w:sz="6" w:space="1" w:color="C9A84C"/>
        </w:pBdr>
        <w:spacing w:before="240" w:after="240"/>
      </w:pPr>
    </w:p>
    <w:p w14:paraId="0B55A191" w14:textId="77777777" w:rsidR="009151BA" w:rsidRDefault="004439A8">
      <w:pPr>
        <w:spacing w:before="120" w:after="120"/>
        <w:jc w:val="center"/>
      </w:pPr>
      <w:r>
        <w:rPr>
          <w:color w:val="0D2B55"/>
          <w:sz w:val="26"/>
          <w:szCs w:val="26"/>
        </w:rPr>
        <w:t>CIVILIZATION INFRASTRUCTURE INITIATIVE</w:t>
      </w:r>
    </w:p>
    <w:p w14:paraId="6F23F8C9" w14:textId="77777777" w:rsidR="009151BA" w:rsidRDefault="004439A8">
      <w:pPr>
        <w:spacing w:before="120" w:after="120"/>
        <w:jc w:val="center"/>
      </w:pPr>
      <w:r>
        <w:rPr>
          <w:color w:val="555577"/>
        </w:rPr>
        <w:t>The Complete Institutional Manifesto</w:t>
      </w:r>
    </w:p>
    <w:p w14:paraId="520C314D" w14:textId="77777777" w:rsidR="009151BA" w:rsidRDefault="004439A8">
      <w:pPr>
        <w:spacing w:before="120" w:after="120"/>
        <w:jc w:val="center"/>
      </w:pPr>
      <w:r>
        <w:rPr>
          <w:color w:val="555577"/>
        </w:rPr>
        <w:t>Government &amp; Strategic Capital Edition</w:t>
      </w:r>
    </w:p>
    <w:p w14:paraId="38CC4199" w14:textId="77777777" w:rsidR="009151BA" w:rsidRDefault="009151BA">
      <w:pPr>
        <w:spacing w:before="600"/>
      </w:pPr>
    </w:p>
    <w:p w14:paraId="0EFD5045" w14:textId="77777777" w:rsidR="009151BA" w:rsidRDefault="004439A8">
      <w:pPr>
        <w:spacing w:before="120" w:after="120"/>
        <w:jc w:val="center"/>
      </w:pPr>
      <w:r>
        <w:rPr>
          <w:color w:val="1A1A2E"/>
          <w:sz w:val="26"/>
          <w:szCs w:val="26"/>
        </w:rPr>
        <w:t>Sashin J. Singh — Founder &amp; Architect</w:t>
      </w:r>
    </w:p>
    <w:p w14:paraId="26FD17B2" w14:textId="77777777" w:rsidR="009151BA" w:rsidRDefault="004439A8">
      <w:pPr>
        <w:spacing w:before="120" w:after="120"/>
        <w:jc w:val="center"/>
      </w:pPr>
      <w:r>
        <w:rPr>
          <w:color w:val="555577"/>
        </w:rPr>
        <w:t>2026 — Onwards</w:t>
      </w:r>
    </w:p>
    <w:p w14:paraId="75684B2A" w14:textId="0A2B436B" w:rsidR="009151BA" w:rsidRDefault="009151BA" w:rsidP="00B07A12"/>
    <w:p w14:paraId="3D18709C" w14:textId="77777777" w:rsidR="009151BA" w:rsidRDefault="004439A8">
      <w:pPr>
        <w:pBdr>
          <w:left w:val="single" w:sz="16" w:space="1" w:color="BF9B30"/>
        </w:pBdr>
        <w:spacing w:before="240" w:after="240"/>
        <w:ind w:left="720" w:right="720"/>
        <w:jc w:val="both"/>
      </w:pPr>
      <w:r>
        <w:rPr>
          <w:rFonts w:ascii="Georgia" w:eastAsia="Georgia" w:hAnsi="Georgia" w:cs="Georgia"/>
          <w:i/>
          <w:iCs/>
          <w:color w:val="1A1A2E"/>
        </w:rPr>
        <w:t>"Humanity does not suffer from a lack of intelligence, resources, or capability. Humanity suffers from fragmentation. G.O.D.S exists to demonstrate that disciplined business, ethical governance, and long-horizon thinking can coexist. It is built for those who were underestimated. It is built for those capable of more. It is built so that future generations inherit structure instead of instability."  — Sashin J. Singh, Founder</w:t>
      </w:r>
    </w:p>
    <w:p w14:paraId="6DA4EF4E" w14:textId="77777777" w:rsidR="009151BA" w:rsidRDefault="004439A8">
      <w:r>
        <w:br w:type="page"/>
      </w:r>
    </w:p>
    <w:p w14:paraId="6B7D6CFC"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FOREWORD</w:t>
      </w:r>
    </w:p>
    <w:p w14:paraId="45CADDE2" w14:textId="77777777" w:rsidR="009151BA" w:rsidRDefault="004439A8">
      <w:pPr>
        <w:spacing w:before="80" w:after="80"/>
        <w:jc w:val="both"/>
      </w:pPr>
      <w:r>
        <w:rPr>
          <w:color w:val="2C2C3E"/>
        </w:rPr>
        <w:t>This document represents the complete institutional record of an initiative more than a decade in the making. It is not a summary. It is not a pitch deck. It is not a theoretical exercise.</w:t>
      </w:r>
    </w:p>
    <w:p w14:paraId="12AEF4F5" w14:textId="77777777" w:rsidR="009151BA" w:rsidRDefault="004439A8">
      <w:pPr>
        <w:spacing w:before="80" w:after="80"/>
        <w:jc w:val="both"/>
      </w:pPr>
      <w:r>
        <w:rPr>
          <w:color w:val="2C2C3E"/>
        </w:rPr>
        <w:t>What you hold — in digital or physical form — is the architectural blueprint for a civilization infrastructure company: one designed not to serve a decade, but to serve centuries. Its foundations were laid by a single founder whose personal journey from addiction, failure, and exclusion became the evidence base for a thesis: that most human instability is structural, not inevitable.</w:t>
      </w:r>
    </w:p>
    <w:p w14:paraId="5CF803EA" w14:textId="77777777" w:rsidR="009151BA" w:rsidRDefault="004439A8">
      <w:pPr>
        <w:spacing w:before="80" w:after="80"/>
        <w:jc w:val="both"/>
      </w:pPr>
      <w:r>
        <w:rPr>
          <w:color w:val="2C2C3E"/>
        </w:rPr>
        <w:t>The plan you are reading began in 2016 as Seth Empires — a South African sales and rehabilitation concept born from a book called Confessions of an Addict, and a conviction that excluded individuals, properly supported and structured, could become extraordinary contributors. That seed grew. Over years of refinement, collaboration with institutional reasoning, exposure to global problem mapping, and a deepening understanding of technology, governance, and capital, it evolved into what is now formally named G.O.D.S: Good Orderly Directional Systems.</w:t>
      </w:r>
    </w:p>
    <w:p w14:paraId="31BB0897" w14:textId="77777777" w:rsidR="009151BA" w:rsidRDefault="004439A8">
      <w:pPr>
        <w:spacing w:before="80" w:after="80"/>
        <w:jc w:val="both"/>
      </w:pPr>
      <w:r>
        <w:rPr>
          <w:color w:val="2C2C3E"/>
        </w:rPr>
        <w:t>The evolution has been significant. The fundamentals have not changed. They have sharpened. The mission of rehabilitating and redirecting human capital became a mission of building civilization infrastructure. The rehabilitation company became a holding conglomerate. The charity model became a disciplined public-private architecture. The local South African vision became a multi-generational global framework.</w:t>
      </w:r>
    </w:p>
    <w:p w14:paraId="6F4567DD" w14:textId="77777777" w:rsidR="009151BA" w:rsidRDefault="004439A8">
      <w:pPr>
        <w:spacing w:before="80" w:after="80"/>
        <w:jc w:val="both"/>
      </w:pPr>
      <w:r>
        <w:rPr>
          <w:color w:val="2C2C3E"/>
        </w:rPr>
        <w:t>This document integrates all of that evolution into one cohesive, structured, institutional record. It is designed for governments. For investors. For partners. For those who will inherit this system. And for those building it alongside its founder.</w:t>
      </w:r>
    </w:p>
    <w:p w14:paraId="54AE6F69" w14:textId="77777777" w:rsidR="009151BA" w:rsidRDefault="004439A8">
      <w:pPr>
        <w:spacing w:before="80" w:after="80"/>
        <w:jc w:val="both"/>
      </w:pPr>
      <w:r>
        <w:rPr>
          <w:color w:val="2C2C3E"/>
        </w:rPr>
        <w:t>Read it with patience. The depth is intentional. The length is necessary. The scope is by design.</w:t>
      </w:r>
    </w:p>
    <w:p w14:paraId="42F4FF2A" w14:textId="77777777" w:rsidR="009151BA" w:rsidRDefault="004439A8">
      <w:pPr>
        <w:spacing w:before="80" w:after="80"/>
        <w:jc w:val="both"/>
      </w:pPr>
      <w:r>
        <w:rPr>
          <w:color w:val="2C2C3E"/>
        </w:rPr>
        <w:t>G.O.D.S does not seek followers. It seeks contributors.</w:t>
      </w:r>
    </w:p>
    <w:p w14:paraId="4BEDB6F0" w14:textId="77777777" w:rsidR="009151BA" w:rsidRDefault="004439A8">
      <w:r>
        <w:br w:type="page"/>
      </w:r>
    </w:p>
    <w:p w14:paraId="798FF65E" w14:textId="77777777" w:rsidR="009151BA" w:rsidRDefault="009151BA">
      <w:pPr>
        <w:spacing w:before="720"/>
      </w:pPr>
    </w:p>
    <w:p w14:paraId="22EB648B" w14:textId="77777777" w:rsidR="009151BA" w:rsidRDefault="009151BA">
      <w:pPr>
        <w:pBdr>
          <w:bottom w:val="single" w:sz="6" w:space="1" w:color="C9A84C"/>
        </w:pBdr>
        <w:spacing w:before="240" w:after="240"/>
      </w:pPr>
    </w:p>
    <w:p w14:paraId="3B7CEDA8" w14:textId="77777777" w:rsidR="009151BA" w:rsidRDefault="004439A8">
      <w:pPr>
        <w:spacing w:before="960" w:after="120"/>
        <w:jc w:val="center"/>
      </w:pPr>
      <w:r>
        <w:rPr>
          <w:rFonts w:ascii="Georgia" w:eastAsia="Georgia" w:hAnsi="Georgia" w:cs="Georgia"/>
          <w:b/>
          <w:bCs/>
          <w:color w:val="BF9B30"/>
          <w:sz w:val="64"/>
          <w:szCs w:val="64"/>
        </w:rPr>
        <w:t>VOLUME I</w:t>
      </w:r>
    </w:p>
    <w:p w14:paraId="42B6129C" w14:textId="77777777" w:rsidR="009151BA" w:rsidRDefault="004439A8">
      <w:pPr>
        <w:spacing w:before="120" w:after="480"/>
        <w:jc w:val="center"/>
      </w:pPr>
      <w:r>
        <w:rPr>
          <w:b/>
          <w:bCs/>
          <w:color w:val="0D2B55"/>
          <w:sz w:val="28"/>
          <w:szCs w:val="28"/>
        </w:rPr>
        <w:t>DECLARATION, ORIGIN &amp; CONSTITUTIONAL FOUNDATIONS</w:t>
      </w:r>
    </w:p>
    <w:p w14:paraId="5DF4B693" w14:textId="77777777" w:rsidR="009151BA" w:rsidRDefault="004439A8">
      <w:r>
        <w:br w:type="page"/>
      </w:r>
    </w:p>
    <w:p w14:paraId="100CFF52" w14:textId="77777777" w:rsidR="009151BA" w:rsidRDefault="009151BA">
      <w:pPr>
        <w:pBdr>
          <w:bottom w:val="single" w:sz="6" w:space="1" w:color="C9A84C"/>
        </w:pBdr>
        <w:spacing w:before="240" w:after="240"/>
      </w:pPr>
    </w:p>
    <w:p w14:paraId="5DAB9F11" w14:textId="77777777" w:rsidR="009151BA" w:rsidRDefault="004439A8">
      <w:pPr>
        <w:shd w:val="clear" w:color="auto" w:fill="0D2B55"/>
        <w:spacing w:before="720" w:after="240"/>
        <w:jc w:val="center"/>
      </w:pPr>
      <w:r>
        <w:rPr>
          <w:rFonts w:ascii="Georgia" w:eastAsia="Georgia" w:hAnsi="Georgia" w:cs="Georgia"/>
          <w:b/>
          <w:bCs/>
          <w:color w:val="FFFFFF"/>
          <w:sz w:val="40"/>
          <w:szCs w:val="40"/>
        </w:rPr>
        <w:t>PART I — DECLARATION &amp; ORIGIN</w:t>
      </w:r>
    </w:p>
    <w:p w14:paraId="1C022472" w14:textId="77777777" w:rsidR="009151BA" w:rsidRDefault="004439A8">
      <w:r>
        <w:br w:type="page"/>
      </w:r>
    </w:p>
    <w:p w14:paraId="193CF804"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1: THE CIVILIZATIONAL PREMISE</w:t>
      </w:r>
    </w:p>
    <w:p w14:paraId="530379AF" w14:textId="77777777" w:rsidR="009151BA" w:rsidRDefault="004439A8">
      <w:pPr>
        <w:spacing w:before="320" w:after="120"/>
      </w:pPr>
      <w:r>
        <w:rPr>
          <w:rFonts w:ascii="Georgia" w:eastAsia="Georgia" w:hAnsi="Georgia" w:cs="Georgia"/>
          <w:b/>
          <w:bCs/>
          <w:color w:val="0D2B55"/>
          <w:sz w:val="28"/>
          <w:szCs w:val="28"/>
        </w:rPr>
        <w:t>1.1 The Core Thesis</w:t>
      </w:r>
    </w:p>
    <w:p w14:paraId="47600C4F" w14:textId="77777777" w:rsidR="009151BA" w:rsidRDefault="004439A8">
      <w:pPr>
        <w:spacing w:before="80" w:after="80"/>
        <w:jc w:val="both"/>
      </w:pPr>
      <w:r>
        <w:rPr>
          <w:color w:val="2C2C3E"/>
        </w:rPr>
        <w:t>Humanity does not suffer from a lack of intelligence, resources, or capability. Humanity suffers from fragmentation.</w:t>
      </w:r>
    </w:p>
    <w:p w14:paraId="4AC51574" w14:textId="77777777" w:rsidR="009151BA" w:rsidRDefault="004439A8">
      <w:pPr>
        <w:spacing w:before="80" w:after="80"/>
        <w:jc w:val="both"/>
      </w:pPr>
      <w:r>
        <w:rPr>
          <w:color w:val="2C2C3E"/>
        </w:rPr>
        <w:t>This is not a rhetorical statement. It is a structural diagnosis. When we examine preventable human instability — poverty, conflict, exclusion, addiction, environmental degradation, institutional failure — in nearly every case, the root cause is not absence of solution. The root cause is failure of coordination, alignment, and structural incentive.</w:t>
      </w:r>
    </w:p>
    <w:p w14:paraId="05D4EC6B" w14:textId="77777777" w:rsidR="009151BA" w:rsidRDefault="004439A8">
      <w:pPr>
        <w:spacing w:before="80" w:after="80"/>
        <w:jc w:val="both"/>
      </w:pPr>
      <w:r>
        <w:rPr>
          <w:color w:val="2C2C3E"/>
        </w:rPr>
        <w:t>Economic systems compete instead of coordinate. Political systems protect instead of collaborate. Innovation accelerates faster than governance adapts. Resources exist, yet distribution is inefficient. Knowledge is abundant, yet application is scarce. Talent is distributed universally, yet opportunity is distributed inequitably.</w:t>
      </w:r>
    </w:p>
    <w:p w14:paraId="547E8037" w14:textId="77777777" w:rsidR="009151BA" w:rsidRDefault="004439A8">
      <w:pPr>
        <w:spacing w:before="80" w:after="80"/>
        <w:jc w:val="both"/>
      </w:pPr>
      <w:r>
        <w:rPr>
          <w:color w:val="2C2C3E"/>
        </w:rPr>
        <w:t>The result is unnecessary instability — not inevitable scarcity.</w:t>
      </w:r>
    </w:p>
    <w:p w14:paraId="1409926D" w14:textId="77777777" w:rsidR="009151BA" w:rsidRDefault="004439A8">
      <w:pPr>
        <w:spacing w:before="320" w:after="120"/>
      </w:pPr>
      <w:r>
        <w:rPr>
          <w:rFonts w:ascii="Georgia" w:eastAsia="Georgia" w:hAnsi="Georgia" w:cs="Georgia"/>
          <w:b/>
          <w:bCs/>
          <w:color w:val="0D2B55"/>
          <w:sz w:val="28"/>
          <w:szCs w:val="28"/>
        </w:rPr>
        <w:t>1.2 The G.O.D.S Response</w:t>
      </w:r>
    </w:p>
    <w:p w14:paraId="4E432E46" w14:textId="77777777" w:rsidR="009151BA" w:rsidRDefault="004439A8">
      <w:pPr>
        <w:spacing w:before="80" w:after="80"/>
        <w:jc w:val="both"/>
      </w:pPr>
      <w:r>
        <w:rPr>
          <w:color w:val="2C2C3E"/>
        </w:rPr>
        <w:t>G.O.D.S — Good Orderly Directional Systems — is founded on a disciplined premise: civilization can function as a coordinated system without removing sovereignty, suppressing freedom, or eliminating markets — if infrastructure, governance, and incentives are properly aligned.</w:t>
      </w:r>
    </w:p>
    <w:p w14:paraId="025302A2" w14:textId="77777777" w:rsidR="009151BA" w:rsidRDefault="004439A8">
      <w:pPr>
        <w:spacing w:before="80" w:after="80"/>
        <w:jc w:val="both"/>
      </w:pPr>
      <w:r>
        <w:rPr>
          <w:color w:val="2C2C3E"/>
        </w:rPr>
        <w:t>This initiative does not seek control over nations, economies, or individuals. It seeks to build infrastructure so stable, ethical, and effective that voluntary alignment becomes rational. The objective is not dominance. The objective is direction. Not control. Coordination.</w:t>
      </w:r>
    </w:p>
    <w:p w14:paraId="4598B41A" w14:textId="77777777" w:rsidR="009151BA" w:rsidRDefault="004439A8">
      <w:pPr>
        <w:spacing w:before="80" w:after="80"/>
        <w:jc w:val="both"/>
      </w:pPr>
      <w:r>
        <w:rPr>
          <w:color w:val="2C2C3E"/>
        </w:rPr>
        <w:t>G.O.D.S operates as a private capital enterprise with public integration capability. It is structured to generate revenue, attract investment, sustain itself commercially, and simultaneously deliver infrastructure that governments, communities, and institutions need but cannot build alone.</w:t>
      </w:r>
    </w:p>
    <w:p w14:paraId="0E422C95" w14:textId="77777777" w:rsidR="009151BA" w:rsidRDefault="004439A8">
      <w:pPr>
        <w:spacing w:before="320" w:after="120"/>
      </w:pPr>
      <w:r>
        <w:rPr>
          <w:rFonts w:ascii="Georgia" w:eastAsia="Georgia" w:hAnsi="Georgia" w:cs="Georgia"/>
          <w:b/>
          <w:bCs/>
          <w:color w:val="0D2B55"/>
          <w:sz w:val="28"/>
          <w:szCs w:val="28"/>
        </w:rPr>
        <w:t>1.3 Why Now</w:t>
      </w:r>
    </w:p>
    <w:p w14:paraId="1BB50029" w14:textId="77777777" w:rsidR="009151BA" w:rsidRDefault="004439A8">
      <w:pPr>
        <w:spacing w:before="80" w:after="80"/>
        <w:jc w:val="both"/>
      </w:pPr>
      <w:r>
        <w:rPr>
          <w:color w:val="2C2C3E"/>
        </w:rPr>
        <w:t>Three structural inevitabilities are converging in the 2020s through the 2040s in ways that have never coincided before.</w:t>
      </w:r>
    </w:p>
    <w:p w14:paraId="09D3E8EF" w14:textId="77777777" w:rsidR="009151BA" w:rsidRDefault="004439A8">
      <w:pPr>
        <w:spacing w:before="80" w:after="80"/>
        <w:jc w:val="both"/>
      </w:pPr>
      <w:r>
        <w:rPr>
          <w:color w:val="2C2C3E"/>
        </w:rPr>
        <w:t>The first is artificial intelligence. AI is not a productivity tool. It is a civilizational transformation engine. Its deployment at scale will displace labor, concentrate power, restructure entire economies, and reshape governance before most institutions are prepared to respond. The window to build absorption infrastructure — the systems that prevent displacement from becoming destabilization — is narrow and closing.</w:t>
      </w:r>
    </w:p>
    <w:p w14:paraId="219BC99B" w14:textId="77777777" w:rsidR="009151BA" w:rsidRDefault="004439A8">
      <w:pPr>
        <w:spacing w:before="80" w:after="80"/>
        <w:jc w:val="both"/>
      </w:pPr>
      <w:r>
        <w:rPr>
          <w:color w:val="2C2C3E"/>
        </w:rPr>
        <w:t>The second is the maturation of emerging markets. Africa in particular is entering its most complex decade: a youth demographic explosion, chronic youth unemployment, infrastructure deficit, and simultaneous exposure to global AI disruption. Without structured intervention, the demographic dividend becomes a demographic crisis. With it, it becomes the most significant economic expansion opportunity of the 21st century.</w:t>
      </w:r>
    </w:p>
    <w:p w14:paraId="7091FC4C" w14:textId="77777777" w:rsidR="009151BA" w:rsidRDefault="004439A8">
      <w:pPr>
        <w:spacing w:before="80" w:after="80"/>
        <w:jc w:val="both"/>
      </w:pPr>
      <w:r>
        <w:rPr>
          <w:color w:val="2C2C3E"/>
        </w:rPr>
        <w:t xml:space="preserve">The third is governance erosion. Trust in institutions — governments, corporations, media, financial systems — is at generational lows across most of the world. When trust collapses, cooperation becomes </w:t>
      </w:r>
      <w:r>
        <w:rPr>
          <w:color w:val="2C2C3E"/>
        </w:rPr>
        <w:lastRenderedPageBreak/>
        <w:t>transactional and fragile. Rebuilding it requires not rhetoric but demonstrated, auditable performance over time. G.O.D.S is built to provide that demonstration.</w:t>
      </w:r>
    </w:p>
    <w:p w14:paraId="2B88EA45" w14:textId="77777777" w:rsidR="009151BA" w:rsidRDefault="004439A8">
      <w:pPr>
        <w:spacing w:before="80" w:after="80"/>
        <w:jc w:val="both"/>
      </w:pPr>
      <w:r>
        <w:rPr>
          <w:color w:val="2C2C3E"/>
        </w:rPr>
        <w:t>These three forces — AI transformation, emerging market pressure, and governance erosion — create the precise structural gap that G.O.D.S is designed to occupy.</w:t>
      </w:r>
    </w:p>
    <w:p w14:paraId="3E9019E1" w14:textId="77777777" w:rsidR="009151BA" w:rsidRDefault="004439A8">
      <w:pPr>
        <w:spacing w:before="320" w:after="120"/>
      </w:pPr>
      <w:r>
        <w:rPr>
          <w:rFonts w:ascii="Georgia" w:eastAsia="Georgia" w:hAnsi="Georgia" w:cs="Georgia"/>
          <w:b/>
          <w:bCs/>
          <w:color w:val="0D2B55"/>
          <w:sz w:val="28"/>
          <w:szCs w:val="28"/>
        </w:rPr>
        <w:t>1.4 The Long Horizon</w:t>
      </w:r>
    </w:p>
    <w:p w14:paraId="393DAB26" w14:textId="77777777" w:rsidR="009151BA" w:rsidRDefault="004439A8">
      <w:pPr>
        <w:spacing w:before="80" w:after="80"/>
        <w:jc w:val="both"/>
      </w:pPr>
      <w:r>
        <w:rPr>
          <w:color w:val="2C2C3E"/>
        </w:rPr>
        <w:t>Over 25 years, G.O.D.S aims to prove structural viability. Over 100 years, it aims to institutionalize ethical coordination. Over 200–250 years, it aims to elevate civilization's baseline so that:</w:t>
      </w:r>
    </w:p>
    <w:p w14:paraId="0DDBA58D" w14:textId="77777777" w:rsidR="009151BA" w:rsidRDefault="004439A8">
      <w:pPr>
        <w:pStyle w:val="ListParagraph"/>
        <w:numPr>
          <w:ilvl w:val="0"/>
          <w:numId w:val="2"/>
        </w:numPr>
        <w:spacing w:before="60" w:after="60"/>
      </w:pPr>
      <w:r>
        <w:rPr>
          <w:color w:val="2C2C3E"/>
        </w:rPr>
        <w:t>Basic human needs are universally dignified rather than contingent on geographic lottery.</w:t>
      </w:r>
    </w:p>
    <w:p w14:paraId="3E6AD668" w14:textId="77777777" w:rsidR="009151BA" w:rsidRDefault="004439A8">
      <w:pPr>
        <w:pStyle w:val="ListParagraph"/>
        <w:numPr>
          <w:ilvl w:val="0"/>
          <w:numId w:val="2"/>
        </w:numPr>
        <w:spacing w:before="60" w:after="60"/>
      </w:pPr>
      <w:r>
        <w:rPr>
          <w:color w:val="2C2C3E"/>
        </w:rPr>
        <w:t>Contribution is rewarded over speculation, ensuring that productive human effort carries greater systemic weight than financial manipulation.</w:t>
      </w:r>
    </w:p>
    <w:p w14:paraId="23B038DD" w14:textId="77777777" w:rsidR="009151BA" w:rsidRDefault="004439A8">
      <w:pPr>
        <w:pStyle w:val="ListParagraph"/>
        <w:numPr>
          <w:ilvl w:val="0"/>
          <w:numId w:val="2"/>
        </w:numPr>
        <w:spacing w:before="60" w:after="60"/>
      </w:pPr>
      <w:r>
        <w:rPr>
          <w:color w:val="2C2C3E"/>
        </w:rPr>
        <w:t>Technology serves humanity as an extension of human capability rather than as a replacement or control mechanism.</w:t>
      </w:r>
    </w:p>
    <w:p w14:paraId="3A822B09" w14:textId="77777777" w:rsidR="009151BA" w:rsidRDefault="004439A8">
      <w:pPr>
        <w:pStyle w:val="ListParagraph"/>
        <w:numPr>
          <w:ilvl w:val="0"/>
          <w:numId w:val="2"/>
        </w:numPr>
        <w:spacing w:before="60" w:after="60"/>
      </w:pPr>
      <w:r>
        <w:rPr>
          <w:color w:val="2C2C3E"/>
        </w:rPr>
        <w:t>War becomes economically irrational because the infrastructure of cooperation delivers greater returns than the infrastructure of conflict.</w:t>
      </w:r>
    </w:p>
    <w:p w14:paraId="2EB9CD51" w14:textId="77777777" w:rsidR="009151BA" w:rsidRDefault="004439A8">
      <w:pPr>
        <w:pStyle w:val="ListParagraph"/>
        <w:numPr>
          <w:ilvl w:val="0"/>
          <w:numId w:val="2"/>
        </w:numPr>
        <w:spacing w:before="60" w:after="60"/>
      </w:pPr>
      <w:r>
        <w:rPr>
          <w:color w:val="2C2C3E"/>
        </w:rPr>
        <w:t>Trust becomes systemic rather than exceptional — embedded in institutions, governance systems, and economic structures rather than dependent on individual integrity.</w:t>
      </w:r>
    </w:p>
    <w:p w14:paraId="2906561F" w14:textId="77777777" w:rsidR="009151BA" w:rsidRDefault="004439A8">
      <w:pPr>
        <w:spacing w:before="80" w:after="80"/>
        <w:jc w:val="both"/>
      </w:pPr>
      <w:r>
        <w:rPr>
          <w:color w:val="2C2C3E"/>
        </w:rPr>
        <w:t>This is not a plan for a lifetime. It is a framework for lifetimes.</w:t>
      </w:r>
    </w:p>
    <w:p w14:paraId="7322B7DA" w14:textId="77777777" w:rsidR="009151BA" w:rsidRDefault="004439A8">
      <w:r>
        <w:br w:type="page"/>
      </w:r>
    </w:p>
    <w:p w14:paraId="15F4292C"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2: FOUNDER'S DECLARATION OF INTENT</w:t>
      </w:r>
    </w:p>
    <w:p w14:paraId="52DC43F1" w14:textId="77777777" w:rsidR="009151BA" w:rsidRDefault="004439A8">
      <w:pPr>
        <w:spacing w:before="320" w:after="120"/>
      </w:pPr>
      <w:r>
        <w:rPr>
          <w:rFonts w:ascii="Georgia" w:eastAsia="Georgia" w:hAnsi="Georgia" w:cs="Georgia"/>
          <w:b/>
          <w:bCs/>
          <w:color w:val="0D2B55"/>
          <w:sz w:val="28"/>
          <w:szCs w:val="28"/>
        </w:rPr>
        <w:t>2.1 The Origin</w:t>
      </w:r>
    </w:p>
    <w:p w14:paraId="67274EEA" w14:textId="77777777" w:rsidR="009151BA" w:rsidRDefault="004439A8">
      <w:pPr>
        <w:spacing w:before="80" w:after="80"/>
        <w:jc w:val="both"/>
      </w:pPr>
      <w:r>
        <w:rPr>
          <w:color w:val="2C2C3E"/>
        </w:rPr>
        <w:t>G.O.D.S did not begin as a corporation. It began as a question: Why does a world with this much intelligence still tolerate preventable instability?</w:t>
      </w:r>
    </w:p>
    <w:p w14:paraId="6A0B4318" w14:textId="77777777" w:rsidR="009151BA" w:rsidRDefault="004439A8">
      <w:pPr>
        <w:spacing w:before="80" w:after="80"/>
        <w:jc w:val="both"/>
      </w:pPr>
      <w:r>
        <w:rPr>
          <w:color w:val="2C2C3E"/>
        </w:rPr>
        <w:t>The origin of this initiative is personal, but its objective is institutional. Sashin J. Singh — the founder and architect of G.O.D.S — experienced both potential and exclusion. Early academic and entrepreneurial aspiration demonstrated capability. Later personal failure demonstrated vulnerability. Rebuilding required discipline, reflection, and an honest reckoning with responsibility. That process revealed a deeper truth:</w:t>
      </w:r>
    </w:p>
    <w:p w14:paraId="4D19D2A0" w14:textId="77777777" w:rsidR="009151BA" w:rsidRDefault="004439A8">
      <w:pPr>
        <w:spacing w:before="80" w:after="80"/>
        <w:jc w:val="both"/>
      </w:pPr>
      <w:r>
        <w:rPr>
          <w:color w:val="2C2C3E"/>
        </w:rPr>
        <w:t>The problem is rarely lack of talent. The problem is misaligned structure.</w:t>
      </w:r>
    </w:p>
    <w:p w14:paraId="72B214F8" w14:textId="77777777" w:rsidR="009151BA" w:rsidRDefault="004439A8">
      <w:pPr>
        <w:spacing w:before="80" w:after="80"/>
        <w:jc w:val="both"/>
      </w:pPr>
      <w:r>
        <w:rPr>
          <w:color w:val="2C2C3E"/>
        </w:rPr>
        <w:t>Many capable individuals fall not because they lack intelligence, but because systems do not provide structured pathways for recovery, contribution, and reintegration. Institutions built to process failure rarely reward the effort of rebuilding. The result is a cyclical exclusion that benefits no one — not the individual, not the economy, not the society.</w:t>
      </w:r>
    </w:p>
    <w:p w14:paraId="34DB6DEC" w14:textId="77777777" w:rsidR="009151BA" w:rsidRDefault="004439A8">
      <w:pPr>
        <w:spacing w:before="320" w:after="120"/>
      </w:pPr>
      <w:r>
        <w:rPr>
          <w:rFonts w:ascii="Georgia" w:eastAsia="Georgia" w:hAnsi="Georgia" w:cs="Georgia"/>
          <w:b/>
          <w:bCs/>
          <w:color w:val="0D2B55"/>
          <w:sz w:val="28"/>
          <w:szCs w:val="28"/>
        </w:rPr>
        <w:t>2.2 The Trajectory of the Plan</w:t>
      </w:r>
    </w:p>
    <w:p w14:paraId="6114CC13" w14:textId="77777777" w:rsidR="009151BA" w:rsidRDefault="004439A8">
      <w:pPr>
        <w:spacing w:before="80" w:after="80"/>
        <w:jc w:val="both"/>
      </w:pPr>
      <w:r>
        <w:rPr>
          <w:color w:val="2C2C3E"/>
        </w:rPr>
        <w:t>The first documented version of this plan appeared in 2016 as Seth Empires — a South African business services company with an embedded rehabilitation function. Its founding vision was to combine commercial activity with the reintegration of individuals affected by addiction, crime, and social exclusion. The book Confessions of an Addict and a proposed reality television series were conceived as media levers to build awareness and scale.</w:t>
      </w:r>
    </w:p>
    <w:p w14:paraId="75E5F0D5" w14:textId="77777777" w:rsidR="009151BA" w:rsidRDefault="004439A8">
      <w:pPr>
        <w:spacing w:before="80" w:after="80"/>
        <w:jc w:val="both"/>
      </w:pPr>
      <w:r>
        <w:rPr>
          <w:color w:val="2C2C3E"/>
        </w:rPr>
        <w:t>From 2016 to 2026, the plan underwent significant evolution. The sales company became a holding framework. The rehabilitation charity became a structured behavioral systems division. The media concept became a narrative infrastructure engine. The local South African model became a multi-national architecture. The single founder model became a constitutional governance structure.</w:t>
      </w:r>
    </w:p>
    <w:p w14:paraId="115505DB" w14:textId="77777777" w:rsidR="009151BA" w:rsidRDefault="004439A8">
      <w:pPr>
        <w:spacing w:before="80" w:after="80"/>
        <w:jc w:val="both"/>
      </w:pPr>
      <w:r>
        <w:rPr>
          <w:color w:val="2C2C3E"/>
        </w:rPr>
        <w:t>Each evolution preserved the original premise — that excluded human capital, properly structured and supported, is not a liability but an asset — while adding layers of commercial, technological, and governance sophistication necessary to build something that can outlast its founder and grow across generations.</w:t>
      </w:r>
    </w:p>
    <w:p w14:paraId="05CE5A62" w14:textId="77777777" w:rsidR="009151BA" w:rsidRDefault="004439A8">
      <w:pPr>
        <w:spacing w:before="320" w:after="120"/>
      </w:pPr>
      <w:r>
        <w:rPr>
          <w:rFonts w:ascii="Georgia" w:eastAsia="Georgia" w:hAnsi="Georgia" w:cs="Georgia"/>
          <w:b/>
          <w:bCs/>
          <w:color w:val="0D2B55"/>
          <w:sz w:val="28"/>
          <w:szCs w:val="28"/>
        </w:rPr>
        <w:t>2.3 The Founder Constraint</w:t>
      </w:r>
    </w:p>
    <w:p w14:paraId="586E2170" w14:textId="77777777" w:rsidR="009151BA" w:rsidRDefault="004439A8">
      <w:pPr>
        <w:spacing w:before="80" w:after="80"/>
        <w:jc w:val="both"/>
      </w:pPr>
      <w:r>
        <w:rPr>
          <w:color w:val="2C2C3E"/>
        </w:rPr>
        <w:t>From inception, G.O.D.S is designed with constitutional governance, trustee oversight, founder removal mechanisms, structured dilution of ownership, and generational transition planning.</w:t>
      </w:r>
    </w:p>
    <w:p w14:paraId="1405BC9A" w14:textId="77777777" w:rsidR="009151BA" w:rsidRDefault="004439A8">
      <w:pPr>
        <w:spacing w:before="80" w:after="80"/>
        <w:jc w:val="both"/>
      </w:pPr>
      <w:r>
        <w:rPr>
          <w:color w:val="2C2C3E"/>
        </w:rPr>
        <w:t>The Founder's role is architectural, not sovereign. The purpose is to initiate direction, not to dominate its outcome. If this system succeeds, it must be capable of continuing without its Founder.</w:t>
      </w:r>
    </w:p>
    <w:p w14:paraId="3B211D89" w14:textId="77777777" w:rsidR="009151BA" w:rsidRDefault="004439A8">
      <w:pPr>
        <w:spacing w:before="80" w:after="80"/>
        <w:jc w:val="both"/>
      </w:pPr>
      <w:r>
        <w:rPr>
          <w:color w:val="2C2C3E"/>
        </w:rPr>
        <w:t>The ultimate measure of success will not be authority retained — but authority made unnecessary.</w:t>
      </w:r>
    </w:p>
    <w:p w14:paraId="0076F674" w14:textId="77777777" w:rsidR="009151BA" w:rsidRDefault="004439A8">
      <w:pPr>
        <w:spacing w:before="80" w:after="80"/>
        <w:jc w:val="both"/>
      </w:pPr>
      <w:r>
        <w:rPr>
          <w:color w:val="2C2C3E"/>
        </w:rPr>
        <w:t>G.O.D.S is built for those who were underestimated. It is built for those capable of more. It is built so that future generations inherit structure instead of instability. And it is built with the explicit architectural commitment that no single individual — including the Founder — may override the system for personal benefit.</w:t>
      </w:r>
    </w:p>
    <w:p w14:paraId="6ED95FE8" w14:textId="77777777" w:rsidR="009151BA" w:rsidRDefault="004439A8">
      <w:pPr>
        <w:spacing w:before="320" w:after="120"/>
      </w:pPr>
      <w:r>
        <w:rPr>
          <w:rFonts w:ascii="Georgia" w:eastAsia="Georgia" w:hAnsi="Georgia" w:cs="Georgia"/>
          <w:b/>
          <w:bCs/>
          <w:color w:val="0D2B55"/>
          <w:sz w:val="28"/>
          <w:szCs w:val="28"/>
        </w:rPr>
        <w:lastRenderedPageBreak/>
        <w:t>2.4 Personal Philosophy Translated Into Institutional Architecture</w:t>
      </w:r>
    </w:p>
    <w:p w14:paraId="24414816" w14:textId="77777777" w:rsidR="009151BA" w:rsidRDefault="004439A8">
      <w:pPr>
        <w:spacing w:before="80" w:after="80"/>
        <w:jc w:val="both"/>
      </w:pPr>
      <w:r>
        <w:rPr>
          <w:color w:val="2C2C3E"/>
        </w:rPr>
        <w:t>The Founder's journey through addiction, recovery, entrepreneurial failure, and systematic rebuilding is not incidental backstory. It is the laboratory from which the core methodology of G.O.D.S was derived.</w:t>
      </w:r>
    </w:p>
    <w:p w14:paraId="77773C4C" w14:textId="77777777" w:rsidR="009151BA" w:rsidRDefault="004439A8">
      <w:pPr>
        <w:spacing w:before="80" w:after="80"/>
        <w:jc w:val="both"/>
      </w:pPr>
      <w:r>
        <w:rPr>
          <w:color w:val="2C2C3E"/>
        </w:rPr>
        <w:t>The insight that behavioral instability follows predictable patterns — that addiction, crime, and social exclusion are patterned behaviors rather than random personal failures — became the intellectual foundation of S.E.T.H.S.</w:t>
      </w:r>
    </w:p>
    <w:p w14:paraId="34511450" w14:textId="77777777" w:rsidR="009151BA" w:rsidRDefault="004439A8">
      <w:pPr>
        <w:spacing w:before="80" w:after="80"/>
        <w:jc w:val="both"/>
      </w:pPr>
      <w:r>
        <w:rPr>
          <w:color w:val="2C2C3E"/>
        </w:rPr>
        <w:t>The insight that trust is the fundamental scarcity in most institutional relationships — more than money, more than talent, more than infrastructure — became the architectural principle of UDOC.</w:t>
      </w:r>
    </w:p>
    <w:p w14:paraId="25851FB3" w14:textId="77777777" w:rsidR="009151BA" w:rsidRDefault="004439A8">
      <w:pPr>
        <w:spacing w:before="80" w:after="80"/>
        <w:jc w:val="both"/>
      </w:pPr>
      <w:r>
        <w:rPr>
          <w:color w:val="2C2C3E"/>
        </w:rPr>
        <w:t>The insight that Africa's challenge is not capacity but structure — not intelligence but coordination — became the mandate of M.A.D.I.B.A.</w:t>
      </w:r>
    </w:p>
    <w:p w14:paraId="7F1DD94F" w14:textId="77777777" w:rsidR="009151BA" w:rsidRDefault="004439A8">
      <w:pPr>
        <w:spacing w:before="80" w:after="80"/>
        <w:jc w:val="both"/>
      </w:pPr>
      <w:r>
        <w:rPr>
          <w:color w:val="2C2C3E"/>
        </w:rPr>
        <w:t>And the insight that short-term incentives consistently destroy long-horizon value became the governing discipline of the entire G.O.D.S capital and governance architecture.</w:t>
      </w:r>
    </w:p>
    <w:p w14:paraId="3726B040" w14:textId="77777777" w:rsidR="009151BA" w:rsidRDefault="004439A8">
      <w:r>
        <w:br w:type="page"/>
      </w:r>
    </w:p>
    <w:p w14:paraId="62444729"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3: THE MORAL OBJECTIVE</w:t>
      </w:r>
    </w:p>
    <w:p w14:paraId="706AEDC5" w14:textId="77777777" w:rsidR="009151BA" w:rsidRDefault="004439A8">
      <w:pPr>
        <w:spacing w:before="320" w:after="120"/>
      </w:pPr>
      <w:r>
        <w:rPr>
          <w:rFonts w:ascii="Georgia" w:eastAsia="Georgia" w:hAnsi="Georgia" w:cs="Georgia"/>
          <w:b/>
          <w:bCs/>
          <w:color w:val="0D2B55"/>
          <w:sz w:val="28"/>
          <w:szCs w:val="28"/>
        </w:rPr>
        <w:t>3.1 The Moral Foundation</w:t>
      </w:r>
    </w:p>
    <w:p w14:paraId="5130A4C3" w14:textId="77777777" w:rsidR="009151BA" w:rsidRDefault="004439A8">
      <w:pPr>
        <w:spacing w:before="80" w:after="80"/>
        <w:jc w:val="both"/>
      </w:pPr>
      <w:r>
        <w:rPr>
          <w:color w:val="2C2C3E"/>
        </w:rPr>
        <w:t>The moral objective of G.O.D.S is simple, though its execution is complex: to reduce preventable human instability through structured coordination of infrastructure, governance, and opportunity.</w:t>
      </w:r>
    </w:p>
    <w:p w14:paraId="522DB2F7" w14:textId="77777777" w:rsidR="009151BA" w:rsidRDefault="004439A8">
      <w:pPr>
        <w:spacing w:before="80" w:after="80"/>
        <w:jc w:val="both"/>
      </w:pPr>
      <w:r>
        <w:rPr>
          <w:color w:val="2C2C3E"/>
        </w:rPr>
        <w:t>This initiative does not pursue equality of outcome. It pursues equality of access to contribution. It does not aim to eliminate markets. It aims to reduce the destructive distortions that arise when speculation, misallocation, and short-term incentives override long-term stability.</w:t>
      </w:r>
    </w:p>
    <w:p w14:paraId="3E379DAC" w14:textId="77777777" w:rsidR="009151BA" w:rsidRDefault="004439A8">
      <w:pPr>
        <w:spacing w:before="320" w:after="120"/>
      </w:pPr>
      <w:r>
        <w:rPr>
          <w:rFonts w:ascii="Georgia" w:eastAsia="Georgia" w:hAnsi="Georgia" w:cs="Georgia"/>
          <w:b/>
          <w:bCs/>
          <w:color w:val="0D2B55"/>
          <w:sz w:val="28"/>
          <w:szCs w:val="28"/>
        </w:rPr>
        <w:t>3.2 The Core Moral Commitments</w:t>
      </w:r>
    </w:p>
    <w:p w14:paraId="76A8B78F" w14:textId="77777777" w:rsidR="009151BA" w:rsidRDefault="004439A8">
      <w:pPr>
        <w:spacing w:before="80" w:after="80"/>
        <w:jc w:val="both"/>
      </w:pPr>
      <w:r>
        <w:rPr>
          <w:color w:val="2C2C3E"/>
        </w:rPr>
        <w:t>G.O.D.S is built upon five moral commitments that are non-negotiable regardless of commercial or political pressure:</w:t>
      </w:r>
    </w:p>
    <w:p w14:paraId="4196CE41" w14:textId="77777777" w:rsidR="009151BA" w:rsidRDefault="004439A8">
      <w:pPr>
        <w:pStyle w:val="ListParagraph"/>
        <w:numPr>
          <w:ilvl w:val="0"/>
          <w:numId w:val="3"/>
        </w:numPr>
        <w:spacing w:before="60" w:after="60"/>
      </w:pPr>
      <w:r>
        <w:rPr>
          <w:color w:val="2C2C3E"/>
        </w:rPr>
        <w:t>Basic human needs should be dignified. Access to shelter, water, food, healthcare, education, energy, and connectivity is not a luxury. It is the precondition for contribution, and it must be treated structurally as infrastructure, not charity.</w:t>
      </w:r>
    </w:p>
    <w:p w14:paraId="51735D44" w14:textId="77777777" w:rsidR="009151BA" w:rsidRDefault="004439A8">
      <w:pPr>
        <w:pStyle w:val="ListParagraph"/>
        <w:numPr>
          <w:ilvl w:val="0"/>
          <w:numId w:val="3"/>
        </w:numPr>
        <w:spacing w:before="60" w:after="60"/>
      </w:pPr>
      <w:r>
        <w:rPr>
          <w:color w:val="2C2C3E"/>
        </w:rPr>
        <w:t>Opportunity should not be permanently denied due to past failure. A record of failure — whether through addiction, crime, poor judgment, or circumstance — should not function as a lifetime disqualification from participation. Structured pathways for recovery and reintegration must remain operational within any system G.O.D.S builds or influences.</w:t>
      </w:r>
    </w:p>
    <w:p w14:paraId="51CDE8BF" w14:textId="77777777" w:rsidR="009151BA" w:rsidRDefault="004439A8">
      <w:pPr>
        <w:pStyle w:val="ListParagraph"/>
        <w:numPr>
          <w:ilvl w:val="0"/>
          <w:numId w:val="3"/>
        </w:numPr>
        <w:spacing w:before="60" w:after="60"/>
      </w:pPr>
      <w:r>
        <w:rPr>
          <w:color w:val="2C2C3E"/>
        </w:rPr>
        <w:t>Contribution should carry greater weight than manipulation. The economic architecture of G.O.D.S prioritizes systems where measurable contribution to civilization — productive labor, innovation, governance integrity, community stability — carries more systemic reward than financial speculation, rent-seeking, or extractive behavior.</w:t>
      </w:r>
    </w:p>
    <w:p w14:paraId="6366C891" w14:textId="77777777" w:rsidR="009151BA" w:rsidRDefault="004439A8">
      <w:pPr>
        <w:pStyle w:val="ListParagraph"/>
        <w:numPr>
          <w:ilvl w:val="0"/>
          <w:numId w:val="3"/>
        </w:numPr>
        <w:spacing w:before="60" w:after="60"/>
      </w:pPr>
      <w:r>
        <w:rPr>
          <w:color w:val="2C2C3E"/>
        </w:rPr>
        <w:t>Innovation should benefit civilization, not destabilize it. Technological advancement deployed without governance infrastructure, without workforce absorption planning, and without ethical oversight generates systemic risk that eventually exceeds its benefit. G.O.D.S builds the absorption layer that responsible innovation requires.</w:t>
      </w:r>
    </w:p>
    <w:p w14:paraId="79295311" w14:textId="77777777" w:rsidR="009151BA" w:rsidRDefault="004439A8">
      <w:pPr>
        <w:pStyle w:val="ListParagraph"/>
        <w:numPr>
          <w:ilvl w:val="0"/>
          <w:numId w:val="3"/>
        </w:numPr>
        <w:spacing w:before="60" w:after="60"/>
      </w:pPr>
      <w:r>
        <w:rPr>
          <w:color w:val="2C2C3E"/>
        </w:rPr>
        <w:t>Technology must serve human wellbeing before autonomous expansion. Artificial intelligence, automation, and emerging technologies are instruments — not agents of civilizational authority. Human oversight must be preserved as a structural feature, not an optional add-on.</w:t>
      </w:r>
    </w:p>
    <w:p w14:paraId="41649EB3" w14:textId="77777777" w:rsidR="009151BA" w:rsidRDefault="004439A8">
      <w:pPr>
        <w:spacing w:before="320" w:after="120"/>
      </w:pPr>
      <w:r>
        <w:rPr>
          <w:rFonts w:ascii="Georgia" w:eastAsia="Georgia" w:hAnsi="Georgia" w:cs="Georgia"/>
          <w:b/>
          <w:bCs/>
          <w:color w:val="0D2B55"/>
          <w:sz w:val="28"/>
          <w:szCs w:val="28"/>
        </w:rPr>
        <w:t>3.3 What G.O.D.S Is Not</w:t>
      </w:r>
    </w:p>
    <w:p w14:paraId="4C2905AE" w14:textId="77777777" w:rsidR="009151BA" w:rsidRDefault="004439A8">
      <w:pPr>
        <w:spacing w:before="80" w:after="80"/>
        <w:jc w:val="both"/>
      </w:pPr>
      <w:r>
        <w:rPr>
          <w:color w:val="2C2C3E"/>
        </w:rPr>
        <w:t>G.O.D.S recognizes that money, sovereignty, and markets are not enemies. Misaligned incentives are. It is therefore essential to be explicit about what this initiative does not represent:</w:t>
      </w:r>
    </w:p>
    <w:p w14:paraId="5CCBB715" w14:textId="77777777" w:rsidR="009151BA" w:rsidRDefault="004439A8">
      <w:pPr>
        <w:pStyle w:val="ListParagraph"/>
        <w:numPr>
          <w:ilvl w:val="0"/>
          <w:numId w:val="2"/>
        </w:numPr>
        <w:spacing w:before="60" w:after="60"/>
      </w:pPr>
      <w:r>
        <w:rPr>
          <w:color w:val="2C2C3E"/>
        </w:rPr>
        <w:t>G.O.D.S is not a utopian project. It does not believe that human nature is perfectible or that conflict can be eliminated. It believes structural conditions can be improved to reduce unnecessary instability.</w:t>
      </w:r>
    </w:p>
    <w:p w14:paraId="0E3B766D" w14:textId="77777777" w:rsidR="009151BA" w:rsidRDefault="004439A8">
      <w:pPr>
        <w:pStyle w:val="ListParagraph"/>
        <w:numPr>
          <w:ilvl w:val="0"/>
          <w:numId w:val="2"/>
        </w:numPr>
        <w:spacing w:before="60" w:after="60"/>
      </w:pPr>
      <w:r>
        <w:rPr>
          <w:color w:val="2C2C3E"/>
        </w:rPr>
        <w:t>G.O.D.S is not a socialist redistribution framework. It operates within markets, generates profit, competes commercially, and rewards performance. The distinction from conventional capitalism is in its long-horizon incentive architecture and its commitment to contribution over extraction.</w:t>
      </w:r>
    </w:p>
    <w:p w14:paraId="1A3AE640" w14:textId="77777777" w:rsidR="009151BA" w:rsidRDefault="004439A8">
      <w:pPr>
        <w:pStyle w:val="ListParagraph"/>
        <w:numPr>
          <w:ilvl w:val="0"/>
          <w:numId w:val="2"/>
        </w:numPr>
        <w:spacing w:before="60" w:after="60"/>
      </w:pPr>
      <w:r>
        <w:rPr>
          <w:color w:val="2C2C3E"/>
        </w:rPr>
        <w:lastRenderedPageBreak/>
        <w:t>G.O.D.S is not a charity organization. Its divisions operate commercially and are designed to be financially self-sustaining. Philanthropic outcomes are the byproduct of disciplined commercial execution, not the primary revenue mechanism.</w:t>
      </w:r>
    </w:p>
    <w:p w14:paraId="609FF6FF" w14:textId="77777777" w:rsidR="009151BA" w:rsidRDefault="004439A8">
      <w:pPr>
        <w:pStyle w:val="ListParagraph"/>
        <w:numPr>
          <w:ilvl w:val="0"/>
          <w:numId w:val="2"/>
        </w:numPr>
        <w:spacing w:before="60" w:after="60"/>
      </w:pPr>
      <w:r>
        <w:rPr>
          <w:color w:val="2C2C3E"/>
        </w:rPr>
        <w:t>G.O.D.S is not a political movement. It does not campaign for parties, ideologies, or candidates. Its governance architecture explicitly prohibits political capture of any division.</w:t>
      </w:r>
    </w:p>
    <w:p w14:paraId="73D374FE" w14:textId="77777777" w:rsidR="009151BA" w:rsidRDefault="004439A8">
      <w:pPr>
        <w:pStyle w:val="ListParagraph"/>
        <w:numPr>
          <w:ilvl w:val="0"/>
          <w:numId w:val="2"/>
        </w:numPr>
        <w:spacing w:before="60" w:after="60"/>
      </w:pPr>
      <w:r>
        <w:rPr>
          <w:color w:val="2C2C3E"/>
        </w:rPr>
        <w:t>G.O.D.S is not a religious organization. It respects faith as a dimension of human dignity and incorporates freedom of belief within its operational frameworks, but it does not operate from theological authority.</w:t>
      </w:r>
    </w:p>
    <w:p w14:paraId="123C24BE" w14:textId="77777777" w:rsidR="009151BA" w:rsidRDefault="004439A8">
      <w:pPr>
        <w:spacing w:before="320" w:after="120"/>
      </w:pPr>
      <w:r>
        <w:rPr>
          <w:rFonts w:ascii="Georgia" w:eastAsia="Georgia" w:hAnsi="Georgia" w:cs="Georgia"/>
          <w:b/>
          <w:bCs/>
          <w:color w:val="0D2B55"/>
          <w:sz w:val="28"/>
          <w:szCs w:val="28"/>
        </w:rPr>
        <w:t>3.4 The Moral Ambition</w:t>
      </w:r>
    </w:p>
    <w:p w14:paraId="285A593A" w14:textId="77777777" w:rsidR="009151BA" w:rsidRDefault="004439A8">
      <w:pPr>
        <w:spacing w:before="80" w:after="80"/>
        <w:jc w:val="both"/>
      </w:pPr>
      <w:r>
        <w:rPr>
          <w:color w:val="2C2C3E"/>
        </w:rPr>
        <w:t>The moral ambition is bold. The method is incremental. G.O.D.S does not seek to transform civilization in a decade. It seeks to build infrastructure that compounds in quality and reach over generations — such that each 25-year cycle delivers measurable improvement in the structural conditions of human life.</w:t>
      </w:r>
    </w:p>
    <w:p w14:paraId="2D1DD57F" w14:textId="77777777" w:rsidR="009151BA" w:rsidRDefault="004439A8">
      <w:pPr>
        <w:spacing w:before="80" w:after="80"/>
        <w:jc w:val="both"/>
      </w:pPr>
      <w:r>
        <w:rPr>
          <w:color w:val="2C2C3E"/>
        </w:rPr>
        <w:t>The measure of moral success is not sentiment. It is data. Reduction in recidivism rates. Increase in employment from structured rehabilitation programs. Reduction in corruption through transparent governance systems. Increase in economic participation among previously excluded populations. Measurable improvement in the efficiency of public resource allocation.</w:t>
      </w:r>
    </w:p>
    <w:p w14:paraId="6C94314A" w14:textId="77777777" w:rsidR="009151BA" w:rsidRDefault="004439A8">
      <w:pPr>
        <w:spacing w:before="80" w:after="80"/>
        <w:jc w:val="both"/>
      </w:pPr>
      <w:r>
        <w:rPr>
          <w:color w:val="2C2C3E"/>
        </w:rPr>
        <w:t>Morality is made operational through measurement.</w:t>
      </w:r>
    </w:p>
    <w:p w14:paraId="0C33E104" w14:textId="77777777" w:rsidR="009151BA" w:rsidRDefault="004439A8">
      <w:r>
        <w:br w:type="page"/>
      </w:r>
    </w:p>
    <w:p w14:paraId="3D4C171E"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4: THE PROBLEM WE ARE ADDRESSING</w:t>
      </w:r>
    </w:p>
    <w:p w14:paraId="2B1FAA5F" w14:textId="77777777" w:rsidR="009151BA" w:rsidRDefault="004439A8">
      <w:pPr>
        <w:spacing w:before="320" w:after="120"/>
      </w:pPr>
      <w:r>
        <w:rPr>
          <w:rFonts w:ascii="Georgia" w:eastAsia="Georgia" w:hAnsi="Georgia" w:cs="Georgia"/>
          <w:b/>
          <w:bCs/>
          <w:color w:val="0D2B55"/>
          <w:sz w:val="28"/>
          <w:szCs w:val="28"/>
        </w:rPr>
        <w:t>4.1 The Global Structural Condition</w:t>
      </w:r>
    </w:p>
    <w:p w14:paraId="78D7DB7F" w14:textId="77777777" w:rsidR="009151BA" w:rsidRDefault="004439A8">
      <w:pPr>
        <w:spacing w:before="80" w:after="80"/>
        <w:jc w:val="both"/>
      </w:pPr>
      <w:r>
        <w:rPr>
          <w:color w:val="2C2C3E"/>
        </w:rPr>
        <w:t>Modern civilization has achieved extraordinary progress. Global trade networks connect continents. Technological advancement accelerates discovery. Information is universally accessible. Innovation moves at unprecedented speed. Life expectancy has risen. Extreme poverty rates have declined over the past century. By multiple measures, human conditions have improved.</w:t>
      </w:r>
    </w:p>
    <w:p w14:paraId="0C0C80F0" w14:textId="77777777" w:rsidR="009151BA" w:rsidRDefault="004439A8">
      <w:pPr>
        <w:spacing w:before="80" w:after="80"/>
        <w:jc w:val="both"/>
      </w:pPr>
      <w:r>
        <w:rPr>
          <w:color w:val="2C2C3E"/>
        </w:rPr>
        <w:t>Yet instability persists. This instability does not stem from lack of intelligence or lack of resources. It stems from fragmentation.</w:t>
      </w:r>
    </w:p>
    <w:p w14:paraId="56BB3CF2" w14:textId="77777777" w:rsidR="009151BA" w:rsidRDefault="004439A8">
      <w:pPr>
        <w:spacing w:before="80" w:after="80"/>
        <w:jc w:val="both"/>
      </w:pPr>
      <w:r>
        <w:rPr>
          <w:color w:val="2C2C3E"/>
        </w:rPr>
        <w:t>Economic systems operate across borders, but governance remains primarily national. Technology evolves exponentially, while regulatory adaptation moves incrementally. Capital flows globally, while trust remains local. Education produces knowledge, but application pathways are inconsistent. The result is structural tension — a mismatch between the scale at which problems exist and the scale at which solutions are designed.</w:t>
      </w:r>
    </w:p>
    <w:p w14:paraId="681DEDDF" w14:textId="77777777" w:rsidR="009151BA" w:rsidRDefault="004439A8">
      <w:pPr>
        <w:spacing w:before="320" w:after="120"/>
      </w:pPr>
      <w:r>
        <w:rPr>
          <w:rFonts w:ascii="Georgia" w:eastAsia="Georgia" w:hAnsi="Georgia" w:cs="Georgia"/>
          <w:b/>
          <w:bCs/>
          <w:color w:val="0D2B55"/>
          <w:sz w:val="28"/>
          <w:szCs w:val="28"/>
        </w:rPr>
        <w:t>4.2 The Seven Structural Problems of the Next Twenty Years</w:t>
      </w:r>
    </w:p>
    <w:p w14:paraId="5F3B7BAC" w14:textId="77777777" w:rsidR="009151BA" w:rsidRDefault="004439A8">
      <w:pPr>
        <w:spacing w:before="80" w:after="80"/>
        <w:jc w:val="both"/>
      </w:pPr>
      <w:r>
        <w:rPr>
          <w:color w:val="2C2C3E"/>
        </w:rPr>
        <w:t>G.O.D.S has conducted extensive analysis of structural stressors over the 2026–2045 horizon. These are not surface symptoms but foundational fragilities that, if unaddressed, will compound into civilizational instability:</w:t>
      </w:r>
    </w:p>
    <w:p w14:paraId="08045266" w14:textId="77777777" w:rsidR="009151BA" w:rsidRDefault="004439A8">
      <w:pPr>
        <w:spacing w:before="240" w:after="80"/>
      </w:pPr>
      <w:r>
        <w:rPr>
          <w:b/>
          <w:bCs/>
          <w:color w:val="BF9B30"/>
          <w:sz w:val="24"/>
          <w:szCs w:val="24"/>
        </w:rPr>
        <w:t>4.2.1 Governance Erosion &amp; Institutional Distrust</w:t>
      </w:r>
    </w:p>
    <w:p w14:paraId="28D9CF86" w14:textId="77777777" w:rsidR="009151BA" w:rsidRDefault="004439A8">
      <w:pPr>
        <w:spacing w:before="80" w:after="80"/>
        <w:jc w:val="both"/>
      </w:pPr>
      <w:r>
        <w:rPr>
          <w:color w:val="2C2C3E"/>
        </w:rPr>
        <w:t>Public trust in governments globally has reached generational lows. Corruption perception, bureaucratic inefficiency, information asymmetry, and the inability of institutions to adapt at pace with technological change have created a crisis of legitimacy. When democratic institutions lose credibility, the vacuum is filled by populism, authoritarianism, or chaos. The cost is not merely political — it is economic. Foreign investment retreats. Long-term planning becomes impossible. Social contract provisions collapse.</w:t>
      </w:r>
    </w:p>
    <w:p w14:paraId="46FB118F" w14:textId="77777777" w:rsidR="009151BA" w:rsidRDefault="004439A8">
      <w:pPr>
        <w:spacing w:before="80" w:after="80"/>
        <w:jc w:val="both"/>
      </w:pPr>
      <w:r>
        <w:rPr>
          <w:color w:val="2C2C3E"/>
        </w:rPr>
        <w:t>G.O.D.S addresses this through the UDOC governance infrastructure layer — not through ideological reform, but through transparent, auditable, cryptographically verifiable institutional systems that make competence visible and corruption structurally harder.</w:t>
      </w:r>
    </w:p>
    <w:p w14:paraId="28DD7889" w14:textId="77777777" w:rsidR="009151BA" w:rsidRDefault="004439A8">
      <w:pPr>
        <w:spacing w:before="240" w:after="80"/>
      </w:pPr>
      <w:r>
        <w:rPr>
          <w:b/>
          <w:bCs/>
          <w:color w:val="BF9B30"/>
          <w:sz w:val="24"/>
          <w:szCs w:val="24"/>
        </w:rPr>
        <w:t>4.2.2 AI Displacement Without Social Adaptation</w:t>
      </w:r>
    </w:p>
    <w:p w14:paraId="5365F496" w14:textId="77777777" w:rsidR="009151BA" w:rsidRDefault="004439A8">
      <w:pPr>
        <w:spacing w:before="80" w:after="80"/>
        <w:jc w:val="both"/>
      </w:pPr>
      <w:r>
        <w:rPr>
          <w:color w:val="2C2C3E"/>
        </w:rPr>
        <w:t>Artificial intelligence and automation are not replacing only manual labor. They are displacing cognitive labor, administrative function, and professional roles simultaneously. The pace of displacement will exceed the capacity of conventional workforce retraining systems. The result, without structural intervention, is mass unemployment, skills mismatch, deepening inequality, and the concentration of economic power in an increasingly small number of entities controlling compute infrastructure.</w:t>
      </w:r>
    </w:p>
    <w:p w14:paraId="09651003" w14:textId="77777777" w:rsidR="009151BA" w:rsidRDefault="004439A8">
      <w:pPr>
        <w:spacing w:before="80" w:after="80"/>
        <w:jc w:val="both"/>
      </w:pPr>
      <w:r>
        <w:rPr>
          <w:color w:val="2C2C3E"/>
        </w:rPr>
        <w:t>G.O.D.S addresses this through S.E.T.H.S — a workforce transition and reintegration engine designed specifically to convert AI displacement from a destabilizing force into a managed structural transition. The combination of UDOC's AI governance mandate framework and S.E.T.H.S's workforce absorption pipeline creates the only integrated response to this challenge.</w:t>
      </w:r>
    </w:p>
    <w:p w14:paraId="0523FDB0" w14:textId="77777777" w:rsidR="009151BA" w:rsidRDefault="004439A8">
      <w:pPr>
        <w:spacing w:before="240" w:after="80"/>
      </w:pPr>
      <w:r>
        <w:rPr>
          <w:b/>
          <w:bCs/>
          <w:color w:val="BF9B30"/>
          <w:sz w:val="24"/>
          <w:szCs w:val="24"/>
        </w:rPr>
        <w:t>4.2.3 Climate Instability &amp; Resource Allocation Failure</w:t>
      </w:r>
    </w:p>
    <w:p w14:paraId="50C7FE10" w14:textId="77777777" w:rsidR="009151BA" w:rsidRDefault="004439A8">
      <w:pPr>
        <w:spacing w:before="80" w:after="80"/>
        <w:jc w:val="both"/>
      </w:pPr>
      <w:r>
        <w:rPr>
          <w:color w:val="2C2C3E"/>
        </w:rPr>
        <w:lastRenderedPageBreak/>
        <w:t>The challenge of climate change is well-documented. Less discussed is the secondary problem: climate adaptation failure. The infrastructure required to manage food chain volatility, water scarcity, extreme weather events, and energy transition is substantially beyond the planning capacity of most national governments acting in isolation. The problem is not primarily technological. It is coordination.</w:t>
      </w:r>
    </w:p>
    <w:p w14:paraId="236A7D56" w14:textId="77777777" w:rsidR="009151BA" w:rsidRDefault="004439A8">
      <w:pPr>
        <w:spacing w:before="80" w:after="80"/>
        <w:jc w:val="both"/>
      </w:pPr>
      <w:r>
        <w:rPr>
          <w:color w:val="2C2C3E"/>
        </w:rPr>
        <w:t>G.O.D.S's Technological Sector and UDOC's national optimization frameworks address the coordination layer — providing AI-based planning tools, infrastructure modeling systems, and shared data architecture that enables better adaptation without requiring the cession of sovereignty.</w:t>
      </w:r>
    </w:p>
    <w:p w14:paraId="475717B2" w14:textId="77777777" w:rsidR="009151BA" w:rsidRDefault="004439A8">
      <w:pPr>
        <w:spacing w:before="240" w:after="80"/>
      </w:pPr>
      <w:r>
        <w:rPr>
          <w:b/>
          <w:bCs/>
          <w:color w:val="BF9B30"/>
          <w:sz w:val="24"/>
          <w:szCs w:val="24"/>
        </w:rPr>
        <w:t>4.2.4 Economic Fragility &amp; Debt Dependency</w:t>
      </w:r>
    </w:p>
    <w:p w14:paraId="7334DE21" w14:textId="77777777" w:rsidR="009151BA" w:rsidRDefault="004439A8">
      <w:pPr>
        <w:spacing w:before="80" w:after="80"/>
        <w:jc w:val="both"/>
      </w:pPr>
      <w:r>
        <w:rPr>
          <w:color w:val="2C2C3E"/>
        </w:rPr>
        <w:t>Sovereign debt levels in both developed and emerging economies are at historic highs. The capacity for fiscal response to future shocks — economic, climatic, or technological — is constrained. Youth unemployment globally, and catastrophically in emerging markets, represents both a fiscal burden and a social instability multiplier. South Africa, with youth unemployment exceeding 60% in some provinces, represents the leading indicator of a challenge that will spread.</w:t>
      </w:r>
    </w:p>
    <w:p w14:paraId="4E3A895B" w14:textId="77777777" w:rsidR="009151BA" w:rsidRDefault="004439A8">
      <w:pPr>
        <w:spacing w:before="80" w:after="80"/>
        <w:jc w:val="both"/>
      </w:pPr>
      <w:r>
        <w:rPr>
          <w:color w:val="2C2C3E"/>
        </w:rPr>
        <w:t>G.O.D.S addresses economic fragility through productivity-indexed infrastructure investment, performance-linked public capital, and the M.A.D.I.B.A capital deployment mechanism — which channels structured investment into sectors that absorb labor while generating measurable economic returns.</w:t>
      </w:r>
    </w:p>
    <w:p w14:paraId="36B43B28" w14:textId="77777777" w:rsidR="009151BA" w:rsidRDefault="004439A8">
      <w:pPr>
        <w:spacing w:before="240" w:after="80"/>
      </w:pPr>
      <w:r>
        <w:rPr>
          <w:b/>
          <w:bCs/>
          <w:color w:val="BF9B30"/>
          <w:sz w:val="24"/>
          <w:szCs w:val="24"/>
        </w:rPr>
        <w:t>4.2.5 Digital Information Chaos</w:t>
      </w:r>
    </w:p>
    <w:p w14:paraId="3B4E31DE" w14:textId="77777777" w:rsidR="009151BA" w:rsidRDefault="004439A8">
      <w:pPr>
        <w:spacing w:before="80" w:after="80"/>
        <w:jc w:val="both"/>
      </w:pPr>
      <w:r>
        <w:rPr>
          <w:color w:val="2C2C3E"/>
        </w:rPr>
        <w:t>The information infrastructure of modern democracy — the means by which citizens understand their world, evaluate their institutions, and make collective decisions — has been systematically destabilized by algorithmic amplification of misinformation, political polarization, and attention economy distortion. This is not merely a media problem. It is a governance problem. When populations cannot distinguish reliable information from manufactured narrative, democratic processes lose integrity.</w:t>
      </w:r>
    </w:p>
    <w:p w14:paraId="41DBDE4D" w14:textId="77777777" w:rsidR="009151BA" w:rsidRDefault="004439A8">
      <w:pPr>
        <w:spacing w:before="80" w:after="80"/>
        <w:jc w:val="both"/>
      </w:pPr>
      <w:r>
        <w:rPr>
          <w:color w:val="2C2C3E"/>
        </w:rPr>
        <w:t>UDOC's algorithmic transparency standards and public information integrity frameworks address this without censorship — through explainability requirements, public audit mechanisms, and civic information quality standards.</w:t>
      </w:r>
    </w:p>
    <w:p w14:paraId="2AEC02D8" w14:textId="77777777" w:rsidR="009151BA" w:rsidRDefault="004439A8">
      <w:pPr>
        <w:spacing w:before="240" w:after="80"/>
      </w:pPr>
      <w:r>
        <w:rPr>
          <w:b/>
          <w:bCs/>
          <w:color w:val="BF9B30"/>
          <w:sz w:val="24"/>
          <w:szCs w:val="24"/>
        </w:rPr>
        <w:t>4.2.6 Global Inequality of Compute Access</w:t>
      </w:r>
    </w:p>
    <w:p w14:paraId="3B35EE43" w14:textId="77777777" w:rsidR="009151BA" w:rsidRDefault="004439A8">
      <w:pPr>
        <w:spacing w:before="80" w:after="80"/>
        <w:jc w:val="both"/>
      </w:pPr>
      <w:r>
        <w:rPr>
          <w:color w:val="2C2C3E"/>
        </w:rPr>
        <w:t>Advanced AI and quantum computing infrastructure is concentrating in the United States, China, and a small number of private corporations. This creates a form of technological colonialism — where the majority of the world's population consumes AI-generated services, data, and governance tools built and controlled by entities that have no structural accountability to those populations. For Africa specifically, this represents the risk of entering the quantum era as a data colony rather than a data sovereign.</w:t>
      </w:r>
    </w:p>
    <w:p w14:paraId="1F02595B" w14:textId="77777777" w:rsidR="009151BA" w:rsidRDefault="004439A8">
      <w:pPr>
        <w:spacing w:before="80" w:after="80"/>
        <w:jc w:val="both"/>
      </w:pPr>
      <w:r>
        <w:rPr>
          <w:color w:val="2C2C3E"/>
        </w:rPr>
        <w:t>G.O.D.S's regional sovereign compute pool architecture and UDOC's data sovereignty framework directly address this structural risk — enabling nations to participate in the AI and quantum era without ceding digital sovereignty.</w:t>
      </w:r>
    </w:p>
    <w:p w14:paraId="382AC9CE" w14:textId="77777777" w:rsidR="009151BA" w:rsidRDefault="004439A8">
      <w:pPr>
        <w:spacing w:before="240" w:after="80"/>
      </w:pPr>
      <w:r>
        <w:rPr>
          <w:b/>
          <w:bCs/>
          <w:color w:val="BF9B30"/>
          <w:sz w:val="24"/>
          <w:szCs w:val="24"/>
        </w:rPr>
        <w:t>4.2.7 Mental Health &amp; Existential Drift</w:t>
      </w:r>
    </w:p>
    <w:p w14:paraId="5C8CC431" w14:textId="77777777" w:rsidR="009151BA" w:rsidRDefault="004439A8">
      <w:pPr>
        <w:spacing w:before="80" w:after="80"/>
        <w:jc w:val="both"/>
      </w:pPr>
      <w:r>
        <w:rPr>
          <w:color w:val="2C2C3E"/>
        </w:rPr>
        <w:t>The convergence of AI disruption, economic uncertainty, climate anxiety, and institutional distrust is generating a mental health crisis that is fundamentally structural in origin. Addiction rates, suicide rates, social withdrawal, radicalization, and the proliferation of destructive coping mechanisms are not individual moral failures — they are responses to structural conditions that offer insufficient pathways for contribution, meaning, and dignity.</w:t>
      </w:r>
    </w:p>
    <w:p w14:paraId="1F4F7C45" w14:textId="77777777" w:rsidR="009151BA" w:rsidRDefault="004439A8">
      <w:pPr>
        <w:spacing w:before="80" w:after="80"/>
        <w:jc w:val="both"/>
      </w:pPr>
      <w:r>
        <w:rPr>
          <w:color w:val="2C2C3E"/>
        </w:rPr>
        <w:lastRenderedPageBreak/>
        <w:t>S.E.T.H.S's structured reintegration framework, identity reconstruction methodology, and contribution-based advancement model address the structural origins of this challenge — not through clinical intervention alone, but through the restoration of economic dignity and purposeful engagement.</w:t>
      </w:r>
    </w:p>
    <w:p w14:paraId="475F2F32" w14:textId="77777777" w:rsidR="009151BA" w:rsidRDefault="004439A8">
      <w:pPr>
        <w:spacing w:before="320" w:after="120"/>
      </w:pPr>
      <w:r>
        <w:rPr>
          <w:rFonts w:ascii="Georgia" w:eastAsia="Georgia" w:hAnsi="Georgia" w:cs="Georgia"/>
          <w:b/>
          <w:bCs/>
          <w:color w:val="0D2B55"/>
          <w:sz w:val="28"/>
          <w:szCs w:val="28"/>
        </w:rPr>
        <w:t>4.3 The South African Specific Context</w:t>
      </w:r>
    </w:p>
    <w:p w14:paraId="29A2599F" w14:textId="77777777" w:rsidR="009151BA" w:rsidRDefault="004439A8">
      <w:pPr>
        <w:spacing w:before="80" w:after="80"/>
        <w:jc w:val="both"/>
      </w:pPr>
      <w:r>
        <w:rPr>
          <w:color w:val="2C2C3E"/>
        </w:rPr>
        <w:t>G.O.D.S begins in South Africa not because it is easy — but because it is stressed. South Africa represents a concentrated convergence of every structural problem described above. If a system can function in South Africa's conditions, it can function anywhere.</w:t>
      </w:r>
    </w:p>
    <w:p w14:paraId="5454F50A" w14:textId="77777777" w:rsidR="009151BA" w:rsidRDefault="004439A8">
      <w:pPr>
        <w:spacing w:before="80" w:after="80"/>
        <w:jc w:val="both"/>
      </w:pPr>
      <w:r>
        <w:rPr>
          <w:color w:val="2C2C3E"/>
        </w:rPr>
        <w:t>The specific South African structural conditions relevant to G.O.D.S are:</w:t>
      </w:r>
    </w:p>
    <w:p w14:paraId="5A495706" w14:textId="77777777" w:rsidR="009151BA" w:rsidRDefault="004439A8">
      <w:pPr>
        <w:pStyle w:val="ListParagraph"/>
        <w:numPr>
          <w:ilvl w:val="0"/>
          <w:numId w:val="2"/>
        </w:numPr>
        <w:spacing w:before="60" w:after="60"/>
      </w:pPr>
      <w:r>
        <w:rPr>
          <w:color w:val="2C2C3E"/>
        </w:rPr>
        <w:t>Unemployment exceeding 32% overall, with youth unemployment above 60% in key provinces.</w:t>
      </w:r>
    </w:p>
    <w:p w14:paraId="4A9C6B94" w14:textId="77777777" w:rsidR="009151BA" w:rsidRDefault="004439A8">
      <w:pPr>
        <w:pStyle w:val="ListParagraph"/>
        <w:numPr>
          <w:ilvl w:val="0"/>
          <w:numId w:val="2"/>
        </w:numPr>
        <w:spacing w:before="60" w:after="60"/>
      </w:pPr>
      <w:r>
        <w:rPr>
          <w:color w:val="2C2C3E"/>
        </w:rPr>
        <w:t>Overcrowded correctional facilities generating a cycle of incarceration that rarely produces productive economic reintegration.</w:t>
      </w:r>
    </w:p>
    <w:p w14:paraId="6DD7E3E8" w14:textId="77777777" w:rsidR="009151BA" w:rsidRDefault="004439A8">
      <w:pPr>
        <w:pStyle w:val="ListParagraph"/>
        <w:numPr>
          <w:ilvl w:val="0"/>
          <w:numId w:val="2"/>
        </w:numPr>
        <w:spacing w:before="60" w:after="60"/>
      </w:pPr>
      <w:r>
        <w:rPr>
          <w:color w:val="2C2C3E"/>
        </w:rPr>
        <w:t>A rehabilitation system that is structurally disconnected from employment pipelines.</w:t>
      </w:r>
    </w:p>
    <w:p w14:paraId="0E4F1EA4" w14:textId="77777777" w:rsidR="009151BA" w:rsidRDefault="004439A8">
      <w:pPr>
        <w:pStyle w:val="ListParagraph"/>
        <w:numPr>
          <w:ilvl w:val="0"/>
          <w:numId w:val="2"/>
        </w:numPr>
        <w:spacing w:before="60" w:after="60"/>
      </w:pPr>
      <w:r>
        <w:rPr>
          <w:color w:val="2C2C3E"/>
        </w:rPr>
        <w:t>Municipal governance collapse in multiple key economic centers.</w:t>
      </w:r>
    </w:p>
    <w:p w14:paraId="0C5727AA" w14:textId="77777777" w:rsidR="009151BA" w:rsidRDefault="004439A8">
      <w:pPr>
        <w:pStyle w:val="ListParagraph"/>
        <w:numPr>
          <w:ilvl w:val="0"/>
          <w:numId w:val="2"/>
        </w:numPr>
        <w:spacing w:before="60" w:after="60"/>
      </w:pPr>
      <w:r>
        <w:rPr>
          <w:color w:val="2C2C3E"/>
        </w:rPr>
        <w:t>AI and automation entering an economy with insufficient workforce adaptation infrastructure.</w:t>
      </w:r>
    </w:p>
    <w:p w14:paraId="06994D13" w14:textId="77777777" w:rsidR="009151BA" w:rsidRDefault="004439A8">
      <w:pPr>
        <w:pStyle w:val="ListParagraph"/>
        <w:numPr>
          <w:ilvl w:val="0"/>
          <w:numId w:val="2"/>
        </w:numPr>
        <w:spacing w:before="60" w:after="60"/>
      </w:pPr>
      <w:r>
        <w:rPr>
          <w:color w:val="2C2C3E"/>
        </w:rPr>
        <w:t>Private sector investment hesitation driven by regulatory unpredictability and governance instability.</w:t>
      </w:r>
    </w:p>
    <w:p w14:paraId="422E7ABD" w14:textId="77777777" w:rsidR="009151BA" w:rsidRDefault="004439A8">
      <w:pPr>
        <w:pStyle w:val="ListParagraph"/>
        <w:numPr>
          <w:ilvl w:val="0"/>
          <w:numId w:val="2"/>
        </w:numPr>
        <w:spacing w:before="60" w:after="60"/>
      </w:pPr>
      <w:r>
        <w:rPr>
          <w:color w:val="2C2C3E"/>
        </w:rPr>
        <w:t>A demographic profile — the youngest median age of any major economy — that is simultaneously the greatest opportunity and, if mismanaged, the greatest risk.</w:t>
      </w:r>
    </w:p>
    <w:p w14:paraId="0C277E47" w14:textId="77777777" w:rsidR="009151BA" w:rsidRDefault="004439A8">
      <w:pPr>
        <w:spacing w:before="80" w:after="80"/>
        <w:jc w:val="both"/>
      </w:pPr>
      <w:r>
        <w:rPr>
          <w:color w:val="2C2C3E"/>
        </w:rPr>
        <w:t>G.O.D.S is designed to address these specific conditions. The proof of concept generated in South Africa becomes the model for every emerging economy facing the same convergence of pressures.</w:t>
      </w:r>
    </w:p>
    <w:p w14:paraId="6224268F" w14:textId="77777777" w:rsidR="009151BA" w:rsidRDefault="004439A8">
      <w:r>
        <w:br w:type="page"/>
      </w:r>
    </w:p>
    <w:p w14:paraId="1FE821B4"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5: WHY BUSINESS IS THE VEHICLE</w:t>
      </w:r>
    </w:p>
    <w:p w14:paraId="2761C37E" w14:textId="77777777" w:rsidR="009151BA" w:rsidRDefault="004439A8">
      <w:pPr>
        <w:spacing w:before="320" w:after="120"/>
      </w:pPr>
      <w:r>
        <w:rPr>
          <w:rFonts w:ascii="Georgia" w:eastAsia="Georgia" w:hAnsi="Georgia" w:cs="Georgia"/>
          <w:b/>
          <w:bCs/>
          <w:color w:val="0D2B55"/>
          <w:sz w:val="28"/>
          <w:szCs w:val="28"/>
        </w:rPr>
        <w:t>5.1 The Limits of Alternative Models</w:t>
      </w:r>
    </w:p>
    <w:p w14:paraId="6C958F17" w14:textId="77777777" w:rsidR="009151BA" w:rsidRDefault="004439A8">
      <w:pPr>
        <w:spacing w:before="80" w:after="80"/>
        <w:jc w:val="both"/>
      </w:pPr>
      <w:r>
        <w:rPr>
          <w:color w:val="2C2C3E"/>
        </w:rPr>
        <w:t>G.O.D.S could have been structured as an NGO. It could have been structured as a political movement. It could have been structured as an academic institution or a government agency. Each of these models has been applied to the problems G.O.D.S addresses, and each has demonstrated structural limitations that prevent the scale and durability required.</w:t>
      </w:r>
    </w:p>
    <w:p w14:paraId="409F48C9" w14:textId="77777777" w:rsidR="009151BA" w:rsidRDefault="004439A8">
      <w:pPr>
        <w:spacing w:before="80" w:after="80"/>
        <w:jc w:val="both"/>
      </w:pPr>
      <w:r>
        <w:rPr>
          <w:color w:val="2C2C3E"/>
        </w:rPr>
        <w:t>NGOs and charitable organizations depend on donor funding that is cyclical, politically contingent, and fundamentally insufficient to sustain infrastructure at civilizational scale. They produce outcomes that are real but localized and fragile — dependent on funding continuity rather than embedded in self-sustaining systems. When funding contracts, programs collapse. The infrastructure does not survive.</w:t>
      </w:r>
    </w:p>
    <w:p w14:paraId="39B8225C" w14:textId="77777777" w:rsidR="009151BA" w:rsidRDefault="004439A8">
      <w:pPr>
        <w:spacing w:before="80" w:after="80"/>
        <w:jc w:val="both"/>
      </w:pPr>
      <w:r>
        <w:rPr>
          <w:color w:val="2C2C3E"/>
        </w:rPr>
        <w:t>Political movements are subject to electoral cycles, ideological capture, and the fundamental constraint that democratic governance operates on 4–5 year planning horizons. No political movement can credibly plan for 100 years. No government can build infrastructure designed to compound over generations without being redesigned by the next administration.</w:t>
      </w:r>
    </w:p>
    <w:p w14:paraId="680AE701" w14:textId="77777777" w:rsidR="009151BA" w:rsidRDefault="004439A8">
      <w:pPr>
        <w:spacing w:before="80" w:after="80"/>
        <w:jc w:val="both"/>
      </w:pPr>
      <w:r>
        <w:rPr>
          <w:color w:val="2C2C3E"/>
        </w:rPr>
        <w:t>Government agencies have sovereign authority and resource access, but are constrained by bureaucratic process, political direction, and the inherent conflict between short-term electoral incentives and long-horizon structural investment. The history of government-led development initiatives is a history of plans that died with their political sponsors.</w:t>
      </w:r>
    </w:p>
    <w:p w14:paraId="054D0B6D" w14:textId="77777777" w:rsidR="009151BA" w:rsidRDefault="004439A8">
      <w:pPr>
        <w:spacing w:before="320" w:after="120"/>
      </w:pPr>
      <w:r>
        <w:rPr>
          <w:rFonts w:ascii="Georgia" w:eastAsia="Georgia" w:hAnsi="Georgia" w:cs="Georgia"/>
          <w:b/>
          <w:bCs/>
          <w:color w:val="0D2B55"/>
          <w:sz w:val="28"/>
          <w:szCs w:val="28"/>
        </w:rPr>
        <w:t>5.2 Why Business Succeeds</w:t>
      </w:r>
    </w:p>
    <w:p w14:paraId="77BC03F3" w14:textId="77777777" w:rsidR="009151BA" w:rsidRDefault="004439A8">
      <w:pPr>
        <w:spacing w:before="80" w:after="80"/>
        <w:jc w:val="both"/>
      </w:pPr>
      <w:r>
        <w:rPr>
          <w:color w:val="2C2C3E"/>
        </w:rPr>
        <w:t>Business — structured, disciplined, commercially self-sustaining business — is the only vehicle that can operate at civilizational scale with generational continuity. The evidence is unambiguous: the institutions with the most consistent global impact over centuries are commercial entities, not governmental ones. The Catholic Church has sustained global influence for two millennia through a combination of institutional structure, cultural embedding, and financial discipline. The oldest surviving universities were commercially structured. The most enduring infrastructure — roads, ports, communication networks — was built by commercial entities with government partnership.</w:t>
      </w:r>
    </w:p>
    <w:p w14:paraId="02F079B1" w14:textId="77777777" w:rsidR="009151BA" w:rsidRDefault="004439A8">
      <w:pPr>
        <w:spacing w:before="80" w:after="80"/>
        <w:jc w:val="both"/>
      </w:pPr>
      <w:r>
        <w:rPr>
          <w:color w:val="2C2C3E"/>
        </w:rPr>
        <w:t>Business has structural properties that make it uniquely suited for G.O.D.S's mission:</w:t>
      </w:r>
    </w:p>
    <w:p w14:paraId="5E792AE1" w14:textId="77777777" w:rsidR="009151BA" w:rsidRDefault="004439A8">
      <w:pPr>
        <w:pStyle w:val="ListParagraph"/>
        <w:numPr>
          <w:ilvl w:val="0"/>
          <w:numId w:val="3"/>
        </w:numPr>
        <w:spacing w:before="60" w:after="60"/>
      </w:pPr>
      <w:r>
        <w:rPr>
          <w:color w:val="2C2C3E"/>
        </w:rPr>
        <w:t>Commercial self-sustainability. A business that generates revenue does not depend on donor cycles or political will for its survival. It can operate through elections, recessions, and administrations because its existence is tied to commercial performance, not political favor.</w:t>
      </w:r>
    </w:p>
    <w:p w14:paraId="696EE0B1" w14:textId="77777777" w:rsidR="009151BA" w:rsidRDefault="004439A8">
      <w:pPr>
        <w:pStyle w:val="ListParagraph"/>
        <w:numPr>
          <w:ilvl w:val="0"/>
          <w:numId w:val="3"/>
        </w:numPr>
        <w:spacing w:before="60" w:after="60"/>
      </w:pPr>
      <w:r>
        <w:rPr>
          <w:color w:val="2C2C3E"/>
        </w:rPr>
        <w:t>Incentive alignment. Business structures can be designed to align individual and institutional incentives with long-term objectives through equity, performance-based compensation, and governance architecture. G.O.D.S uses contribution-based advancement and long-horizon equity structures to create this alignment.</w:t>
      </w:r>
    </w:p>
    <w:p w14:paraId="5DAEC6CF" w14:textId="77777777" w:rsidR="009151BA" w:rsidRDefault="004439A8">
      <w:pPr>
        <w:pStyle w:val="ListParagraph"/>
        <w:numPr>
          <w:ilvl w:val="0"/>
          <w:numId w:val="3"/>
        </w:numPr>
        <w:spacing w:before="60" w:after="60"/>
      </w:pPr>
      <w:r>
        <w:rPr>
          <w:color w:val="2C2C3E"/>
        </w:rPr>
        <w:t>Scale through market mechanics. The most powerful scale mechanism available is the market. When a solution creates genuine value, market mechanics distribute it — without requiring the kind of political will that makes government initiatives fragile.</w:t>
      </w:r>
    </w:p>
    <w:p w14:paraId="150DCB3E" w14:textId="77777777" w:rsidR="009151BA" w:rsidRDefault="004439A8">
      <w:pPr>
        <w:pStyle w:val="ListParagraph"/>
        <w:numPr>
          <w:ilvl w:val="0"/>
          <w:numId w:val="3"/>
        </w:numPr>
        <w:spacing w:before="60" w:after="60"/>
      </w:pPr>
      <w:r>
        <w:rPr>
          <w:color w:val="2C2C3E"/>
        </w:rPr>
        <w:t>Accountability through measurement. Commercial entities must demonstrate measurable performance to sustain investment. This accountability structure is structurally superior to the accountability of most government or charitable initiatives, which are often measured by input rather than output.</w:t>
      </w:r>
    </w:p>
    <w:p w14:paraId="4D3ACD68" w14:textId="77777777" w:rsidR="009151BA" w:rsidRDefault="004439A8">
      <w:pPr>
        <w:pStyle w:val="ListParagraph"/>
        <w:numPr>
          <w:ilvl w:val="0"/>
          <w:numId w:val="3"/>
        </w:numPr>
        <w:spacing w:before="60" w:after="60"/>
      </w:pPr>
      <w:r>
        <w:rPr>
          <w:color w:val="2C2C3E"/>
        </w:rPr>
        <w:lastRenderedPageBreak/>
        <w:t>Generational continuity. A well-structured commercial entity can outlast its founders. The IP trust, governance architecture, and succession planning embedded in G.O.D.S are designed to ensure institutional continuity across generations.</w:t>
      </w:r>
    </w:p>
    <w:p w14:paraId="63E6FE59" w14:textId="77777777" w:rsidR="009151BA" w:rsidRDefault="004439A8">
      <w:pPr>
        <w:spacing w:before="320" w:after="120"/>
      </w:pPr>
      <w:r>
        <w:rPr>
          <w:rFonts w:ascii="Georgia" w:eastAsia="Georgia" w:hAnsi="Georgia" w:cs="Georgia"/>
          <w:b/>
          <w:bCs/>
          <w:color w:val="0D2B55"/>
          <w:sz w:val="28"/>
          <w:szCs w:val="28"/>
        </w:rPr>
        <w:t>5.3 The Ethical Business Distinction</w:t>
      </w:r>
    </w:p>
    <w:p w14:paraId="2FB887EE" w14:textId="77777777" w:rsidR="009151BA" w:rsidRDefault="004439A8">
      <w:pPr>
        <w:spacing w:before="80" w:after="80"/>
        <w:jc w:val="both"/>
      </w:pPr>
      <w:r>
        <w:rPr>
          <w:color w:val="2C2C3E"/>
        </w:rPr>
        <w:t>G.O.D.S is not built to replicate conventional capitalism. It is built to demonstrate that business can be structured differently — with long-horizon incentives, contribution-based advancement, anti-corruption architecture, and explicit governance constraints on extraction — without sacrificing commercial performance. In fact, the hypothesis of G.O.D.S is that this structure enhances long-term commercial performance by building the trust and institutional durability that conventional short-horizon capitalism systematically undermines.</w:t>
      </w:r>
    </w:p>
    <w:p w14:paraId="55438901" w14:textId="77777777" w:rsidR="009151BA" w:rsidRDefault="004439A8">
      <w:pPr>
        <w:spacing w:before="80" w:after="80"/>
        <w:jc w:val="both"/>
      </w:pPr>
      <w:r>
        <w:rPr>
          <w:color w:val="2C2C3E"/>
        </w:rPr>
        <w:t>Profit is required for sustainability. It shall never be pursued through destabilization or engineered scarcity. That is the fundamental distinction.</w:t>
      </w:r>
    </w:p>
    <w:p w14:paraId="1AEBD983" w14:textId="77777777" w:rsidR="009151BA" w:rsidRDefault="004439A8">
      <w:r>
        <w:br w:type="page"/>
      </w:r>
    </w:p>
    <w:p w14:paraId="65042A83" w14:textId="77777777" w:rsidR="009151BA" w:rsidRDefault="009151BA">
      <w:pPr>
        <w:pBdr>
          <w:bottom w:val="single" w:sz="6" w:space="1" w:color="C9A84C"/>
        </w:pBdr>
        <w:spacing w:before="240" w:after="240"/>
      </w:pPr>
    </w:p>
    <w:p w14:paraId="6BDFDF12" w14:textId="77777777" w:rsidR="009151BA" w:rsidRDefault="004439A8">
      <w:pPr>
        <w:shd w:val="clear" w:color="auto" w:fill="0D2B55"/>
        <w:spacing w:before="720" w:after="240"/>
        <w:jc w:val="center"/>
      </w:pPr>
      <w:r>
        <w:rPr>
          <w:rFonts w:ascii="Georgia" w:eastAsia="Georgia" w:hAnsi="Georgia" w:cs="Georgia"/>
          <w:b/>
          <w:bCs/>
          <w:color w:val="FFFFFF"/>
          <w:sz w:val="40"/>
          <w:szCs w:val="40"/>
        </w:rPr>
        <w:t>PART II — CONSTITUTIONAL FOUNDATIONS</w:t>
      </w:r>
    </w:p>
    <w:p w14:paraId="067D9C92" w14:textId="77777777" w:rsidR="009151BA" w:rsidRDefault="004439A8">
      <w:r>
        <w:br w:type="page"/>
      </w:r>
    </w:p>
    <w:p w14:paraId="1BEC373A"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6: THE TWELVE CONSTITUTIONAL PILLARS OF G.O.D.S</w:t>
      </w:r>
    </w:p>
    <w:p w14:paraId="500F69A9" w14:textId="77777777" w:rsidR="009151BA" w:rsidRDefault="004439A8">
      <w:pPr>
        <w:spacing w:before="320" w:after="120"/>
      </w:pPr>
      <w:r>
        <w:rPr>
          <w:rFonts w:ascii="Georgia" w:eastAsia="Georgia" w:hAnsi="Georgia" w:cs="Georgia"/>
          <w:b/>
          <w:bCs/>
          <w:color w:val="0D2B55"/>
          <w:sz w:val="28"/>
          <w:szCs w:val="28"/>
        </w:rPr>
        <w:t>6.1 The Purpose of Constitutional Architecture</w:t>
      </w:r>
    </w:p>
    <w:p w14:paraId="7A555E12" w14:textId="77777777" w:rsidR="009151BA" w:rsidRDefault="004439A8">
      <w:pPr>
        <w:spacing w:before="80" w:after="80"/>
        <w:jc w:val="both"/>
      </w:pPr>
      <w:r>
        <w:rPr>
          <w:color w:val="2C2C3E"/>
        </w:rPr>
        <w:t>The longevity of G.O.D.S depends not on ambition but on constraint. History demonstrates that every institution built on good intentions has failed through the same mechanism: the concentration of authority, the erosion of accountability, and the capture of institutional purpose by individual or factional interest.</w:t>
      </w:r>
    </w:p>
    <w:p w14:paraId="3806C509" w14:textId="77777777" w:rsidR="009151BA" w:rsidRDefault="004439A8">
      <w:pPr>
        <w:spacing w:before="80" w:after="80"/>
        <w:jc w:val="both"/>
      </w:pPr>
      <w:r>
        <w:rPr>
          <w:color w:val="2C2C3E"/>
        </w:rPr>
        <w:t>The Twelve Constitutional Pillars are not marketing statements. They are structural commitments — embedded in the legal architecture, governance protocols, and operational mandates of every division within G.O.D.S. They function as constitutional constraints: provisions that cannot be overridden by executive authority, commercial pressure, or political expediency.</w:t>
      </w:r>
    </w:p>
    <w:p w14:paraId="76C1C4B4" w14:textId="77777777" w:rsidR="009151BA" w:rsidRDefault="004439A8">
      <w:pPr>
        <w:spacing w:before="80" w:after="80"/>
        <w:jc w:val="both"/>
      </w:pPr>
      <w:r>
        <w:rPr>
          <w:color w:val="2C2C3E"/>
        </w:rPr>
        <w:t>Any decision, expansion, acquisition, or operational change within G.O.D.S must be evaluated against all Twelve Pillars before approval. Any action that violates a Pillar is subject to automatic review by the Constitutional Oversight Board — an independent body with authority to reverse, suspend, or escalate any institutional decision.</w:t>
      </w:r>
    </w:p>
    <w:p w14:paraId="02A436D0" w14:textId="77777777" w:rsidR="009151BA" w:rsidRDefault="004439A8">
      <w:pPr>
        <w:spacing w:before="320" w:after="120"/>
      </w:pPr>
      <w:r>
        <w:rPr>
          <w:rFonts w:ascii="Georgia" w:eastAsia="Georgia" w:hAnsi="Georgia" w:cs="Georgia"/>
          <w:b/>
          <w:bCs/>
          <w:color w:val="0D2B55"/>
          <w:sz w:val="28"/>
          <w:szCs w:val="28"/>
        </w:rPr>
        <w:t>PILLAR I: HUMAN DIGNITY AS BASELINE</w:t>
      </w:r>
    </w:p>
    <w:p w14:paraId="70D78221" w14:textId="77777777" w:rsidR="009151BA" w:rsidRDefault="004439A8">
      <w:pPr>
        <w:spacing w:before="80" w:after="80"/>
        <w:jc w:val="both"/>
      </w:pPr>
      <w:r>
        <w:rPr>
          <w:color w:val="2C2C3E"/>
        </w:rPr>
        <w:t>All operations, systems, programs, and commercial activities within G.O.D.S must preserve and actively elevate human dignity. This is not an aspirational statement. It is an operational constraint.</w:t>
      </w:r>
    </w:p>
    <w:p w14:paraId="16A83184" w14:textId="77777777" w:rsidR="009151BA" w:rsidRDefault="004439A8">
      <w:pPr>
        <w:spacing w:before="80" w:after="80"/>
        <w:jc w:val="both"/>
      </w:pPr>
      <w:r>
        <w:rPr>
          <w:color w:val="2C2C3E"/>
        </w:rPr>
        <w:t>Human dignity as baseline means that no division of G.O.D.S may design or operate a system in which basic human needs — nutrition, shelter, healthcare, education, security, and psychological safety — are treated as leverage points, withholding mechanisms, or conditions for participation. Basic needs must empower contribution, not create dependency or coercion.</w:t>
      </w:r>
    </w:p>
    <w:p w14:paraId="4D80535E" w14:textId="77777777" w:rsidR="009151BA" w:rsidRDefault="004439A8">
      <w:pPr>
        <w:spacing w:before="80" w:after="80"/>
        <w:jc w:val="both"/>
      </w:pPr>
      <w:r>
        <w:rPr>
          <w:color w:val="2C2C3E"/>
        </w:rPr>
        <w:t>In operational terms, this means: S.E.T.H.S rehabilitation programs must provide dignified living and working conditions as a structural feature, not a reward. UDOC governance systems must be designed to protect citizen data and sovereignty. M.A.D.I.B.A capital deployment must prioritize sectors that elevate quality of life. The Technological Sector must assess human welfare impact before deploying automation.</w:t>
      </w:r>
    </w:p>
    <w:p w14:paraId="4F0B22C0" w14:textId="77777777" w:rsidR="009151BA" w:rsidRDefault="004439A8">
      <w:pPr>
        <w:spacing w:before="80" w:after="80"/>
        <w:jc w:val="both"/>
      </w:pPr>
      <w:r>
        <w:rPr>
          <w:color w:val="2C2C3E"/>
        </w:rPr>
        <w:t>Failure to meet this standard in any operational context is a constitutional violation requiring immediate review and remediation.</w:t>
      </w:r>
    </w:p>
    <w:p w14:paraId="79410546" w14:textId="77777777" w:rsidR="009151BA" w:rsidRDefault="004439A8">
      <w:pPr>
        <w:spacing w:before="320" w:after="120"/>
      </w:pPr>
      <w:r>
        <w:rPr>
          <w:rFonts w:ascii="Georgia" w:eastAsia="Georgia" w:hAnsi="Georgia" w:cs="Georgia"/>
          <w:b/>
          <w:bCs/>
          <w:color w:val="0D2B55"/>
          <w:sz w:val="28"/>
          <w:szCs w:val="28"/>
        </w:rPr>
        <w:t>PILLAR II: CONTRIBUTION OVER EXTRACTION</w:t>
      </w:r>
    </w:p>
    <w:p w14:paraId="4E74535A" w14:textId="77777777" w:rsidR="009151BA" w:rsidRDefault="004439A8">
      <w:pPr>
        <w:spacing w:before="80" w:after="80"/>
        <w:jc w:val="both"/>
      </w:pPr>
      <w:r>
        <w:rPr>
          <w:color w:val="2C2C3E"/>
        </w:rPr>
        <w:t>G.O.D.S systems reward meaningful contribution to civilization over speculative manipulation. Value creation takes precedence over value extraction. This pillar governs the economic architecture of all divisions.</w:t>
      </w:r>
    </w:p>
    <w:p w14:paraId="5FAE8686" w14:textId="77777777" w:rsidR="009151BA" w:rsidRDefault="004439A8">
      <w:pPr>
        <w:spacing w:before="80" w:after="80"/>
        <w:jc w:val="both"/>
      </w:pPr>
      <w:r>
        <w:rPr>
          <w:color w:val="2C2C3E"/>
        </w:rPr>
        <w:t>In practical terms: the compensation, advancement, and reward structures within G.O.D.S must be designed to provide greater systemic returns to individuals and entities that create measurable value — through productive labor, innovation, governance integrity, or community contribution — than to those who generate returns primarily through financial leverage, rent extraction, or positional advantage.</w:t>
      </w:r>
    </w:p>
    <w:p w14:paraId="456BB2EC" w14:textId="77777777" w:rsidR="009151BA" w:rsidRDefault="004439A8">
      <w:pPr>
        <w:spacing w:before="80" w:after="80"/>
        <w:jc w:val="both"/>
      </w:pPr>
      <w:r>
        <w:rPr>
          <w:color w:val="2C2C3E"/>
        </w:rPr>
        <w:t>This does not mean that financial returns are prohibited or capped. It means that the architecture of reward consistently favors contribution. Investment is permitted and valued. Extraction without corresponding contribution is structurally discouraged and, where it occurs through institutional mechanisms, must be identified and corrected.</w:t>
      </w:r>
    </w:p>
    <w:p w14:paraId="4FBBE552" w14:textId="77777777" w:rsidR="009151BA" w:rsidRDefault="004439A8">
      <w:pPr>
        <w:spacing w:before="80" w:after="80"/>
        <w:jc w:val="both"/>
      </w:pPr>
      <w:r>
        <w:rPr>
          <w:color w:val="2C2C3E"/>
        </w:rPr>
        <w:lastRenderedPageBreak/>
        <w:t>The contribution-over-extraction principle extends to relationships with governments and communities. G.O.D.S does not enter a territory to extract data, labor, or resources without returning infrastructure of commensurate or greater value to that territory.</w:t>
      </w:r>
    </w:p>
    <w:p w14:paraId="76594F9B" w14:textId="77777777" w:rsidR="009151BA" w:rsidRDefault="004439A8">
      <w:pPr>
        <w:spacing w:before="320" w:after="120"/>
      </w:pPr>
      <w:r>
        <w:rPr>
          <w:rFonts w:ascii="Georgia" w:eastAsia="Georgia" w:hAnsi="Georgia" w:cs="Georgia"/>
          <w:b/>
          <w:bCs/>
          <w:color w:val="0D2B55"/>
          <w:sz w:val="28"/>
          <w:szCs w:val="28"/>
        </w:rPr>
        <w:t>PILLAR III: SOVEREIGN RESPECT</w:t>
      </w:r>
    </w:p>
    <w:p w14:paraId="5B4FDED3" w14:textId="77777777" w:rsidR="009151BA" w:rsidRDefault="004439A8">
      <w:pPr>
        <w:spacing w:before="80" w:after="80"/>
        <w:jc w:val="both"/>
      </w:pPr>
      <w:r>
        <w:rPr>
          <w:color w:val="2C2C3E"/>
        </w:rPr>
        <w:t>G.O.D.S operates in partnership with sovereign nations. Alignment is voluntary — never coercive. No division of G.O.D.S may operate within a national jurisdiction in a manner that undermines, circumvents, or competes with legitimate sovereign governance authority.</w:t>
      </w:r>
    </w:p>
    <w:p w14:paraId="222425B0" w14:textId="77777777" w:rsidR="009151BA" w:rsidRDefault="004439A8">
      <w:pPr>
        <w:spacing w:before="80" w:after="80"/>
        <w:jc w:val="both"/>
      </w:pPr>
      <w:r>
        <w:rPr>
          <w:color w:val="2C2C3E"/>
        </w:rPr>
        <w:t>This pillar explicitly prohibits G.O.D.S from engaging in behavior characteristic of corporate sovereignty displacement — the practice by which large corporations, particularly in the technology sector, accumulate governance authority that supersedes national regulatory capacity. G.O.D.S builds infrastructure that strengthens sovereign governance capacity, not displaces it.</w:t>
      </w:r>
    </w:p>
    <w:p w14:paraId="5FC68D07" w14:textId="77777777" w:rsidR="009151BA" w:rsidRDefault="004439A8">
      <w:pPr>
        <w:spacing w:before="80" w:after="80"/>
        <w:jc w:val="both"/>
      </w:pPr>
      <w:r>
        <w:rPr>
          <w:color w:val="2C2C3E"/>
        </w:rPr>
        <w:t>UDOC systems are designed to be deployed under sovereign control with national data custody. M.A.D.I.B.A partnership structures must preserve majority government ownership in SPV structures. S.E.T.H.S contracts must operate within and in support of national labor frameworks, not as parallel systems that bypass national employment regulation.</w:t>
      </w:r>
    </w:p>
    <w:p w14:paraId="5F1D394E" w14:textId="77777777" w:rsidR="009151BA" w:rsidRDefault="004439A8">
      <w:pPr>
        <w:spacing w:before="80" w:after="80"/>
        <w:jc w:val="both"/>
      </w:pPr>
      <w:r>
        <w:rPr>
          <w:color w:val="2C2C3E"/>
        </w:rPr>
        <w:t>G.O.D.S may operate in jurisdictions where it believes governance is suboptimal — but it must do so transparently, contractually, and under sovereign authority. Its role is capacity building, not sovereignty substitution.</w:t>
      </w:r>
    </w:p>
    <w:p w14:paraId="7F2C5786" w14:textId="77777777" w:rsidR="009151BA" w:rsidRDefault="004439A8">
      <w:pPr>
        <w:spacing w:before="320" w:after="120"/>
      </w:pPr>
      <w:r>
        <w:rPr>
          <w:rFonts w:ascii="Georgia" w:eastAsia="Georgia" w:hAnsi="Georgia" w:cs="Georgia"/>
          <w:b/>
          <w:bCs/>
          <w:color w:val="0D2B55"/>
          <w:sz w:val="28"/>
          <w:szCs w:val="28"/>
        </w:rPr>
        <w:t>PILLAR IV: ETHICAL PROFITABILITY</w:t>
      </w:r>
    </w:p>
    <w:p w14:paraId="6326A8FD" w14:textId="77777777" w:rsidR="009151BA" w:rsidRDefault="004439A8">
      <w:pPr>
        <w:spacing w:before="80" w:after="80"/>
        <w:jc w:val="both"/>
      </w:pPr>
      <w:r>
        <w:rPr>
          <w:color w:val="2C2C3E"/>
        </w:rPr>
        <w:t>Profit is required for sustainability. It shall never be pursued through destabilization or engineered scarcity. G.O.D.S requires commercial viability as a structural feature — not to maximize shareholder returns in the conventional sense, but to ensure institutional independence, operational continuity, and the capacity for long-horizon investment.</w:t>
      </w:r>
    </w:p>
    <w:p w14:paraId="5D2DCEBF" w14:textId="77777777" w:rsidR="009151BA" w:rsidRDefault="004439A8">
      <w:pPr>
        <w:spacing w:before="80" w:after="80"/>
        <w:jc w:val="both"/>
      </w:pPr>
      <w:r>
        <w:rPr>
          <w:color w:val="2C2C3E"/>
        </w:rPr>
        <w:t>Ethical profitability means that revenue models must pass a sustainability test: Can this revenue stream be maintained without requiring the degradation of human dignity, the extraction of sovereign resources without commensurate return, the manipulation of information systems, or the concentration of systemic risk in populations unable to absorb it?</w:t>
      </w:r>
    </w:p>
    <w:p w14:paraId="41615140" w14:textId="77777777" w:rsidR="009151BA" w:rsidRDefault="004439A8">
      <w:pPr>
        <w:spacing w:before="80" w:after="80"/>
        <w:jc w:val="both"/>
      </w:pPr>
      <w:r>
        <w:rPr>
          <w:color w:val="2C2C3E"/>
        </w:rPr>
        <w:t>Any revenue stream that fails this test is prohibited regardless of its financial scale. The financial architecture of G.O.D.S must demonstrate, at every planning cycle, that it generates returns without generating systemic harm.</w:t>
      </w:r>
    </w:p>
    <w:p w14:paraId="4D76D240" w14:textId="77777777" w:rsidR="009151BA" w:rsidRDefault="004439A8">
      <w:pPr>
        <w:spacing w:before="320" w:after="120"/>
      </w:pPr>
      <w:r>
        <w:rPr>
          <w:rFonts w:ascii="Georgia" w:eastAsia="Georgia" w:hAnsi="Georgia" w:cs="Georgia"/>
          <w:b/>
          <w:bCs/>
          <w:color w:val="0D2B55"/>
          <w:sz w:val="28"/>
          <w:szCs w:val="28"/>
        </w:rPr>
        <w:t>PILLAR V: GOVERNANCE BEFORE SCALE</w:t>
      </w:r>
    </w:p>
    <w:p w14:paraId="626CBE76" w14:textId="77777777" w:rsidR="009151BA" w:rsidRDefault="004439A8">
      <w:pPr>
        <w:spacing w:before="80" w:after="80"/>
        <w:jc w:val="both"/>
      </w:pPr>
      <w:r>
        <w:rPr>
          <w:color w:val="2C2C3E"/>
        </w:rPr>
        <w:t>No expansion shall occur without governance capacity to manage it responsibly. Structure precedes scale. This is perhaps the most commercially constraining of the Twelve Pillars — and the most important for long-term institutional integrity.</w:t>
      </w:r>
    </w:p>
    <w:p w14:paraId="00D38D36" w14:textId="77777777" w:rsidR="009151BA" w:rsidRDefault="004439A8">
      <w:pPr>
        <w:spacing w:before="80" w:after="80"/>
        <w:jc w:val="both"/>
      </w:pPr>
      <w:r>
        <w:rPr>
          <w:color w:val="2C2C3E"/>
        </w:rPr>
        <w:t>The history of organizational failure is substantially a history of scale without governance. Institutions that expanded faster than their management capacity, their compliance infrastructure, their cultural coherence, or their ethical architecture have consistently failed — often spectacularly, and often in ways that caused significant harm to the populations they served.</w:t>
      </w:r>
    </w:p>
    <w:p w14:paraId="4EDD0A03" w14:textId="77777777" w:rsidR="009151BA" w:rsidRDefault="004439A8">
      <w:pPr>
        <w:spacing w:before="80" w:after="80"/>
        <w:jc w:val="both"/>
      </w:pPr>
      <w:r>
        <w:rPr>
          <w:color w:val="2C2C3E"/>
        </w:rPr>
        <w:t xml:space="preserve">G.O.D.S explicitly limits growth velocity to the capacity of its governance architecture. Before any new market, division, partnership, or acquisition is approved, the Constitutional Oversight Board must confirm </w:t>
      </w:r>
      <w:r>
        <w:rPr>
          <w:color w:val="2C2C3E"/>
        </w:rPr>
        <w:lastRenderedPageBreak/>
        <w:t>that governance, compliance, operational oversight, and ethical architecture are adequate to manage the proposed expansion. If they are not, expansion is deferred until they are.</w:t>
      </w:r>
    </w:p>
    <w:p w14:paraId="10D5F42E" w14:textId="77777777" w:rsidR="009151BA" w:rsidRDefault="004439A8">
      <w:pPr>
        <w:spacing w:before="80" w:after="80"/>
        <w:jc w:val="both"/>
      </w:pPr>
      <w:r>
        <w:rPr>
          <w:color w:val="2C2C3E"/>
        </w:rPr>
        <w:t>This pillar will create commercial friction. It will cause G.O.D.S to miss opportunities that a less constrained competitor would seize. That is acceptable. The compounding value of governance integrity over time is greater than any missed opportunity in any single planning cycle.</w:t>
      </w:r>
    </w:p>
    <w:p w14:paraId="7B05348A" w14:textId="77777777" w:rsidR="009151BA" w:rsidRDefault="004439A8">
      <w:pPr>
        <w:spacing w:before="320" w:after="120"/>
      </w:pPr>
      <w:r>
        <w:rPr>
          <w:rFonts w:ascii="Georgia" w:eastAsia="Georgia" w:hAnsi="Georgia" w:cs="Georgia"/>
          <w:b/>
          <w:bCs/>
          <w:color w:val="0D2B55"/>
          <w:sz w:val="28"/>
          <w:szCs w:val="28"/>
        </w:rPr>
        <w:t>PILLAR VI: TRANSPARENCY &amp; ACCOUNTABILITY</w:t>
      </w:r>
    </w:p>
    <w:p w14:paraId="11BD9C4E" w14:textId="77777777" w:rsidR="009151BA" w:rsidRDefault="004439A8">
      <w:pPr>
        <w:spacing w:before="80" w:after="80"/>
        <w:jc w:val="both"/>
      </w:pPr>
      <w:r>
        <w:rPr>
          <w:color w:val="2C2C3E"/>
        </w:rPr>
        <w:t>Financial operations, governance decisions, and technology systems within G.O.D.S must remain auditable. Opacity breeds instability. Transparency is not merely an ethical commitment — it is a structural resilience mechanism.</w:t>
      </w:r>
    </w:p>
    <w:p w14:paraId="32220DB7" w14:textId="77777777" w:rsidR="009151BA" w:rsidRDefault="004439A8">
      <w:pPr>
        <w:spacing w:before="80" w:after="80"/>
        <w:jc w:val="both"/>
      </w:pPr>
      <w:r>
        <w:rPr>
          <w:color w:val="2C2C3E"/>
        </w:rPr>
        <w:t>In operational terms: G.O.D.S maintains independently audited financial reporting at all levels of the holding structure. UDOC systems are designed with full auditability. S.E.T.H.S outcome data is published through public-facing dashboards accessible to program participants, government partners, and institutional investors. M.A.D.I.B.A capital deployment decisions are subject to independent governance review.</w:t>
      </w:r>
    </w:p>
    <w:p w14:paraId="5F74F3DB" w14:textId="77777777" w:rsidR="009151BA" w:rsidRDefault="004439A8">
      <w:pPr>
        <w:spacing w:before="80" w:after="80"/>
        <w:jc w:val="both"/>
      </w:pPr>
      <w:r>
        <w:rPr>
          <w:color w:val="2C2C3E"/>
        </w:rPr>
        <w:t>Proprietary information and commercial confidentiality are preserved where legally and commercially necessary. However, the governance processes, financial structures, and outcome metrics of all divisions must be accessible to authorized oversight bodies on demand, without delay or obstruction.</w:t>
      </w:r>
    </w:p>
    <w:p w14:paraId="24BBF240" w14:textId="77777777" w:rsidR="009151BA" w:rsidRDefault="004439A8">
      <w:pPr>
        <w:spacing w:before="80" w:after="80"/>
        <w:jc w:val="both"/>
      </w:pPr>
      <w:r>
        <w:rPr>
          <w:color w:val="2C2C3E"/>
        </w:rPr>
        <w:t>The Constitutional Oversight Board has permanent audit rights across all divisions. Interference with an audit is a constitutional violation triggering automatic founder review proceedings.</w:t>
      </w:r>
    </w:p>
    <w:p w14:paraId="594944FC" w14:textId="77777777" w:rsidR="009151BA" w:rsidRDefault="004439A8">
      <w:pPr>
        <w:spacing w:before="320" w:after="120"/>
      </w:pPr>
      <w:r>
        <w:rPr>
          <w:rFonts w:ascii="Georgia" w:eastAsia="Georgia" w:hAnsi="Georgia" w:cs="Georgia"/>
          <w:b/>
          <w:bCs/>
          <w:color w:val="0D2B55"/>
          <w:sz w:val="28"/>
          <w:szCs w:val="28"/>
        </w:rPr>
        <w:t>PILLAR VII: FOUNDER CONSTRAINT</w:t>
      </w:r>
    </w:p>
    <w:p w14:paraId="6AE8592D" w14:textId="77777777" w:rsidR="009151BA" w:rsidRDefault="004439A8">
      <w:pPr>
        <w:spacing w:before="80" w:after="80"/>
        <w:jc w:val="both"/>
      </w:pPr>
      <w:r>
        <w:rPr>
          <w:color w:val="2C2C3E"/>
        </w:rPr>
        <w:t>The Founder's authority is constitutionally limited. No individual shall supersede the institution. This pillar is the structural defense against the most common form of institutional failure: the capture of organizational purpose by its founder's personal interests.</w:t>
      </w:r>
    </w:p>
    <w:p w14:paraId="6EB2072F" w14:textId="77777777" w:rsidR="009151BA" w:rsidRDefault="004439A8">
      <w:pPr>
        <w:spacing w:before="80" w:after="80"/>
        <w:jc w:val="both"/>
      </w:pPr>
      <w:r>
        <w:rPr>
          <w:color w:val="2C2C3E"/>
        </w:rPr>
        <w:t>The Founder of G.O.D.S operates with specific, documented, constitutionally defined authority. That authority is bounded by the Twelve Pillars, by the oversight of the Constitutional Oversight Board, and by explicitly documented removal mechanisms that can be triggered by the Board if the Founder acts in violation of the Constitutional framework.</w:t>
      </w:r>
    </w:p>
    <w:p w14:paraId="3ECA8F62" w14:textId="77777777" w:rsidR="009151BA" w:rsidRDefault="004439A8">
      <w:pPr>
        <w:spacing w:before="80" w:after="80"/>
        <w:jc w:val="both"/>
      </w:pPr>
      <w:r>
        <w:rPr>
          <w:color w:val="2C2C3E"/>
        </w:rPr>
        <w:t>The Founder's equity interest is subject to structured dilution over defined milestones. The Founder may not override institutional decisions validated by the oversight process. The Founder may not prevent legitimate audit activity. The Founder may not enter the institution into transactions that benefit personal interests at the cost of institutional integrity.</w:t>
      </w:r>
    </w:p>
    <w:p w14:paraId="7BEB7F6F" w14:textId="77777777" w:rsidR="009151BA" w:rsidRDefault="004439A8">
      <w:pPr>
        <w:spacing w:before="80" w:after="80"/>
        <w:jc w:val="both"/>
      </w:pPr>
      <w:r>
        <w:rPr>
          <w:color w:val="2C2C3E"/>
        </w:rPr>
        <w:t>These constraints are not a reflection of distrust of the current Founder. They are a structural defense mechanism for every future leader of G.O.D.S. The institution must be able to survive any individual — including the person who built it.</w:t>
      </w:r>
    </w:p>
    <w:p w14:paraId="1484C78D" w14:textId="77777777" w:rsidR="009151BA" w:rsidRDefault="004439A8">
      <w:pPr>
        <w:spacing w:before="320" w:after="120"/>
      </w:pPr>
      <w:r>
        <w:rPr>
          <w:rFonts w:ascii="Georgia" w:eastAsia="Georgia" w:hAnsi="Georgia" w:cs="Georgia"/>
          <w:b/>
          <w:bCs/>
          <w:color w:val="0D2B55"/>
          <w:sz w:val="28"/>
          <w:szCs w:val="28"/>
        </w:rPr>
        <w:t>PILLAR VIII: TECHNOLOGICAL HUMAN PRIMACY</w:t>
      </w:r>
    </w:p>
    <w:p w14:paraId="44E83A5F" w14:textId="77777777" w:rsidR="009151BA" w:rsidRDefault="004439A8">
      <w:pPr>
        <w:spacing w:before="80" w:after="80"/>
        <w:jc w:val="both"/>
      </w:pPr>
      <w:r>
        <w:rPr>
          <w:color w:val="2C2C3E"/>
        </w:rPr>
        <w:t>Technology, including artificial intelligence and automation, must serve human wellbeing first. Autonomous optimization cannot override human oversight. This pillar governs all technology development, acquisition, and deployment within G.O.D.S.</w:t>
      </w:r>
    </w:p>
    <w:p w14:paraId="1C1439A9" w14:textId="77777777" w:rsidR="009151BA" w:rsidRDefault="004439A8">
      <w:pPr>
        <w:spacing w:before="80" w:after="80"/>
        <w:jc w:val="both"/>
      </w:pPr>
      <w:r>
        <w:rPr>
          <w:color w:val="2C2C3E"/>
        </w:rPr>
        <w:t xml:space="preserve">In practical terms: no AI system deployed within G.O.D.S may make final decisions affecting individual human welfare without a defined human review pathway. AI may triage, recommend, assess, and model — </w:t>
      </w:r>
      <w:r>
        <w:rPr>
          <w:color w:val="2C2C3E"/>
        </w:rPr>
        <w:lastRenderedPageBreak/>
        <w:t>it may not determine without oversight. UDOC's AI governance framework embeds this principle in every system architecture specification.</w:t>
      </w:r>
    </w:p>
    <w:p w14:paraId="4EF4D87E" w14:textId="77777777" w:rsidR="009151BA" w:rsidRDefault="004439A8">
      <w:pPr>
        <w:spacing w:before="80" w:after="80"/>
        <w:jc w:val="both"/>
      </w:pPr>
      <w:r>
        <w:rPr>
          <w:color w:val="2C2C3E"/>
        </w:rPr>
        <w:t>The Technological Sector must conduct human welfare impact assessments before deploying automation that displaces existing roles. S.E.T.H.S's behavioral assessment systems must be designed with participant privacy protection and human counselor review requirements. No G.O.D.S division may deploy surveillance, tracking, or predictive behavioral technology without explicit participant consent and independent ethical oversight.</w:t>
      </w:r>
    </w:p>
    <w:p w14:paraId="22223A49" w14:textId="77777777" w:rsidR="009151BA" w:rsidRDefault="004439A8">
      <w:pPr>
        <w:spacing w:before="320" w:after="120"/>
      </w:pPr>
      <w:r>
        <w:rPr>
          <w:rFonts w:ascii="Georgia" w:eastAsia="Georgia" w:hAnsi="Georgia" w:cs="Georgia"/>
          <w:b/>
          <w:bCs/>
          <w:color w:val="0D2B55"/>
          <w:sz w:val="28"/>
          <w:szCs w:val="28"/>
        </w:rPr>
        <w:t>PILLAR IX: REINTEGRATION OVER EXCLUSION</w:t>
      </w:r>
    </w:p>
    <w:p w14:paraId="1622B433" w14:textId="77777777" w:rsidR="009151BA" w:rsidRDefault="004439A8">
      <w:pPr>
        <w:spacing w:before="80" w:after="80"/>
        <w:jc w:val="both"/>
      </w:pPr>
      <w:r>
        <w:rPr>
          <w:color w:val="2C2C3E"/>
        </w:rPr>
        <w:t>Failure does not permanently disqualify participation. Structured pathways for recovery must remain operational. This pillar is the direct institutional expression of the Founder's personal experience and the foundational insight from which G.O.D.S grew.</w:t>
      </w:r>
    </w:p>
    <w:p w14:paraId="4C67CC69" w14:textId="77777777" w:rsidR="009151BA" w:rsidRDefault="004439A8">
      <w:pPr>
        <w:spacing w:before="80" w:after="80"/>
        <w:jc w:val="both"/>
      </w:pPr>
      <w:r>
        <w:rPr>
          <w:color w:val="2C2C3E"/>
        </w:rPr>
        <w:t>The permanent exclusion of individuals who have failed — through addiction, criminal record, financial collapse, behavioral history, or other forms of measurable failure — from economic participation is not only a moral failure. It is an economic inefficiency of enormous scale. Every individual permanently excluded from productive participation represents a net fiscal drain on social systems that could instead be a net contributor.</w:t>
      </w:r>
    </w:p>
    <w:p w14:paraId="4519C7B6" w14:textId="77777777" w:rsidR="009151BA" w:rsidRDefault="004439A8">
      <w:pPr>
        <w:spacing w:before="80" w:after="80"/>
        <w:jc w:val="both"/>
      </w:pPr>
      <w:r>
        <w:rPr>
          <w:color w:val="2C2C3E"/>
        </w:rPr>
        <w:t>G.O.D.S is built on the evidence-based conviction that structured reintegration — properly designed, properly resourced, properly measured — produces better economic outcomes than permanent exclusion. This conviction must be embedded in every division's design and every partnership agreement.</w:t>
      </w:r>
    </w:p>
    <w:p w14:paraId="090F7CB8" w14:textId="77777777" w:rsidR="009151BA" w:rsidRDefault="004439A8">
      <w:pPr>
        <w:spacing w:before="80" w:after="80"/>
        <w:jc w:val="both"/>
      </w:pPr>
      <w:r>
        <w:rPr>
          <w:color w:val="2C2C3E"/>
        </w:rPr>
        <w:t>No G.O.D.S program may categorically exclude participation based on criminal history alone. All exclusion criteria must be risk-based, evidence-based, and subject to regular review. The goal is always the largest functional pipeline of human contribution possible.</w:t>
      </w:r>
    </w:p>
    <w:p w14:paraId="32304C07" w14:textId="77777777" w:rsidR="009151BA" w:rsidRDefault="004439A8">
      <w:pPr>
        <w:spacing w:before="320" w:after="120"/>
      </w:pPr>
      <w:r>
        <w:rPr>
          <w:rFonts w:ascii="Georgia" w:eastAsia="Georgia" w:hAnsi="Georgia" w:cs="Georgia"/>
          <w:b/>
          <w:bCs/>
          <w:color w:val="0D2B55"/>
          <w:sz w:val="28"/>
          <w:szCs w:val="28"/>
        </w:rPr>
        <w:t>PILLAR X: LONG-HORIZON DISCIPLINE</w:t>
      </w:r>
    </w:p>
    <w:p w14:paraId="01E17054" w14:textId="77777777" w:rsidR="009151BA" w:rsidRDefault="004439A8">
      <w:pPr>
        <w:spacing w:before="80" w:after="80"/>
        <w:jc w:val="both"/>
      </w:pPr>
      <w:r>
        <w:rPr>
          <w:color w:val="2C2C3E"/>
        </w:rPr>
        <w:t>Decisions are evaluated for generational impact, not only quarterly gain. Short-term acceleration must not compromise long-term stability. This pillar is structurally encoded in the compensation systems, capital allocation mechanisms, and governance processes of G.O.D.S.</w:t>
      </w:r>
    </w:p>
    <w:p w14:paraId="409EFA71" w14:textId="77777777" w:rsidR="009151BA" w:rsidRDefault="004439A8">
      <w:pPr>
        <w:spacing w:before="80" w:after="80"/>
        <w:jc w:val="both"/>
      </w:pPr>
      <w:r>
        <w:rPr>
          <w:color w:val="2C2C3E"/>
        </w:rPr>
        <w:t>Long-horizon discipline means that G.O.D.S leadership compensation is weighted toward long-term institutional performance metrics rather than short-term revenue targets. Capital allocation decisions are evaluated across 5-year, 25-year, and 100-year planning horizons simultaneously. Partnership agreements are designed with generational continuity clauses.</w:t>
      </w:r>
    </w:p>
    <w:p w14:paraId="2DFA962C" w14:textId="77777777" w:rsidR="009151BA" w:rsidRDefault="004439A8">
      <w:pPr>
        <w:spacing w:before="80" w:after="80"/>
        <w:jc w:val="both"/>
      </w:pPr>
      <w:r>
        <w:rPr>
          <w:color w:val="2C2C3E"/>
        </w:rPr>
        <w:t>When short-term commercial pressures conflict with long-horizon institutional integrity, long-horizon integrity prevails. This will create moments of commercial discomfort. Those moments are the price of building something that lasts.</w:t>
      </w:r>
    </w:p>
    <w:p w14:paraId="015FEDA8" w14:textId="77777777" w:rsidR="009151BA" w:rsidRDefault="004439A8">
      <w:pPr>
        <w:spacing w:before="320" w:after="120"/>
      </w:pPr>
      <w:r>
        <w:rPr>
          <w:rFonts w:ascii="Georgia" w:eastAsia="Georgia" w:hAnsi="Georgia" w:cs="Georgia"/>
          <w:b/>
          <w:bCs/>
          <w:color w:val="0D2B55"/>
          <w:sz w:val="28"/>
          <w:szCs w:val="28"/>
        </w:rPr>
        <w:t>PILLAR XI: ANTI-CORRUPTION ARCHITECTURE</w:t>
      </w:r>
    </w:p>
    <w:p w14:paraId="582CE713" w14:textId="77777777" w:rsidR="009151BA" w:rsidRDefault="004439A8">
      <w:pPr>
        <w:spacing w:before="80" w:after="80"/>
        <w:jc w:val="both"/>
      </w:pPr>
      <w:r>
        <w:rPr>
          <w:color w:val="2C2C3E"/>
        </w:rPr>
        <w:t>Structural safeguards prevent capture by political, financial, or familial interests. Continuity outlasts personal ambition. This pillar is operationalized through a specific suite of institutional mechanisms embedded across all divisions.</w:t>
      </w:r>
    </w:p>
    <w:p w14:paraId="4DA9A1B7" w14:textId="77777777" w:rsidR="009151BA" w:rsidRDefault="004439A8">
      <w:pPr>
        <w:spacing w:before="80" w:after="80"/>
        <w:jc w:val="both"/>
      </w:pPr>
      <w:r>
        <w:rPr>
          <w:color w:val="2C2C3E"/>
        </w:rPr>
        <w:t xml:space="preserve">These mechanisms include: separation of executive authority from capital custody; mandatory external audit of all divisions annually; prohibition of related-party transactions without independent board approval; whistleblower protection architecture with anonymous reporting channels; automatic review </w:t>
      </w:r>
      <w:r>
        <w:rPr>
          <w:color w:val="2C2C3E"/>
        </w:rPr>
        <w:lastRenderedPageBreak/>
        <w:t>triggers for any transaction above defined thresholds involving individuals with personal relationships to executive leadership; IP held in trust structures insulated from corporate governance changes; and mandatory cooling-off periods for executive-level employees entering or exiting roles with commercial conflicts.</w:t>
      </w:r>
    </w:p>
    <w:p w14:paraId="7FADB84D" w14:textId="77777777" w:rsidR="009151BA" w:rsidRDefault="004439A8">
      <w:pPr>
        <w:spacing w:before="80" w:after="80"/>
        <w:jc w:val="both"/>
      </w:pPr>
      <w:r>
        <w:rPr>
          <w:color w:val="2C2C3E"/>
        </w:rPr>
        <w:t>No single individual within G.O.D.S has unilateral authority over both governance and capital. Authority over each is separated by design.</w:t>
      </w:r>
    </w:p>
    <w:p w14:paraId="46846579" w14:textId="77777777" w:rsidR="009151BA" w:rsidRDefault="004439A8">
      <w:pPr>
        <w:spacing w:before="320" w:after="120"/>
      </w:pPr>
      <w:r>
        <w:rPr>
          <w:rFonts w:ascii="Georgia" w:eastAsia="Georgia" w:hAnsi="Georgia" w:cs="Georgia"/>
          <w:b/>
          <w:bCs/>
          <w:color w:val="0D2B55"/>
          <w:sz w:val="28"/>
          <w:szCs w:val="28"/>
        </w:rPr>
        <w:t>PILLAR XII: EVOLUTION THROUGH EVIDENCE</w:t>
      </w:r>
    </w:p>
    <w:p w14:paraId="6035A467" w14:textId="77777777" w:rsidR="009151BA" w:rsidRDefault="004439A8">
      <w:pPr>
        <w:spacing w:before="80" w:after="80"/>
        <w:jc w:val="both"/>
      </w:pPr>
      <w:r>
        <w:rPr>
          <w:color w:val="2C2C3E"/>
        </w:rPr>
        <w:t>G.O.D.S adapts based on measurable outcomes and evidence. Ideology shall not override demonstrable reality. This is the epistemic pillar — the commitment to empirical discipline in the face of institutional inertia and personal belief.</w:t>
      </w:r>
    </w:p>
    <w:p w14:paraId="04F0EE45" w14:textId="77777777" w:rsidR="009151BA" w:rsidRDefault="004439A8">
      <w:pPr>
        <w:spacing w:before="80" w:after="80"/>
        <w:jc w:val="both"/>
      </w:pPr>
      <w:r>
        <w:rPr>
          <w:color w:val="2C2C3E"/>
        </w:rPr>
        <w:t>G.O.D.S maintains formal evidence review cycles for all major programs and divisions. If evidence demonstrates that a program is not producing its intended outcomes, that program is redesigned — regardless of how central it is to the founding vision, how politically sensitive the redesign is, or how much institutional investment has been made.</w:t>
      </w:r>
    </w:p>
    <w:p w14:paraId="29F1814B" w14:textId="77777777" w:rsidR="009151BA" w:rsidRDefault="004439A8">
      <w:pPr>
        <w:spacing w:before="80" w:after="80"/>
        <w:jc w:val="both"/>
      </w:pPr>
      <w:r>
        <w:rPr>
          <w:color w:val="2C2C3E"/>
        </w:rPr>
        <w:t>Evolution through evidence means that the current plan — including this document — is not sacred. The principles are permanent. The methods are subject to revision by demonstrable evidence of better alternatives.</w:t>
      </w:r>
    </w:p>
    <w:p w14:paraId="30F9E4E0" w14:textId="77777777" w:rsidR="009151BA" w:rsidRDefault="004439A8">
      <w:pPr>
        <w:spacing w:before="80" w:after="80"/>
        <w:jc w:val="both"/>
      </w:pPr>
      <w:r>
        <w:rPr>
          <w:color w:val="2C2C3E"/>
        </w:rPr>
        <w:t>G.O.D.S commissions independent external evaluations of program outcomes at defined intervals. These evaluations are published and made accessible to oversight bodies, government partners, and institutional investors. Where evaluations reveal underperformance, G.O.D.S is constitutionally obligated to respond with documented remediation plans within 90 days.</w:t>
      </w:r>
    </w:p>
    <w:p w14:paraId="7DCE3BEA" w14:textId="77777777" w:rsidR="009151BA" w:rsidRDefault="004439A8">
      <w:r>
        <w:br w:type="page"/>
      </w:r>
    </w:p>
    <w:p w14:paraId="6BDD7857"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7: GOVERNANCE STRUCTURE &amp; TRUST FRAMEWORK</w:t>
      </w:r>
    </w:p>
    <w:p w14:paraId="2A5E9705" w14:textId="77777777" w:rsidR="009151BA" w:rsidRDefault="004439A8">
      <w:pPr>
        <w:spacing w:before="320" w:after="120"/>
      </w:pPr>
      <w:r>
        <w:rPr>
          <w:rFonts w:ascii="Georgia" w:eastAsia="Georgia" w:hAnsi="Georgia" w:cs="Georgia"/>
          <w:b/>
          <w:bCs/>
          <w:color w:val="0D2B55"/>
          <w:sz w:val="28"/>
          <w:szCs w:val="28"/>
        </w:rPr>
        <w:t>7.1 The Governance Architecture</w:t>
      </w:r>
    </w:p>
    <w:p w14:paraId="09D46693" w14:textId="77777777" w:rsidR="009151BA" w:rsidRDefault="004439A8">
      <w:pPr>
        <w:spacing w:before="80" w:after="80"/>
        <w:jc w:val="both"/>
      </w:pPr>
      <w:r>
        <w:rPr>
          <w:color w:val="2C2C3E"/>
        </w:rPr>
        <w:t>G.O.D.S operates under a multi-layer governance architecture designed to prevent the institutional failure modes most common in large holding structures: regulatory capture, founder entrenchment, factional conflict, and mission drift.</w:t>
      </w:r>
    </w:p>
    <w:p w14:paraId="346FBB04" w14:textId="77777777" w:rsidR="009151BA" w:rsidRDefault="004439A8">
      <w:pPr>
        <w:spacing w:before="80" w:after="80"/>
        <w:jc w:val="both"/>
      </w:pPr>
      <w:r>
        <w:rPr>
          <w:color w:val="2C2C3E"/>
        </w:rPr>
        <w:t>The governance architecture consists of four primary layers:</w:t>
      </w:r>
    </w:p>
    <w:p w14:paraId="3D666956" w14:textId="77777777" w:rsidR="009151BA" w:rsidRDefault="004439A8">
      <w:pPr>
        <w:spacing w:before="240" w:after="80"/>
      </w:pPr>
      <w:r>
        <w:rPr>
          <w:b/>
          <w:bCs/>
          <w:color w:val="BF9B30"/>
          <w:sz w:val="24"/>
          <w:szCs w:val="24"/>
        </w:rPr>
        <w:t>7.1.1 The Constitutional Oversight Board (COB)</w:t>
      </w:r>
    </w:p>
    <w:p w14:paraId="1CE3DCC4" w14:textId="77777777" w:rsidR="009151BA" w:rsidRDefault="004439A8">
      <w:pPr>
        <w:spacing w:before="80" w:after="80"/>
        <w:jc w:val="both"/>
      </w:pPr>
      <w:r>
        <w:rPr>
          <w:color w:val="2C2C3E"/>
        </w:rPr>
        <w:t>The Constitutional Oversight Board is the supreme governance authority within G.O.D.S. Its mandate is to enforce adherence to the Twelve Constitutional Pillars across all divisions, review executive decisions with constitutional implications, conduct or commission audits, manage founder review proceedings, and approve major capital transactions above defined thresholds.</w:t>
      </w:r>
    </w:p>
    <w:p w14:paraId="6C98FA7B" w14:textId="77777777" w:rsidR="009151BA" w:rsidRDefault="004439A8">
      <w:pPr>
        <w:spacing w:before="80" w:after="80"/>
        <w:jc w:val="both"/>
      </w:pPr>
      <w:r>
        <w:rPr>
          <w:color w:val="2C2C3E"/>
        </w:rPr>
        <w:t>The COB consists of seven independent members selected through a transparent nomination and vetting process. Members must have demonstrated expertise in at least one of the following domains: institutional governance, constitutional law, public finance, behavioral systems, technology ethics, or international development. No member may have financial interests in any G.O.D.S commercial division. Members serve fixed 5-year terms with a maximum of two consecutive terms.</w:t>
      </w:r>
    </w:p>
    <w:p w14:paraId="43CE3220" w14:textId="77777777" w:rsidR="009151BA" w:rsidRDefault="004439A8">
      <w:pPr>
        <w:spacing w:before="80" w:after="80"/>
        <w:jc w:val="both"/>
      </w:pPr>
      <w:r>
        <w:rPr>
          <w:color w:val="2C2C3E"/>
        </w:rPr>
        <w:t>The COB has permanent subpoena authority over G.O.D.S financial records, governance minutes, and operational data. It meets quarterly in open session and may convene emergency sessions with 48 hours notice.</w:t>
      </w:r>
    </w:p>
    <w:p w14:paraId="5865CFC3" w14:textId="77777777" w:rsidR="009151BA" w:rsidRDefault="004439A8">
      <w:pPr>
        <w:spacing w:before="240" w:after="80"/>
      </w:pPr>
      <w:r>
        <w:rPr>
          <w:b/>
          <w:bCs/>
          <w:color w:val="BF9B30"/>
          <w:sz w:val="24"/>
          <w:szCs w:val="24"/>
        </w:rPr>
        <w:t>7.1.2 The Executive Leadership Council (ELC)</w:t>
      </w:r>
    </w:p>
    <w:p w14:paraId="54E05962" w14:textId="77777777" w:rsidR="009151BA" w:rsidRDefault="004439A8">
      <w:pPr>
        <w:spacing w:before="80" w:after="80"/>
        <w:jc w:val="both"/>
      </w:pPr>
      <w:r>
        <w:rPr>
          <w:color w:val="2C2C3E"/>
        </w:rPr>
        <w:t>The Executive Leadership Council is the operational governance body responsible for strategic direction, capital allocation, divisional performance oversight, and external partnership management. It is led by the CEO (who may or may not be the Founder, depending on lifecycle stage) and includes divisional heads for each major operating division.</w:t>
      </w:r>
    </w:p>
    <w:p w14:paraId="3DD1F3DF" w14:textId="77777777" w:rsidR="009151BA" w:rsidRDefault="004439A8">
      <w:pPr>
        <w:spacing w:before="80" w:after="80"/>
        <w:jc w:val="both"/>
      </w:pPr>
      <w:r>
        <w:rPr>
          <w:color w:val="2C2C3E"/>
        </w:rPr>
        <w:t>The ELC operates within the framework established by the Constitutional Oversight Board. It may not override COB decisions. It may appeal COB decisions through a documented process with a 30-day resolution timeline.</w:t>
      </w:r>
    </w:p>
    <w:p w14:paraId="3A8581BC" w14:textId="77777777" w:rsidR="009151BA" w:rsidRDefault="004439A8">
      <w:pPr>
        <w:spacing w:before="240" w:after="80"/>
      </w:pPr>
      <w:r>
        <w:rPr>
          <w:b/>
          <w:bCs/>
          <w:color w:val="BF9B30"/>
          <w:sz w:val="24"/>
          <w:szCs w:val="24"/>
        </w:rPr>
        <w:t>7.1.3 The IP &amp; Capital Trust</w:t>
      </w:r>
    </w:p>
    <w:p w14:paraId="2ECEED54" w14:textId="77777777" w:rsidR="009151BA" w:rsidRDefault="004439A8">
      <w:pPr>
        <w:spacing w:before="80" w:after="80"/>
        <w:jc w:val="both"/>
      </w:pPr>
      <w:r>
        <w:rPr>
          <w:color w:val="2C2C3E"/>
        </w:rPr>
        <w:t>All core intellectual property and capital reserves of G.O.D.S are held in a perpetual trust structure legally separated from the operational corporate entities. This insulates the core assets of G.O.D.S from hostile takeover, bankruptcy proceedings, political seizure, or founder personal liability. The trust is governed by independent trustees with fiduciary obligations to the constitutional mission.</w:t>
      </w:r>
    </w:p>
    <w:p w14:paraId="537375CC" w14:textId="77777777" w:rsidR="009151BA" w:rsidRDefault="004439A8">
      <w:pPr>
        <w:spacing w:before="240" w:after="80"/>
      </w:pPr>
      <w:r>
        <w:rPr>
          <w:b/>
          <w:bCs/>
          <w:color w:val="BF9B30"/>
          <w:sz w:val="24"/>
          <w:szCs w:val="24"/>
        </w:rPr>
        <w:t>7.1.4 Divisional Governance Committees</w:t>
      </w:r>
    </w:p>
    <w:p w14:paraId="0F7AFB7D" w14:textId="77777777" w:rsidR="009151BA" w:rsidRDefault="004439A8">
      <w:pPr>
        <w:spacing w:before="80" w:after="80"/>
        <w:jc w:val="both"/>
      </w:pPr>
      <w:r>
        <w:rPr>
          <w:color w:val="2C2C3E"/>
        </w:rPr>
        <w:t>Each major division — S.E.T.H.S, M.A.D.I.B.A, UDOC, and the Technological Sector — maintains its own governance committee with independent members, external advisors, and documented reporting requirements. Divisional committees report to both the ELC and the COB and may escalate directly to the COB without ELC approval.</w:t>
      </w:r>
    </w:p>
    <w:p w14:paraId="7C0E9EDB" w14:textId="77777777" w:rsidR="009151BA" w:rsidRDefault="004439A8">
      <w:pPr>
        <w:spacing w:before="320" w:after="120"/>
      </w:pPr>
      <w:r>
        <w:rPr>
          <w:rFonts w:ascii="Georgia" w:eastAsia="Georgia" w:hAnsi="Georgia" w:cs="Georgia"/>
          <w:b/>
          <w:bCs/>
          <w:color w:val="0D2B55"/>
          <w:sz w:val="28"/>
          <w:szCs w:val="28"/>
        </w:rPr>
        <w:lastRenderedPageBreak/>
        <w:t>7.2 The Trust Framework</w:t>
      </w:r>
    </w:p>
    <w:p w14:paraId="57F13D74" w14:textId="77777777" w:rsidR="009151BA" w:rsidRDefault="004439A8">
      <w:pPr>
        <w:spacing w:before="80" w:after="80"/>
        <w:jc w:val="both"/>
      </w:pPr>
      <w:r>
        <w:rPr>
          <w:color w:val="2C2C3E"/>
        </w:rPr>
        <w:t>Trust is the scarcest institutional asset in the modern operational environment. G.O.D.S is built on the insight that trust — demonstrated through consistent, auditable performance over time — is more durable and more strategically valuable than any commercial advantage.</w:t>
      </w:r>
    </w:p>
    <w:p w14:paraId="5CCF7BC2" w14:textId="77777777" w:rsidR="009151BA" w:rsidRDefault="004439A8">
      <w:pPr>
        <w:spacing w:before="80" w:after="80"/>
        <w:jc w:val="both"/>
      </w:pPr>
      <w:r>
        <w:rPr>
          <w:color w:val="2C2C3E"/>
        </w:rPr>
        <w:t>The trust framework of G.O.D.S operates on three principles: transparency over opacity (all significant decisions are documented and available for review); consistency over convenience (standards are maintained even when inconvenient); and accountability over protection (when failures occur, they are acknowledged, investigated, and remediated publicly rather than managed quietly).</w:t>
      </w:r>
    </w:p>
    <w:p w14:paraId="1ECB9B8B" w14:textId="77777777" w:rsidR="009151BA" w:rsidRDefault="004439A8">
      <w:pPr>
        <w:spacing w:before="80" w:after="80"/>
        <w:jc w:val="both"/>
      </w:pPr>
      <w:r>
        <w:rPr>
          <w:color w:val="2C2C3E"/>
        </w:rPr>
        <w:t>This framework requires cultural commitment as much as structural enforcement. G.O.D.S invests systematically in building institutional culture — through leadership selection, onboarding processes, performance evaluation criteria, and the visible behavior of senior leadership — that treats transparency and accountability as operational assets rather than liabilities.</w:t>
      </w:r>
    </w:p>
    <w:p w14:paraId="041AE3B7" w14:textId="77777777" w:rsidR="009151BA" w:rsidRDefault="004439A8">
      <w:r>
        <w:br w:type="page"/>
      </w:r>
    </w:p>
    <w:p w14:paraId="169E8A25"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8: FOUNDER STEWARDSHIP &amp; REMOVAL MECHANISM</w:t>
      </w:r>
    </w:p>
    <w:p w14:paraId="5B267CCA" w14:textId="77777777" w:rsidR="009151BA" w:rsidRDefault="004439A8">
      <w:pPr>
        <w:spacing w:before="320" w:after="120"/>
      </w:pPr>
      <w:r>
        <w:rPr>
          <w:rFonts w:ascii="Georgia" w:eastAsia="Georgia" w:hAnsi="Georgia" w:cs="Georgia"/>
          <w:b/>
          <w:bCs/>
          <w:color w:val="0D2B55"/>
          <w:sz w:val="28"/>
          <w:szCs w:val="28"/>
        </w:rPr>
        <w:t>8.1 The Role of the Founder</w:t>
      </w:r>
    </w:p>
    <w:p w14:paraId="6E8E38EE" w14:textId="77777777" w:rsidR="009151BA" w:rsidRDefault="004439A8">
      <w:pPr>
        <w:spacing w:before="80" w:after="80"/>
        <w:jc w:val="both"/>
      </w:pPr>
      <w:r>
        <w:rPr>
          <w:color w:val="2C2C3E"/>
        </w:rPr>
        <w:t>The Founder of G.O.D.S is the architectural authority — the individual responsible for the initial design of the institutional framework, the identification of the mission, the establishment of constitutional principles, and the cultural foundation of the enterprise. This role is distinct from the executive management function, which is operational rather than architectural.</w:t>
      </w:r>
    </w:p>
    <w:p w14:paraId="612B03B6" w14:textId="77777777" w:rsidR="009151BA" w:rsidRDefault="004439A8">
      <w:pPr>
        <w:spacing w:before="80" w:after="80"/>
        <w:jc w:val="both"/>
      </w:pPr>
      <w:r>
        <w:rPr>
          <w:color w:val="2C2C3E"/>
        </w:rPr>
        <w:t>During the startup phase (Years 0-5), the Founder serves as both Chief Executive and Architect. During the institutional phase (Years 5-25), the Founder transitions from operational authority to constitutional stewardship. After the 25-year milestone, the Founder's role is advisory and historical — a reference point for constitutional interpretation but not a governance authority.</w:t>
      </w:r>
    </w:p>
    <w:p w14:paraId="4A3A43B2" w14:textId="77777777" w:rsidR="009151BA" w:rsidRDefault="004439A8">
      <w:pPr>
        <w:spacing w:before="320" w:after="120"/>
      </w:pPr>
      <w:r>
        <w:rPr>
          <w:rFonts w:ascii="Georgia" w:eastAsia="Georgia" w:hAnsi="Georgia" w:cs="Georgia"/>
          <w:b/>
          <w:bCs/>
          <w:color w:val="0D2B55"/>
          <w:sz w:val="28"/>
          <w:szCs w:val="28"/>
        </w:rPr>
        <w:t>8.2 Equity Dilution Schedule</w:t>
      </w:r>
    </w:p>
    <w:p w14:paraId="3843D0B1" w14:textId="77777777" w:rsidR="009151BA" w:rsidRDefault="004439A8">
      <w:pPr>
        <w:spacing w:before="80" w:after="80"/>
        <w:jc w:val="both"/>
      </w:pPr>
      <w:r>
        <w:rPr>
          <w:color w:val="2C2C3E"/>
        </w:rPr>
        <w:t>The Founder's equity stake in G.O.D.S commercial entities follows a documented dilution schedule:</w:t>
      </w:r>
    </w:p>
    <w:p w14:paraId="1CA9E5A7" w14:textId="77777777" w:rsidR="009151BA" w:rsidRDefault="004439A8">
      <w:pPr>
        <w:pStyle w:val="ListParagraph"/>
        <w:numPr>
          <w:ilvl w:val="0"/>
          <w:numId w:val="2"/>
        </w:numPr>
        <w:spacing w:before="60" w:after="60"/>
      </w:pPr>
      <w:r>
        <w:rPr>
          <w:color w:val="2C2C3E"/>
        </w:rPr>
        <w:t>At inception: 100% of founding equity, prior to external capital.</w:t>
      </w:r>
    </w:p>
    <w:p w14:paraId="3CDBF8DB" w14:textId="77777777" w:rsidR="009151BA" w:rsidRDefault="004439A8">
      <w:pPr>
        <w:pStyle w:val="ListParagraph"/>
        <w:numPr>
          <w:ilvl w:val="0"/>
          <w:numId w:val="2"/>
        </w:numPr>
        <w:spacing w:before="60" w:after="60"/>
      </w:pPr>
      <w:r>
        <w:rPr>
          <w:color w:val="2C2C3E"/>
        </w:rPr>
        <w:t>After Series A capital: Not less than 51% voting authority on strategic matters.</w:t>
      </w:r>
    </w:p>
    <w:p w14:paraId="5DE6C472" w14:textId="77777777" w:rsidR="009151BA" w:rsidRDefault="004439A8">
      <w:pPr>
        <w:pStyle w:val="ListParagraph"/>
        <w:numPr>
          <w:ilvl w:val="0"/>
          <w:numId w:val="2"/>
        </w:numPr>
        <w:spacing w:before="60" w:after="60"/>
      </w:pPr>
      <w:r>
        <w:rPr>
          <w:color w:val="2C2C3E"/>
        </w:rPr>
        <w:t>At 5-year milestone: Structured dilution to a long-term ownership band of 20–35%, with voting rights preserved on constitutional matters only.</w:t>
      </w:r>
    </w:p>
    <w:p w14:paraId="790B2FEA" w14:textId="77777777" w:rsidR="009151BA" w:rsidRDefault="004439A8">
      <w:pPr>
        <w:pStyle w:val="ListParagraph"/>
        <w:numPr>
          <w:ilvl w:val="0"/>
          <w:numId w:val="2"/>
        </w:numPr>
        <w:spacing w:before="60" w:after="60"/>
      </w:pPr>
      <w:r>
        <w:rPr>
          <w:color w:val="2C2C3E"/>
        </w:rPr>
        <w:t>At 25-year milestone: Equity transferred in full to the IP &amp; Capital Trust for perpetual institutional custody.</w:t>
      </w:r>
    </w:p>
    <w:p w14:paraId="3D3A106E" w14:textId="77777777" w:rsidR="009151BA" w:rsidRDefault="004439A8">
      <w:pPr>
        <w:spacing w:before="80" w:after="80"/>
        <w:jc w:val="both"/>
      </w:pPr>
      <w:r>
        <w:rPr>
          <w:color w:val="2C2C3E"/>
        </w:rPr>
        <w:t>This schedule ensures that the Founder maintains meaningful alignment with institutional performance during the startup and growth phases while preventing permanent founder entrenchment that could compromise institutional governance at scale.</w:t>
      </w:r>
    </w:p>
    <w:p w14:paraId="77951F81" w14:textId="77777777" w:rsidR="009151BA" w:rsidRDefault="004439A8">
      <w:pPr>
        <w:spacing w:before="320" w:after="120"/>
      </w:pPr>
      <w:r>
        <w:rPr>
          <w:rFonts w:ascii="Georgia" w:eastAsia="Georgia" w:hAnsi="Georgia" w:cs="Georgia"/>
          <w:b/>
          <w:bCs/>
          <w:color w:val="0D2B55"/>
          <w:sz w:val="28"/>
          <w:szCs w:val="28"/>
        </w:rPr>
        <w:t>8.3 Removal Mechanism</w:t>
      </w:r>
    </w:p>
    <w:p w14:paraId="2EE68602" w14:textId="77777777" w:rsidR="009151BA" w:rsidRDefault="004439A8">
      <w:pPr>
        <w:spacing w:before="80" w:after="80"/>
        <w:jc w:val="both"/>
      </w:pPr>
      <w:r>
        <w:rPr>
          <w:color w:val="2C2C3E"/>
        </w:rPr>
        <w:t>The Constitutional Oversight Board may initiate Founder review proceedings upon evidence of: Constitutional Pillar violation; financial misconduct; dishonest representation to institutional partners, investors, or government bodies; willful interference with audit processes; or any action demonstrably inconsistent with the mission and constitutional commitments of G.O.D.S.</w:t>
      </w:r>
    </w:p>
    <w:p w14:paraId="5CAFD52A" w14:textId="77777777" w:rsidR="009151BA" w:rsidRDefault="004439A8">
      <w:pPr>
        <w:spacing w:before="80" w:after="80"/>
        <w:jc w:val="both"/>
      </w:pPr>
      <w:r>
        <w:rPr>
          <w:color w:val="2C2C3E"/>
        </w:rPr>
        <w:t>Review proceedings are initiated by a two-thirds majority vote of the COB. The Founder has 30 days to respond with documentation. An independent panel of three external adjudicators (legal, governance, and mission domain experts) reviews the case and renders a decision within 60 days. If the decision is removal, the Founder is transitioned from executive authority to advisory status, with documented IP and equity provisions honoring prior contributions while removing operational control.</w:t>
      </w:r>
    </w:p>
    <w:p w14:paraId="60918F50" w14:textId="77777777" w:rsidR="009151BA" w:rsidRDefault="004439A8">
      <w:pPr>
        <w:spacing w:before="80" w:after="80"/>
        <w:jc w:val="both"/>
      </w:pPr>
      <w:r>
        <w:rPr>
          <w:color w:val="2C2C3E"/>
        </w:rPr>
        <w:t>The removal mechanism is not punitive in design. It is structural protection for the institution. A founder who acts consistently within the constitutional framework will never face this mechanism. A founder who does not would, without this mechanism, compromise the entire institutional enterprise.</w:t>
      </w:r>
    </w:p>
    <w:p w14:paraId="4B33CED9" w14:textId="77777777" w:rsidR="009151BA" w:rsidRDefault="004439A8">
      <w:r>
        <w:br w:type="page"/>
      </w:r>
    </w:p>
    <w:p w14:paraId="1D932C0F"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9: SOVEREIGNTY &amp; VOLUNTARY ALIGNMENT DOCTRINE</w:t>
      </w:r>
    </w:p>
    <w:p w14:paraId="320DEB08" w14:textId="77777777" w:rsidR="009151BA" w:rsidRDefault="004439A8">
      <w:pPr>
        <w:spacing w:before="320" w:after="120"/>
      </w:pPr>
      <w:r>
        <w:rPr>
          <w:rFonts w:ascii="Georgia" w:eastAsia="Georgia" w:hAnsi="Georgia" w:cs="Georgia"/>
          <w:b/>
          <w:bCs/>
          <w:color w:val="0D2B55"/>
          <w:sz w:val="28"/>
          <w:szCs w:val="28"/>
        </w:rPr>
        <w:t>9.1 The Sovereignty Principle</w:t>
      </w:r>
    </w:p>
    <w:p w14:paraId="5AFE527E" w14:textId="77777777" w:rsidR="009151BA" w:rsidRDefault="004439A8">
      <w:pPr>
        <w:spacing w:before="80" w:after="80"/>
        <w:jc w:val="both"/>
      </w:pPr>
      <w:r>
        <w:rPr>
          <w:color w:val="2C2C3E"/>
        </w:rPr>
        <w:t>G.O.D.S does not seek to displace, undermine, or circumvent the authority of sovereign nations. This is not merely a political statement — it is a commercial and institutional necessity. An infrastructure company that operates in conflict with sovereign governance creates the precise instability that G.O.D.S is designed to reduce.</w:t>
      </w:r>
    </w:p>
    <w:p w14:paraId="69AF9BA4" w14:textId="77777777" w:rsidR="009151BA" w:rsidRDefault="004439A8">
      <w:pPr>
        <w:spacing w:before="80" w:after="80"/>
        <w:jc w:val="both"/>
      </w:pPr>
      <w:r>
        <w:rPr>
          <w:color w:val="2C2C3E"/>
        </w:rPr>
        <w:t>The voluntary alignment doctrine holds that G.O.D.S systems must be structured so that nations, communities, and individuals choose to participate because the value delivered clearly exceeds the cost of participation — not because participation is mandated, leveraged, or coerced. This is both an ethical commitment and a commercial strategy: voluntary adoption at scale is more durable, more economically valuable, and more institutionally defensible than any form of compelled participation.</w:t>
      </w:r>
    </w:p>
    <w:p w14:paraId="10F2C3B0" w14:textId="77777777" w:rsidR="009151BA" w:rsidRDefault="004439A8">
      <w:pPr>
        <w:spacing w:before="320" w:after="120"/>
      </w:pPr>
      <w:r>
        <w:rPr>
          <w:rFonts w:ascii="Georgia" w:eastAsia="Georgia" w:hAnsi="Georgia" w:cs="Georgia"/>
          <w:b/>
          <w:bCs/>
          <w:color w:val="0D2B55"/>
          <w:sz w:val="28"/>
          <w:szCs w:val="28"/>
        </w:rPr>
        <w:t>9.2 The G.O.D.S Sovereignty Architecture</w:t>
      </w:r>
    </w:p>
    <w:p w14:paraId="4C49F9FF" w14:textId="77777777" w:rsidR="009151BA" w:rsidRDefault="004439A8">
      <w:pPr>
        <w:spacing w:before="80" w:after="80"/>
        <w:jc w:val="both"/>
      </w:pPr>
      <w:r>
        <w:rPr>
          <w:color w:val="2C2C3E"/>
        </w:rPr>
        <w:t>In practice, the voluntary alignment doctrine is implemented through specific structural provisions in all government and institutional partnership agreements. These include: national data sovereignty clauses that ensure all citizen data collected within national borders remains under sovereign custody; majority government ownership provisions in all SPV structures; independent audit rights for all government partners; defined exit provisions that ensure governments can transition away from G.O.D.S systems without operational disruption; and constitutional compliance certificates confirming that all G.O.D.S systems deployed within a national context have been reviewed for alignment with that nation's constitutional framework.</w:t>
      </w:r>
    </w:p>
    <w:p w14:paraId="4D089B48" w14:textId="77777777" w:rsidR="009151BA" w:rsidRDefault="004439A8">
      <w:pPr>
        <w:spacing w:before="80" w:after="80"/>
        <w:jc w:val="both"/>
      </w:pPr>
      <w:r>
        <w:rPr>
          <w:color w:val="2C2C3E"/>
        </w:rPr>
        <w:t>G.O.D.S does not offer governments a system and then lock them in. It offers governments a system and builds the structural capacity for them to operate it independently over time. The long-term model is one in which G.O.D.S transitions from operator to standards body — setting the architectural frameworks that governments and institutions build upon themselves.</w:t>
      </w:r>
    </w:p>
    <w:p w14:paraId="5E39E55B" w14:textId="77777777" w:rsidR="009151BA" w:rsidRDefault="004439A8">
      <w:r>
        <w:br w:type="page"/>
      </w:r>
    </w:p>
    <w:p w14:paraId="6E20C9D8"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10: AI ALIGNMENT &amp; HUMAN PRIMACY CLAUSE</w:t>
      </w:r>
    </w:p>
    <w:p w14:paraId="7AEC51FC" w14:textId="77777777" w:rsidR="009151BA" w:rsidRDefault="004439A8">
      <w:pPr>
        <w:spacing w:before="320" w:after="120"/>
      </w:pPr>
      <w:r>
        <w:rPr>
          <w:rFonts w:ascii="Georgia" w:eastAsia="Georgia" w:hAnsi="Georgia" w:cs="Georgia"/>
          <w:b/>
          <w:bCs/>
          <w:color w:val="0D2B55"/>
          <w:sz w:val="28"/>
          <w:szCs w:val="28"/>
        </w:rPr>
        <w:t>10.1 The AI Challenge</w:t>
      </w:r>
    </w:p>
    <w:p w14:paraId="57122DC0" w14:textId="77777777" w:rsidR="009151BA" w:rsidRDefault="004439A8">
      <w:pPr>
        <w:spacing w:before="80" w:after="80"/>
        <w:jc w:val="both"/>
      </w:pPr>
      <w:r>
        <w:rPr>
          <w:color w:val="2C2C3E"/>
        </w:rPr>
        <w:t>Artificial intelligence represents the most significant governance challenge of the next 50 years. Its capacity for autonomous optimization — its ability to pursue defined objectives with superhuman efficiency — creates structural risk when those objectives are imprecisely defined, when the systems are deployed without adequate human oversight, or when the entities controlling AI infrastructure operate without accountability to the populations affected by its deployment.</w:t>
      </w:r>
    </w:p>
    <w:p w14:paraId="6F720CAB" w14:textId="77777777" w:rsidR="009151BA" w:rsidRDefault="004439A8">
      <w:pPr>
        <w:spacing w:before="80" w:after="80"/>
        <w:jc w:val="both"/>
      </w:pPr>
      <w:r>
        <w:rPr>
          <w:color w:val="2C2C3E"/>
        </w:rPr>
        <w:t>G.O.D.S operates at the intersection of AI deployment and human welfare. UDOC is an AI governance infrastructure company. S.E.T.H.S uses AI-assisted behavioral assessment. The Technological Sector deploys AI in production optimization. M.A.D.I.B.A uses AI in capital deployment modeling. The responsible use of AI is therefore not an optional ethical consideration for G.O.D.S — it is a core operational requirement.</w:t>
      </w:r>
    </w:p>
    <w:p w14:paraId="055CE7DF" w14:textId="77777777" w:rsidR="009151BA" w:rsidRDefault="004439A8">
      <w:pPr>
        <w:spacing w:before="320" w:after="120"/>
      </w:pPr>
      <w:r>
        <w:rPr>
          <w:rFonts w:ascii="Georgia" w:eastAsia="Georgia" w:hAnsi="Georgia" w:cs="Georgia"/>
          <w:b/>
          <w:bCs/>
          <w:color w:val="0D2B55"/>
          <w:sz w:val="28"/>
          <w:szCs w:val="28"/>
        </w:rPr>
        <w:t>10.2 The Human Primacy Clause</w:t>
      </w:r>
    </w:p>
    <w:p w14:paraId="58381147" w14:textId="77777777" w:rsidR="009151BA" w:rsidRDefault="004439A8">
      <w:pPr>
        <w:spacing w:before="80" w:after="80"/>
        <w:jc w:val="both"/>
      </w:pPr>
      <w:r>
        <w:rPr>
          <w:color w:val="2C2C3E"/>
        </w:rPr>
        <w:t>The Human Primacy Clause holds that all AI systems deployed within or by G.O.D.S must: (1) have a defined human review pathway for all decisions affecting individual welfare; (2) be subject to independent ethical audit at minimum annually; (3) maintain transparency about their decision logic sufficient to allow meaningful human oversight; (4) incorporate bias monitoring systems with automatic flagging for review; and (5) be designed with termination or override capacity accessible without technical expertise to senior institutional decision-makers.</w:t>
      </w:r>
    </w:p>
    <w:p w14:paraId="79FBC4A1" w14:textId="77777777" w:rsidR="009151BA" w:rsidRDefault="004439A8">
      <w:pPr>
        <w:spacing w:before="80" w:after="80"/>
        <w:jc w:val="both"/>
      </w:pPr>
      <w:r>
        <w:rPr>
          <w:color w:val="2C2C3E"/>
        </w:rPr>
        <w:t>No G.O.D.S AI system may be designed with self-modification capability that allows it to alter its own objective functions without explicit human authorization. No G.O.D.S AI system may be networked in a manner that allows it to coordinate with other systems to achieve objectives outside its defined mandate. No G.O.D.S AI system may be deployed in any context where its outputs are treated as final and unappealable.</w:t>
      </w:r>
    </w:p>
    <w:p w14:paraId="4AB34DA6" w14:textId="77777777" w:rsidR="009151BA" w:rsidRDefault="004439A8">
      <w:pPr>
        <w:spacing w:before="80" w:after="80"/>
        <w:jc w:val="both"/>
      </w:pPr>
      <w:r>
        <w:rPr>
          <w:color w:val="2C2C3E"/>
        </w:rPr>
        <w:t>These constraints are not competitive disadvantages. They are the institutional requirements for deploying AI in regulated environments, government partnerships, and public welfare contexts — the exact markets that G.O.D.S serves. They represent the governance infrastructure that responsible AI deployment requires.</w:t>
      </w:r>
    </w:p>
    <w:p w14:paraId="5BB6A834" w14:textId="77777777" w:rsidR="009151BA" w:rsidRDefault="004439A8">
      <w:r>
        <w:br w:type="page"/>
      </w:r>
    </w:p>
    <w:p w14:paraId="095FB700" w14:textId="77777777" w:rsidR="009151BA" w:rsidRDefault="009151BA">
      <w:pPr>
        <w:spacing w:before="720"/>
      </w:pPr>
    </w:p>
    <w:p w14:paraId="37FC21E3" w14:textId="77777777" w:rsidR="009151BA" w:rsidRDefault="009151BA">
      <w:pPr>
        <w:pBdr>
          <w:bottom w:val="single" w:sz="6" w:space="1" w:color="C9A84C"/>
        </w:pBdr>
        <w:spacing w:before="240" w:after="240"/>
      </w:pPr>
    </w:p>
    <w:p w14:paraId="5EACE5B8" w14:textId="77777777" w:rsidR="009151BA" w:rsidRDefault="004439A8">
      <w:pPr>
        <w:spacing w:before="960" w:after="120"/>
        <w:jc w:val="center"/>
      </w:pPr>
      <w:r>
        <w:rPr>
          <w:rFonts w:ascii="Georgia" w:eastAsia="Georgia" w:hAnsi="Georgia" w:cs="Georgia"/>
          <w:b/>
          <w:bCs/>
          <w:color w:val="BF9B30"/>
          <w:sz w:val="64"/>
          <w:szCs w:val="64"/>
        </w:rPr>
        <w:t>VOLUME II</w:t>
      </w:r>
    </w:p>
    <w:p w14:paraId="29F59F08" w14:textId="77777777" w:rsidR="009151BA" w:rsidRDefault="004439A8">
      <w:pPr>
        <w:spacing w:before="120" w:after="480"/>
        <w:jc w:val="center"/>
      </w:pPr>
      <w:r>
        <w:rPr>
          <w:b/>
          <w:bCs/>
          <w:color w:val="0D2B55"/>
          <w:sz w:val="28"/>
          <w:szCs w:val="28"/>
        </w:rPr>
        <w:t>THE OPERATING ARCHITECTURE</w:t>
      </w:r>
    </w:p>
    <w:p w14:paraId="4EE2D1EB" w14:textId="77777777" w:rsidR="009151BA" w:rsidRDefault="004439A8">
      <w:r>
        <w:br w:type="page"/>
      </w:r>
    </w:p>
    <w:p w14:paraId="6E9C004E" w14:textId="77777777" w:rsidR="009151BA" w:rsidRDefault="009151BA">
      <w:pPr>
        <w:pBdr>
          <w:bottom w:val="single" w:sz="6" w:space="1" w:color="C9A84C"/>
        </w:pBdr>
        <w:spacing w:before="240" w:after="240"/>
      </w:pPr>
    </w:p>
    <w:p w14:paraId="71C4ABAA" w14:textId="77777777" w:rsidR="009151BA" w:rsidRDefault="004439A8">
      <w:pPr>
        <w:shd w:val="clear" w:color="auto" w:fill="0D2B55"/>
        <w:spacing w:before="720" w:after="240"/>
        <w:jc w:val="center"/>
      </w:pPr>
      <w:r>
        <w:rPr>
          <w:rFonts w:ascii="Georgia" w:eastAsia="Georgia" w:hAnsi="Georgia" w:cs="Georgia"/>
          <w:b/>
          <w:bCs/>
          <w:color w:val="FFFFFF"/>
          <w:sz w:val="40"/>
          <w:szCs w:val="40"/>
        </w:rPr>
        <w:t>PART III — THE OPERATING ARCHITECTURE</w:t>
      </w:r>
    </w:p>
    <w:p w14:paraId="20FA985D" w14:textId="77777777" w:rsidR="009151BA" w:rsidRDefault="004439A8">
      <w:r>
        <w:br w:type="page"/>
      </w:r>
    </w:p>
    <w:p w14:paraId="48B3E826"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11: G.O.D.S AS A CIVILIZATION INFRASTRUCTURE COMPANY</w:t>
      </w:r>
    </w:p>
    <w:p w14:paraId="38DDD4C5" w14:textId="77777777" w:rsidR="009151BA" w:rsidRDefault="004439A8">
      <w:pPr>
        <w:spacing w:before="320" w:after="120"/>
      </w:pPr>
      <w:r>
        <w:rPr>
          <w:rFonts w:ascii="Georgia" w:eastAsia="Georgia" w:hAnsi="Georgia" w:cs="Georgia"/>
          <w:b/>
          <w:bCs/>
          <w:color w:val="0D2B55"/>
          <w:sz w:val="28"/>
          <w:szCs w:val="28"/>
        </w:rPr>
        <w:t>11.1 What Civilization Infrastructure Means</w:t>
      </w:r>
    </w:p>
    <w:p w14:paraId="313850AD" w14:textId="77777777" w:rsidR="009151BA" w:rsidRDefault="004439A8">
      <w:pPr>
        <w:spacing w:before="80" w:after="80"/>
        <w:jc w:val="both"/>
      </w:pPr>
      <w:r>
        <w:rPr>
          <w:color w:val="2C2C3E"/>
        </w:rPr>
        <w:t>G.O.D.S is not a tech startup. It is not a social enterprise. It is not a government agency. It is a civilization infrastructure company — a category of institutional entity that, historically, has been responsible for the most durable and significant advances in human quality of life.</w:t>
      </w:r>
    </w:p>
    <w:p w14:paraId="587BBEC9" w14:textId="77777777" w:rsidR="009151BA" w:rsidRDefault="004439A8">
      <w:pPr>
        <w:spacing w:before="80" w:after="80"/>
        <w:jc w:val="both"/>
      </w:pPr>
      <w:r>
        <w:rPr>
          <w:color w:val="2C2C3E"/>
        </w:rPr>
        <w:t>Civilization infrastructure companies are those whose primary output is the systems, frameworks, and enabling architecture that allows other actors — individuals, businesses, governments — to operate more effectively, more ethically, and more sustainably. They are, by definition, below the headline economy. They are the foundation on which the visible economy operates.</w:t>
      </w:r>
    </w:p>
    <w:p w14:paraId="1E52F8DE" w14:textId="77777777" w:rsidR="009151BA" w:rsidRDefault="004439A8">
      <w:pPr>
        <w:spacing w:before="80" w:after="80"/>
        <w:jc w:val="both"/>
      </w:pPr>
      <w:r>
        <w:rPr>
          <w:color w:val="2C2C3E"/>
        </w:rPr>
        <w:t>Historical examples include the institutions that built and maintained the global telecommunications infrastructure, the financial clearing and settlement systems, the port and logistics networks, and the standards bodies that enabled global trade. None of these were glamorous. All were foundational. All generated extraordinary long-term returns precisely because their value was embedded at the base layer of economic activity.</w:t>
      </w:r>
    </w:p>
    <w:p w14:paraId="702219F0" w14:textId="77777777" w:rsidR="009151BA" w:rsidRDefault="004439A8">
      <w:pPr>
        <w:spacing w:before="320" w:after="120"/>
      </w:pPr>
      <w:r>
        <w:rPr>
          <w:rFonts w:ascii="Georgia" w:eastAsia="Georgia" w:hAnsi="Georgia" w:cs="Georgia"/>
          <w:b/>
          <w:bCs/>
          <w:color w:val="0D2B55"/>
          <w:sz w:val="28"/>
          <w:szCs w:val="28"/>
        </w:rPr>
        <w:t>11.2 The Holding Structure</w:t>
      </w:r>
    </w:p>
    <w:p w14:paraId="6749FC5A" w14:textId="77777777" w:rsidR="009151BA" w:rsidRDefault="004439A8">
      <w:pPr>
        <w:spacing w:before="80" w:after="80"/>
        <w:jc w:val="both"/>
      </w:pPr>
      <w:r>
        <w:rPr>
          <w:color w:val="2C2C3E"/>
        </w:rPr>
        <w:t>G.O.D.S operates through a three-tier holding architecture:</w:t>
      </w:r>
    </w:p>
    <w:p w14:paraId="1C6305C1" w14:textId="77777777" w:rsidR="009151BA" w:rsidRDefault="004439A8">
      <w:pPr>
        <w:spacing w:before="80" w:after="80"/>
        <w:jc w:val="both"/>
      </w:pPr>
      <w:r>
        <w:rPr>
          <w:color w:val="2C2C3E"/>
        </w:rPr>
        <w:t>LEVEL 1 — G.O.D.S (Parent Sovereign Infrastructure Entity). This is the constitutional and philosophical parent. It holds the mission, the Twelve Pillars, the governance architecture, the IP trust, and the long-horizon strategic mandate. It does not directly operate commercial activities. It provides the framework within which all commercial activities must function.</w:t>
      </w:r>
    </w:p>
    <w:p w14:paraId="1DE076A9" w14:textId="77777777" w:rsidR="009151BA" w:rsidRDefault="004439A8">
      <w:pPr>
        <w:spacing w:before="80" w:after="80"/>
        <w:jc w:val="both"/>
      </w:pPr>
      <w:r>
        <w:rPr>
          <w:color w:val="2C2C3E"/>
        </w:rPr>
        <w:t>LEVEL 2 — G.O.D.S TS HOLDINGS (Technological &amp; Systems Holdings Conglomerate). This is the primary economic engine. It is the commercial holding company that owns and operates the revenue-generating divisions. It is structured as a private capital entity with public integration capability — capable of raising investment, acquiring assets, entering contracts, and generating returns while operating within the constitutional constraints established at Level 1.</w:t>
      </w:r>
    </w:p>
    <w:p w14:paraId="4734F80D" w14:textId="77777777" w:rsidR="009151BA" w:rsidRDefault="004439A8">
      <w:pPr>
        <w:spacing w:before="80" w:after="80"/>
        <w:jc w:val="both"/>
      </w:pPr>
      <w:r>
        <w:rPr>
          <w:color w:val="2C2C3E"/>
        </w:rPr>
        <w:t>LEVEL 3 — Divisional Operating Companies. These are the specific entities through which G.O.D.S delivers its products, services, and infrastructure. The four primary divisions are S.E.T.H.S, M.A.D.I.B.A, UDOC, and the Technological Sector, each with its own legal structure, governance committee, and operating mandate.</w:t>
      </w:r>
    </w:p>
    <w:p w14:paraId="561CEF93" w14:textId="77777777" w:rsidR="009151BA" w:rsidRDefault="004439A8">
      <w:pPr>
        <w:spacing w:before="320" w:after="120"/>
      </w:pPr>
      <w:r>
        <w:rPr>
          <w:rFonts w:ascii="Georgia" w:eastAsia="Georgia" w:hAnsi="Georgia" w:cs="Georgia"/>
          <w:b/>
          <w:bCs/>
          <w:color w:val="0D2B55"/>
          <w:sz w:val="28"/>
          <w:szCs w:val="28"/>
        </w:rPr>
        <w:t>11.3 The Integration Logic</w:t>
      </w:r>
    </w:p>
    <w:p w14:paraId="2F1FC6FA" w14:textId="77777777" w:rsidR="009151BA" w:rsidRDefault="004439A8">
      <w:pPr>
        <w:spacing w:before="80" w:after="80"/>
        <w:jc w:val="both"/>
      </w:pPr>
      <w:r>
        <w:rPr>
          <w:color w:val="2C2C3E"/>
        </w:rPr>
        <w:t>The four divisions are not independent businesses that happen to share a holding company. They are integrated systems components that create value through their interaction. Understanding this integration logic is essential to understanding why G.O.D.S represents a structural advance on existing solutions.</w:t>
      </w:r>
    </w:p>
    <w:p w14:paraId="71211FDC" w14:textId="77777777" w:rsidR="009151BA" w:rsidRDefault="004439A8">
      <w:pPr>
        <w:spacing w:before="80" w:after="80"/>
        <w:jc w:val="both"/>
      </w:pPr>
      <w:r>
        <w:rPr>
          <w:color w:val="2C2C3E"/>
        </w:rPr>
        <w:t>S.E.T.H.S generates rehabilitated, certified human capital. That human capital feeds into the employment pipelines of the Technological Sector — providing the workforce for production, infrastructure maintenance, and service delivery. UDOC provides the governance and compliance infrastructure that makes S.E.T.H.S's behavioral data systems trustworthy and legally defensible. M.A.D.I.B.A provides the capital and government partnership architecture that funds S.E.T.H.S programs and scales the Technological Sector's infrastructure development.</w:t>
      </w:r>
    </w:p>
    <w:p w14:paraId="1ED04039" w14:textId="77777777" w:rsidR="009151BA" w:rsidRDefault="004439A8">
      <w:pPr>
        <w:spacing w:before="80" w:after="80"/>
        <w:jc w:val="both"/>
      </w:pPr>
      <w:r>
        <w:rPr>
          <w:color w:val="2C2C3E"/>
        </w:rPr>
        <w:lastRenderedPageBreak/>
        <w:t>Together, these four divisions create a system in which: excluded individuals are rehabilitated and certified (S.E.T.H.S), deployed into productive economic activity (Technological Sector), governed through transparent and auditable systems (UDOC), and funded and scaled through disciplined public-private capital mechanisms (M.A.D.I.B.A). The output is a measurable reduction in social exclusion, a measurable increase in economic productivity, and a measurable improvement in governance integrity.</w:t>
      </w:r>
    </w:p>
    <w:p w14:paraId="363C8394" w14:textId="77777777" w:rsidR="009151BA" w:rsidRDefault="004439A8">
      <w:r>
        <w:br w:type="page"/>
      </w:r>
    </w:p>
    <w:p w14:paraId="4A90996F"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12: S.E.T.H.S — HUMAN CAPACITY ACCELERATION ENGINE</w:t>
      </w:r>
    </w:p>
    <w:p w14:paraId="285B1AE8" w14:textId="77777777" w:rsidR="009151BA" w:rsidRDefault="004439A8">
      <w:pPr>
        <w:spacing w:before="320" w:after="120"/>
      </w:pPr>
      <w:r>
        <w:rPr>
          <w:rFonts w:ascii="Georgia" w:eastAsia="Georgia" w:hAnsi="Georgia" w:cs="Georgia"/>
          <w:b/>
          <w:bCs/>
          <w:color w:val="0D2B55"/>
          <w:sz w:val="28"/>
          <w:szCs w:val="28"/>
        </w:rPr>
        <w:t>12.1 What S.E.T.H.S Is</w:t>
      </w:r>
    </w:p>
    <w:p w14:paraId="4A23F91E" w14:textId="77777777" w:rsidR="009151BA" w:rsidRDefault="004439A8">
      <w:pPr>
        <w:spacing w:before="80" w:after="80"/>
        <w:jc w:val="both"/>
      </w:pPr>
      <w:r>
        <w:rPr>
          <w:color w:val="2C2C3E"/>
        </w:rPr>
        <w:t>S.E.T.H.S — Systematically Engineered To Hinder Speculators — is the human systems division of G.O.D.S. Its mandate is to convert underutilized, marginalized, and excluded individuals into measurable economic contributors within high-performance environments. It is not a charity. It is not a welfare program. It is a disciplined human capital engineering system.</w:t>
      </w:r>
    </w:p>
    <w:p w14:paraId="6118CEA3" w14:textId="77777777" w:rsidR="009151BA" w:rsidRDefault="004439A8">
      <w:pPr>
        <w:spacing w:before="80" w:after="80"/>
        <w:jc w:val="both"/>
      </w:pPr>
      <w:r>
        <w:rPr>
          <w:color w:val="2C2C3E"/>
        </w:rPr>
        <w:t>The original name "Seth" derives from the Founder's personal identity and his early conceptualization of a business empire built around rehabilitation and reintegration. Over years of development, this became the formal S.E.T.H.S division — retaining the personal origin while formalizing the institutional mandate.</w:t>
      </w:r>
    </w:p>
    <w:p w14:paraId="0FBC1BC9" w14:textId="77777777" w:rsidR="009151BA" w:rsidRDefault="004439A8">
      <w:pPr>
        <w:spacing w:before="80" w:after="80"/>
        <w:jc w:val="both"/>
      </w:pPr>
      <w:r>
        <w:rPr>
          <w:color w:val="2C2C3E"/>
        </w:rPr>
        <w:t>S.E.T.H.S operates on the evidence-based conviction that behavioral instability — addiction, crime, long-term unemployment, social exclusion — is not a personal moral failure but a patterned behavioral response to structural conditions. The patterns are identifiable, measurable, and, with the right structured intervention, reversible.</w:t>
      </w:r>
    </w:p>
    <w:p w14:paraId="3E8295F5" w14:textId="77777777" w:rsidR="009151BA" w:rsidRDefault="004439A8">
      <w:pPr>
        <w:spacing w:before="320" w:after="120"/>
      </w:pPr>
      <w:r>
        <w:rPr>
          <w:rFonts w:ascii="Georgia" w:eastAsia="Georgia" w:hAnsi="Georgia" w:cs="Georgia"/>
          <w:b/>
          <w:bCs/>
          <w:color w:val="0D2B55"/>
          <w:sz w:val="28"/>
          <w:szCs w:val="28"/>
        </w:rPr>
        <w:t>12.2 The Five Operational Pillars of S.E.T.H.S</w:t>
      </w:r>
    </w:p>
    <w:p w14:paraId="32BFAABA" w14:textId="77777777" w:rsidR="009151BA" w:rsidRDefault="004439A8">
      <w:pPr>
        <w:spacing w:before="80" w:after="80"/>
        <w:jc w:val="both"/>
      </w:pPr>
      <w:r>
        <w:rPr>
          <w:color w:val="2C2C3E"/>
        </w:rPr>
        <w:t>S.E.T.H.S is built upon five operational pillars that govern every aspect of program design and delivery. These are not marketing taglines — they are operational specifications.</w:t>
      </w:r>
    </w:p>
    <w:p w14:paraId="7E05696C" w14:textId="77777777" w:rsidR="009151BA" w:rsidRDefault="004439A8">
      <w:pPr>
        <w:spacing w:before="240" w:after="80"/>
      </w:pPr>
      <w:r>
        <w:rPr>
          <w:b/>
          <w:bCs/>
          <w:color w:val="BF9B30"/>
          <w:sz w:val="24"/>
          <w:szCs w:val="24"/>
        </w:rPr>
        <w:t>12.2.1 Honesty</w:t>
      </w:r>
    </w:p>
    <w:p w14:paraId="30AA5BDB" w14:textId="77777777" w:rsidR="009151BA" w:rsidRDefault="004439A8">
      <w:pPr>
        <w:spacing w:before="80" w:after="80"/>
        <w:jc w:val="both"/>
      </w:pPr>
      <w:r>
        <w:rPr>
          <w:color w:val="2C2C3E"/>
        </w:rPr>
        <w:t>The first pillar is radical, structured honesty — and it applies symmetrically to every participant in the system. The candidate is honest about relapse risk, behavioral history, and current challenges. The system is honest about the consequences of failure to maintain program standards. Employers are honest about what they require and what they can offer. Performance data is transparent and accessible to participants.</w:t>
      </w:r>
    </w:p>
    <w:p w14:paraId="1292B1B6" w14:textId="77777777" w:rsidR="009151BA" w:rsidRDefault="004439A8">
      <w:pPr>
        <w:spacing w:before="80" w:after="80"/>
        <w:jc w:val="both"/>
      </w:pPr>
      <w:r>
        <w:rPr>
          <w:color w:val="2C2C3E"/>
        </w:rPr>
        <w:t>This is not an idealistic commitment to emotional openness. It is a structural requirement. The S.E.T.H.S system generates behavioral and risk data that is used to match participants with employment contexts and monitor performance. That data is only valuable — only trustworthy — if it is generated in a context of honest disclosure rather than image management.</w:t>
      </w:r>
    </w:p>
    <w:p w14:paraId="20B83BBB" w14:textId="77777777" w:rsidR="009151BA" w:rsidRDefault="004439A8">
      <w:pPr>
        <w:spacing w:before="80" w:after="80"/>
        <w:jc w:val="both"/>
      </w:pPr>
      <w:r>
        <w:rPr>
          <w:color w:val="2C2C3E"/>
        </w:rPr>
        <w:t>Honesty builds trust. Trust is what employers buy. And trust — consistently demonstrated through structured, honest performance data — is what makes the S.E.T.H.S certification meaningful in the labor market.</w:t>
      </w:r>
    </w:p>
    <w:p w14:paraId="56D839A4" w14:textId="77777777" w:rsidR="009151BA" w:rsidRDefault="004439A8">
      <w:pPr>
        <w:spacing w:before="240" w:after="80"/>
      </w:pPr>
      <w:r>
        <w:rPr>
          <w:b/>
          <w:bCs/>
          <w:color w:val="BF9B30"/>
          <w:sz w:val="24"/>
          <w:szCs w:val="24"/>
        </w:rPr>
        <w:t>12.2.2 Tolerance</w:t>
      </w:r>
    </w:p>
    <w:p w14:paraId="40283812" w14:textId="77777777" w:rsidR="009151BA" w:rsidRDefault="004439A8">
      <w:pPr>
        <w:spacing w:before="80" w:after="80"/>
        <w:jc w:val="both"/>
      </w:pPr>
      <w:r>
        <w:rPr>
          <w:color w:val="2C2C3E"/>
        </w:rPr>
        <w:t>The second pillar is structured tolerance — not tolerance of destructive behavior, but tolerance of recovery. A relapse is a breach of program structure that requires a documented response. It is not a life sentence. Progress matters more than perfection. Structured correction replaces social rejection.</w:t>
      </w:r>
    </w:p>
    <w:p w14:paraId="61FBEF2A" w14:textId="77777777" w:rsidR="009151BA" w:rsidRDefault="004439A8">
      <w:pPr>
        <w:spacing w:before="80" w:after="80"/>
        <w:jc w:val="both"/>
      </w:pPr>
      <w:r>
        <w:rPr>
          <w:color w:val="2C2C3E"/>
        </w:rPr>
        <w:t>This distinction is critical. Programs that treat any failure as permanent disqualification create perverse incentives for concealment — the precise opposite of the honesty required for the system to function. S.E.T.H.S builds tolerance for the reality of recovery as a non-linear process while maintaining clear, documented accountability standards.</w:t>
      </w:r>
    </w:p>
    <w:p w14:paraId="19131C4A" w14:textId="77777777" w:rsidR="009151BA" w:rsidRDefault="004439A8">
      <w:pPr>
        <w:spacing w:before="80" w:after="80"/>
        <w:jc w:val="both"/>
      </w:pPr>
      <w:r>
        <w:rPr>
          <w:color w:val="2C2C3E"/>
        </w:rPr>
        <w:lastRenderedPageBreak/>
        <w:t>Tolerance prevents S.E.T.H.S from becoming punishment disguised as support — the failure mode of most existing rehabilitation programs.</w:t>
      </w:r>
    </w:p>
    <w:p w14:paraId="0D310A4B" w14:textId="77777777" w:rsidR="009151BA" w:rsidRDefault="004439A8">
      <w:pPr>
        <w:spacing w:before="240" w:after="80"/>
      </w:pPr>
      <w:r>
        <w:rPr>
          <w:b/>
          <w:bCs/>
          <w:color w:val="BF9B30"/>
          <w:sz w:val="24"/>
          <w:szCs w:val="24"/>
        </w:rPr>
        <w:t>12.2.3 Belief Systems</w:t>
      </w:r>
    </w:p>
    <w:p w14:paraId="2D6496B2" w14:textId="77777777" w:rsidR="009151BA" w:rsidRDefault="004439A8">
      <w:pPr>
        <w:spacing w:before="80" w:after="80"/>
        <w:jc w:val="both"/>
      </w:pPr>
      <w:r>
        <w:rPr>
          <w:color w:val="2C2C3E"/>
        </w:rPr>
        <w:t>The third pillar addresses the role of personal belief in behavioral change. S.E.T.H.S cannot impose belief, but it must protect it. This means: freedom of faith or non-faith within all program environments; zero discrimination based on religious identity within placements; and the preservation of moral and spiritual development as personal choice without ideological enforcement.</w:t>
      </w:r>
    </w:p>
    <w:p w14:paraId="06F5EE07" w14:textId="77777777" w:rsidR="009151BA" w:rsidRDefault="004439A8">
      <w:pPr>
        <w:spacing w:before="80" w:after="80"/>
        <w:jc w:val="both"/>
      </w:pPr>
      <w:r>
        <w:rPr>
          <w:color w:val="2C2C3E"/>
        </w:rPr>
        <w:t>Spirituality and faith are, for many individuals in recovery, critical anchors of behavioral stability. S.E.T.H.S preserves this without weaponizing it. No program may require religious practice as a condition of participation. No program may discriminate against individuals based on their belief system. The system protects spiritual dignity without instrumentalizing it.</w:t>
      </w:r>
    </w:p>
    <w:p w14:paraId="23B94156" w14:textId="77777777" w:rsidR="009151BA" w:rsidRDefault="004439A8">
      <w:pPr>
        <w:spacing w:before="80" w:after="80"/>
        <w:jc w:val="both"/>
      </w:pPr>
      <w:r>
        <w:rPr>
          <w:color w:val="2C2C3E"/>
        </w:rPr>
        <w:t>This makes S.E.T.H.S scalable across diverse cultural contexts — including the full spectrum of South African religious and cultural diversity — without compromising program integrity.</w:t>
      </w:r>
    </w:p>
    <w:p w14:paraId="150C3BF7" w14:textId="77777777" w:rsidR="009151BA" w:rsidRDefault="004439A8">
      <w:pPr>
        <w:spacing w:before="240" w:after="80"/>
      </w:pPr>
      <w:r>
        <w:rPr>
          <w:b/>
          <w:bCs/>
          <w:color w:val="BF9B30"/>
          <w:sz w:val="24"/>
          <w:szCs w:val="24"/>
        </w:rPr>
        <w:t>12.2.4 Equality</w:t>
      </w:r>
    </w:p>
    <w:p w14:paraId="11651D4B" w14:textId="77777777" w:rsidR="009151BA" w:rsidRDefault="004439A8">
      <w:pPr>
        <w:spacing w:before="80" w:after="80"/>
        <w:jc w:val="both"/>
      </w:pPr>
      <w:r>
        <w:rPr>
          <w:color w:val="2C2C3E"/>
        </w:rPr>
        <w:t>The fourth pillar is equality — but not equality of outcome. It is equality of access to structured opportunity, equality of accountability standards, and equality of measurement criteria. Every participant in a S.E.T.H.S program faces the same performance requirements, the same behavioral standards, and the same opportunities for advancement. No demographic characteristic — race, gender, class, religion, past criminal record — provides exemption from accountability or advantage in advancement.</w:t>
      </w:r>
    </w:p>
    <w:p w14:paraId="6F218050" w14:textId="77777777" w:rsidR="009151BA" w:rsidRDefault="004439A8">
      <w:pPr>
        <w:spacing w:before="80" w:after="80"/>
        <w:jc w:val="both"/>
      </w:pPr>
      <w:r>
        <w:rPr>
          <w:color w:val="2C2C3E"/>
        </w:rPr>
        <w:t>This commitment to equality is both ethical and commercial. Employers partnering with S.E.T.H.S need to trust that the certification means the same thing regardless of the identity of the individual who holds it. Consistency of standards is the commercial guarantee that makes the S.E.T.H.S credential valuable.</w:t>
      </w:r>
    </w:p>
    <w:p w14:paraId="7344747F" w14:textId="77777777" w:rsidR="009151BA" w:rsidRDefault="004439A8">
      <w:pPr>
        <w:spacing w:before="80" w:after="80"/>
        <w:jc w:val="both"/>
      </w:pPr>
      <w:r>
        <w:rPr>
          <w:color w:val="2C2C3E"/>
        </w:rPr>
        <w:t>Equality without accountability collapses. Accountability without equality becomes oppression. The balance between these is the operational art of S.E.T.H.S program management.</w:t>
      </w:r>
    </w:p>
    <w:p w14:paraId="24361AA8" w14:textId="77777777" w:rsidR="009151BA" w:rsidRDefault="004439A8">
      <w:pPr>
        <w:spacing w:before="240" w:after="80"/>
      </w:pPr>
      <w:r>
        <w:rPr>
          <w:b/>
          <w:bCs/>
          <w:color w:val="BF9B30"/>
          <w:sz w:val="24"/>
          <w:szCs w:val="24"/>
        </w:rPr>
        <w:t>12.2.5 Pride</w:t>
      </w:r>
    </w:p>
    <w:p w14:paraId="4AA975DF" w14:textId="77777777" w:rsidR="009151BA" w:rsidRDefault="004439A8">
      <w:pPr>
        <w:spacing w:before="80" w:after="80"/>
        <w:jc w:val="both"/>
      </w:pPr>
      <w:r>
        <w:rPr>
          <w:color w:val="2C2C3E"/>
        </w:rPr>
        <w:t>The fifth pillar — and the most psychologically foundational — is the restoration of pride. Not ego. Not arrogance. Pride in showing up on time. Pride in completing tasks. Pride in being trusted. Pride in earning honestly. Pride in being seen differently.</w:t>
      </w:r>
    </w:p>
    <w:p w14:paraId="621BD9DB" w14:textId="77777777" w:rsidR="009151BA" w:rsidRDefault="004439A8">
      <w:pPr>
        <w:spacing w:before="80" w:after="80"/>
        <w:jc w:val="both"/>
      </w:pPr>
      <w:r>
        <w:rPr>
          <w:color w:val="2C2C3E"/>
        </w:rPr>
        <w:t>The S.E.T.H.S thesis is that relapse risk drops naturally when individuals have something to protect — when they have rebuilt a version of themselves that they value. The restoration of behavioral pride is the most powerful relapse prevention mechanism available, and it cannot be provided by therapy alone. It requires structured, real-world contexts in which dignity is earned and visible.</w:t>
      </w:r>
    </w:p>
    <w:p w14:paraId="61818B56" w14:textId="77777777" w:rsidR="009151BA" w:rsidRDefault="004439A8">
      <w:pPr>
        <w:spacing w:before="80" w:after="80"/>
        <w:jc w:val="both"/>
      </w:pPr>
      <w:r>
        <w:rPr>
          <w:color w:val="2C2C3E"/>
        </w:rPr>
        <w:t>People protect what gives them dignity. S.E.T.H.S is fundamentally in the business of building dignity.</w:t>
      </w:r>
    </w:p>
    <w:p w14:paraId="41CB47D8" w14:textId="77777777" w:rsidR="009151BA" w:rsidRDefault="004439A8">
      <w:pPr>
        <w:spacing w:before="320" w:after="120"/>
      </w:pPr>
      <w:r>
        <w:rPr>
          <w:rFonts w:ascii="Georgia" w:eastAsia="Georgia" w:hAnsi="Georgia" w:cs="Georgia"/>
          <w:b/>
          <w:bCs/>
          <w:color w:val="0D2B55"/>
          <w:sz w:val="28"/>
          <w:szCs w:val="28"/>
        </w:rPr>
        <w:t>12.3 The S.E.T.H.S Operational Structure</w:t>
      </w:r>
    </w:p>
    <w:p w14:paraId="2E900EFF" w14:textId="77777777" w:rsidR="009151BA" w:rsidRDefault="004439A8">
      <w:pPr>
        <w:spacing w:before="240" w:after="80"/>
      </w:pPr>
      <w:r>
        <w:rPr>
          <w:b/>
          <w:bCs/>
          <w:color w:val="BF9B30"/>
          <w:sz w:val="24"/>
          <w:szCs w:val="24"/>
        </w:rPr>
        <w:t>12.3.1 Phase 0 — Eligibility Gate</w:t>
      </w:r>
    </w:p>
    <w:p w14:paraId="679C2B32" w14:textId="77777777" w:rsidR="009151BA" w:rsidRDefault="004439A8">
      <w:pPr>
        <w:spacing w:before="80" w:after="80"/>
        <w:jc w:val="both"/>
      </w:pPr>
      <w:r>
        <w:rPr>
          <w:color w:val="2C2C3E"/>
        </w:rPr>
        <w:t>Before any participant enters the S.E.T.H.S program, a structured eligibility assessment is conducted. This is not a barrier designed to exclude maximum numbers — it is a fit assessment designed to match participant needs with available program capacity.</w:t>
      </w:r>
    </w:p>
    <w:p w14:paraId="6D31FFD8" w14:textId="77777777" w:rsidR="009151BA" w:rsidRDefault="004439A8">
      <w:pPr>
        <w:spacing w:before="80" w:after="80"/>
        <w:jc w:val="both"/>
      </w:pPr>
      <w:r>
        <w:rPr>
          <w:color w:val="2C2C3E"/>
        </w:rPr>
        <w:lastRenderedPageBreak/>
        <w:t>Eligibility requirements include: proof of rehabilitation enrollment or verified clean history (minimum 30 days); legal clearance screening appropriate to the intended employment pathway; signed consent to structured accountability program including behavioral monitoring; and voluntary participation agreement acknowledging program standards and consequences.</w:t>
      </w:r>
    </w:p>
    <w:p w14:paraId="3230E3C7" w14:textId="77777777" w:rsidR="009151BA" w:rsidRDefault="004439A8">
      <w:pPr>
        <w:spacing w:before="80" w:after="80"/>
        <w:jc w:val="both"/>
      </w:pPr>
      <w:r>
        <w:rPr>
          <w:color w:val="2C2C3E"/>
        </w:rPr>
        <w:t>Critically: no one is forced. The structure must always be voluntary. This is both an ethical requirement and a practical one — coerced participation produces the performance theater of compliance without the substance of behavioral change.</w:t>
      </w:r>
    </w:p>
    <w:p w14:paraId="189F08C3" w14:textId="77777777" w:rsidR="009151BA" w:rsidRDefault="004439A8">
      <w:pPr>
        <w:spacing w:before="240" w:after="80"/>
      </w:pPr>
      <w:r>
        <w:rPr>
          <w:b/>
          <w:bCs/>
          <w:color w:val="BF9B30"/>
          <w:sz w:val="24"/>
          <w:szCs w:val="24"/>
        </w:rPr>
        <w:t>12.3.2 Phase 1 — Truth &amp; Accountability Assessment</w:t>
      </w:r>
    </w:p>
    <w:p w14:paraId="281FCE8C" w14:textId="77777777" w:rsidR="009151BA" w:rsidRDefault="004439A8">
      <w:pPr>
        <w:spacing w:before="80" w:after="80"/>
        <w:jc w:val="both"/>
      </w:pPr>
      <w:r>
        <w:rPr>
          <w:color w:val="2C2C3E"/>
        </w:rPr>
        <w:t>The assessment phase duration is calibrated to participant risk profile: 90 days for new rehabilitation entrants with complex histories; 30 days for medium-risk participants with partial stability; 14 days for long-standing stable recovery candidates.</w:t>
      </w:r>
    </w:p>
    <w:p w14:paraId="6743A30E" w14:textId="77777777" w:rsidR="009151BA" w:rsidRDefault="004439A8">
      <w:pPr>
        <w:spacing w:before="80" w:after="80"/>
        <w:jc w:val="both"/>
      </w:pPr>
      <w:r>
        <w:rPr>
          <w:color w:val="2C2C3E"/>
        </w:rPr>
        <w:t>The assessment phase includes three core components:</w:t>
      </w:r>
    </w:p>
    <w:p w14:paraId="28D333E4" w14:textId="77777777" w:rsidR="009151BA" w:rsidRDefault="004439A8">
      <w:pPr>
        <w:spacing w:before="80" w:after="80"/>
        <w:jc w:val="both"/>
      </w:pPr>
      <w:r>
        <w:rPr>
          <w:color w:val="2C2C3E"/>
        </w:rPr>
        <w:t>The Foundational Accountability Interview (FAI) is a structured life timeline mapping exercise. It is not therapy. It is pattern recognition. The participant maps key life disruptions, exposure patterns (violence, neglect, trauma, peer influence, poverty), substance use history, and personal responsibility versus external factors. The purpose is to identify behavioral patterns that predict relapse risk and employment performance.</w:t>
      </w:r>
    </w:p>
    <w:p w14:paraId="497A8992" w14:textId="77777777" w:rsidR="009151BA" w:rsidRDefault="004439A8">
      <w:pPr>
        <w:spacing w:before="80" w:after="80"/>
        <w:jc w:val="both"/>
      </w:pPr>
      <w:r>
        <w:rPr>
          <w:color w:val="2C2C3E"/>
        </w:rPr>
        <w:t>The Identity Reconstruction Framework asks three defining questions: Who did you want to be before the pattern began? Who have you become? Who do you choose to become? This is formalized through a structured written exercise with counselor facilitation. It is documented, scored for emotional stability and motivation clarity, and forms part of the participant's permanent program record. The goal is the restoration of trajectory — the internal narrative of possibility that addiction and exclusion systematically destroy.</w:t>
      </w:r>
    </w:p>
    <w:p w14:paraId="7CFC7469" w14:textId="77777777" w:rsidR="009151BA" w:rsidRDefault="004439A8">
      <w:pPr>
        <w:spacing w:before="80" w:after="80"/>
        <w:jc w:val="both"/>
      </w:pPr>
      <w:r>
        <w:rPr>
          <w:color w:val="2C2C3E"/>
        </w:rPr>
        <w:t>The Personal Recovery Contract is the legal and behavioral commitment framework. Before advancing to assessment, each participant signs: a truth agreement committing to honest disclosure; a relapse disclosure policy with defined timelines and consequences; a performance accountability agreement with quantified standards; a voluntary compliance testing clause; and a growth objective declaration specifying personal milestones for the program period.</w:t>
      </w:r>
    </w:p>
    <w:p w14:paraId="7C0AE032" w14:textId="77777777" w:rsidR="009151BA" w:rsidRDefault="004439A8">
      <w:pPr>
        <w:spacing w:before="240" w:after="80"/>
      </w:pPr>
      <w:r>
        <w:rPr>
          <w:b/>
          <w:bCs/>
          <w:color w:val="BF9B30"/>
          <w:sz w:val="24"/>
          <w:szCs w:val="24"/>
        </w:rPr>
        <w:t>12.3.3 Phase 2 — Psychometric &amp; Functional Assessment</w:t>
      </w:r>
    </w:p>
    <w:p w14:paraId="4847C856" w14:textId="77777777" w:rsidR="009151BA" w:rsidRDefault="004439A8">
      <w:pPr>
        <w:spacing w:before="80" w:after="80"/>
        <w:jc w:val="both"/>
      </w:pPr>
      <w:r>
        <w:rPr>
          <w:color w:val="2C2C3E"/>
        </w:rPr>
        <w:t>After emotional stabilization, participants undergo a comprehensive psychometric and functional assessment battery. This includes cognitive aptitude testing, personality profiling (non-discriminatory, used for placement optimization), work style assessment, stress tolerance measurement, sales versus service aptitude mapping, and technical ability screening relevant to targeted employment pathways.</w:t>
      </w:r>
    </w:p>
    <w:p w14:paraId="04DD73EC" w14:textId="77777777" w:rsidR="009151BA" w:rsidRDefault="004439A8">
      <w:pPr>
        <w:spacing w:before="80" w:after="80"/>
        <w:jc w:val="both"/>
      </w:pPr>
      <w:r>
        <w:rPr>
          <w:color w:val="2C2C3E"/>
        </w:rPr>
        <w:t>The output of Phase 2 is a participant profile that matches individuals to the employment contexts where they are most likely to succeed — not where they are easiest to place. Placement optimization is a long-term investment in program credibility. Each successful placement strengthens employer confidence in the S.E.T.H.S system. Each failed placement — however unavoidable in some percentage of cases — must be analyzed for systemic learning.</w:t>
      </w:r>
    </w:p>
    <w:p w14:paraId="3EB4CEB2" w14:textId="77777777" w:rsidR="009151BA" w:rsidRDefault="004439A8">
      <w:pPr>
        <w:spacing w:before="240" w:after="80"/>
      </w:pPr>
      <w:r>
        <w:rPr>
          <w:b/>
          <w:bCs/>
          <w:color w:val="BF9B30"/>
          <w:sz w:val="24"/>
          <w:szCs w:val="24"/>
        </w:rPr>
        <w:t>12.3.4 Phase 3 — Structured Skills Development Unit (SDU)</w:t>
      </w:r>
    </w:p>
    <w:p w14:paraId="396A51B7" w14:textId="77777777" w:rsidR="009151BA" w:rsidRDefault="004439A8">
      <w:pPr>
        <w:spacing w:before="80" w:after="80"/>
        <w:jc w:val="both"/>
      </w:pPr>
      <w:r>
        <w:rPr>
          <w:color w:val="2C2C3E"/>
        </w:rPr>
        <w:t>The Structured Development Unit is the core training environment. SDUs are designed as hybrid facilities — combining accommodation, structured daily routine, skills training, and behavioral accountability in a single integrated environment during the intensive development phase.</w:t>
      </w:r>
    </w:p>
    <w:p w14:paraId="3ECDA529" w14:textId="77777777" w:rsidR="009151BA" w:rsidRDefault="004439A8">
      <w:pPr>
        <w:spacing w:before="80" w:after="80"/>
        <w:jc w:val="both"/>
      </w:pPr>
      <w:r>
        <w:rPr>
          <w:color w:val="2C2C3E"/>
        </w:rPr>
        <w:lastRenderedPageBreak/>
        <w:t>SDU programming includes: vocational skills training aligned with documented employer demand; compliance with behavioral program standards (attendance, timekeeping, substance testing where applicable); progressive responsibility assignments; peer group accountability structures; and formal certification in applicable skills frameworks (SETA-aligned, where applicable in South Africa).</w:t>
      </w:r>
    </w:p>
    <w:p w14:paraId="7245DAE7" w14:textId="77777777" w:rsidR="009151BA" w:rsidRDefault="004439A8">
      <w:pPr>
        <w:spacing w:before="80" w:after="80"/>
        <w:jc w:val="both"/>
      </w:pPr>
      <w:r>
        <w:rPr>
          <w:color w:val="2C2C3E"/>
        </w:rPr>
        <w:t>SDU staffing ratios are defined by participant risk profile. High-risk participants require one supervisor per 8 participants. Medium-risk participants operate at 1:12. Low-risk participants approaching employment placement operate at 1:20. Staff are selected for professional behavioral management qualification and subjected to regular performance review.</w:t>
      </w:r>
    </w:p>
    <w:p w14:paraId="7CEBB4EB" w14:textId="77777777" w:rsidR="009151BA" w:rsidRDefault="004439A8">
      <w:pPr>
        <w:spacing w:before="240" w:after="80"/>
      </w:pPr>
      <w:r>
        <w:rPr>
          <w:b/>
          <w:bCs/>
          <w:color w:val="BF9B30"/>
          <w:sz w:val="24"/>
          <w:szCs w:val="24"/>
        </w:rPr>
        <w:t>12.3.5 Phase 4 — Employment Placement &amp; Integration</w:t>
      </w:r>
    </w:p>
    <w:p w14:paraId="798895E0" w14:textId="77777777" w:rsidR="009151BA" w:rsidRDefault="004439A8">
      <w:pPr>
        <w:spacing w:before="80" w:after="80"/>
        <w:jc w:val="both"/>
      </w:pPr>
      <w:r>
        <w:rPr>
          <w:color w:val="2C2C3E"/>
        </w:rPr>
        <w:t>Employment placement is the commercial output of the S.E.T.H.S system. G.O.D.S generates revenue from placement fees, employer partnership contracts, and government rehabilitation program contracts. The employment pipeline is maintained through active relationship management with a target employer network in each operating geography.</w:t>
      </w:r>
    </w:p>
    <w:p w14:paraId="07EAB1FB" w14:textId="77777777" w:rsidR="009151BA" w:rsidRDefault="004439A8">
      <w:pPr>
        <w:spacing w:before="80" w:after="80"/>
        <w:jc w:val="both"/>
      </w:pPr>
      <w:r>
        <w:rPr>
          <w:color w:val="2C2C3E"/>
        </w:rPr>
        <w:t>Employer selection criteria include: demonstrated willingness to participate in structured onboarding protocols; commitment to S.E.T.H.S performance monitoring for a defined initial period (90–180 days); provision of a designated workplace integration supervisor; and agreement to employment terms that do not exploit the vulnerable labor market position of placed participants.</w:t>
      </w:r>
    </w:p>
    <w:p w14:paraId="51BAAA8C" w14:textId="77777777" w:rsidR="009151BA" w:rsidRDefault="004439A8">
      <w:pPr>
        <w:spacing w:before="240" w:after="80"/>
      </w:pPr>
      <w:r>
        <w:rPr>
          <w:b/>
          <w:bCs/>
          <w:color w:val="BF9B30"/>
          <w:sz w:val="24"/>
          <w:szCs w:val="24"/>
        </w:rPr>
        <w:t>12.3.6 Phase 5 — Post-Placement Monitoring &amp; Long-Term Support</w:t>
      </w:r>
    </w:p>
    <w:p w14:paraId="012D97D4" w14:textId="77777777" w:rsidR="009151BA" w:rsidRDefault="004439A8">
      <w:pPr>
        <w:spacing w:before="80" w:after="80"/>
        <w:jc w:val="both"/>
      </w:pPr>
      <w:r>
        <w:rPr>
          <w:color w:val="2C2C3E"/>
        </w:rPr>
        <w:t>The S.E.T.H.S commitment to a placed individual does not end at employment. Post-placement monitoring includes: 90-day check-in protocol with participant and employer; 6-month formal review; 12-month outcome assessment; and indefinite access to the S.E.T.H.S alumni network and support resources.</w:t>
      </w:r>
    </w:p>
    <w:p w14:paraId="4D2640C2" w14:textId="77777777" w:rsidR="009151BA" w:rsidRDefault="004439A8">
      <w:pPr>
        <w:spacing w:before="80" w:after="80"/>
        <w:jc w:val="both"/>
      </w:pPr>
      <w:r>
        <w:rPr>
          <w:color w:val="2C2C3E"/>
        </w:rPr>
        <w:t>This extended support model is both ethically required and commercially strategic. Post-placement stability data is among the most valuable assets in the S.E.T.H.S data architecture — it enables continuous improvement of the placement algorithm, provides longitudinal evidence of program efficacy, and builds the employer confidence that drives program scaling.</w:t>
      </w:r>
    </w:p>
    <w:p w14:paraId="4F8F3AC7" w14:textId="77777777" w:rsidR="009151BA" w:rsidRDefault="004439A8">
      <w:pPr>
        <w:spacing w:before="320" w:after="120"/>
      </w:pPr>
      <w:r>
        <w:rPr>
          <w:rFonts w:ascii="Georgia" w:eastAsia="Georgia" w:hAnsi="Georgia" w:cs="Georgia"/>
          <w:b/>
          <w:bCs/>
          <w:color w:val="0D2B55"/>
          <w:sz w:val="28"/>
          <w:szCs w:val="28"/>
        </w:rPr>
        <w:t>12.4 Revenue Architecture of S.E.T.H.S</w:t>
      </w:r>
    </w:p>
    <w:p w14:paraId="44CEC39A" w14:textId="77777777" w:rsidR="009151BA" w:rsidRDefault="004439A8">
      <w:pPr>
        <w:spacing w:before="80" w:after="80"/>
        <w:jc w:val="both"/>
      </w:pPr>
      <w:r>
        <w:rPr>
          <w:color w:val="2C2C3E"/>
        </w:rPr>
        <w:t>S.E.T.H.S generates revenue through multiple structured channels:</w:t>
      </w:r>
    </w:p>
    <w:p w14:paraId="4B32C695" w14:textId="77777777" w:rsidR="009151BA" w:rsidRDefault="004439A8">
      <w:pPr>
        <w:pStyle w:val="ListParagraph"/>
        <w:numPr>
          <w:ilvl w:val="0"/>
          <w:numId w:val="2"/>
        </w:numPr>
        <w:spacing w:before="60" w:after="60"/>
      </w:pPr>
      <w:r>
        <w:rPr>
          <w:color w:val="2C2C3E"/>
        </w:rPr>
        <w:t>Government rehabilitation contracts: Multi-year agreements with national and provincial departments of correctional services, social development, and labor for the delivery of structured rehabilitation programs within government facilities and for government-referred populations.</w:t>
      </w:r>
    </w:p>
    <w:p w14:paraId="75F92196" w14:textId="77777777" w:rsidR="009151BA" w:rsidRDefault="004439A8">
      <w:pPr>
        <w:pStyle w:val="ListParagraph"/>
        <w:numPr>
          <w:ilvl w:val="0"/>
          <w:numId w:val="2"/>
        </w:numPr>
        <w:spacing w:before="60" w:after="60"/>
      </w:pPr>
      <w:r>
        <w:rPr>
          <w:color w:val="2C2C3E"/>
        </w:rPr>
        <w:t>Corporate workforce stabilization programs: Contracts with large employers for AI-assisted workforce transition programs, addressing the displacement impact of automation on existing staff through structured reskilling and redeployment.</w:t>
      </w:r>
    </w:p>
    <w:p w14:paraId="718A6110" w14:textId="77777777" w:rsidR="009151BA" w:rsidRDefault="004439A8">
      <w:pPr>
        <w:pStyle w:val="ListParagraph"/>
        <w:numPr>
          <w:ilvl w:val="0"/>
          <w:numId w:val="2"/>
        </w:numPr>
        <w:spacing w:before="60" w:after="60"/>
      </w:pPr>
      <w:r>
        <w:rPr>
          <w:color w:val="2C2C3E"/>
        </w:rPr>
        <w:t>Correctional reintegration programs: Specialized contracts for pre-release preparation and post-release reintegration support for correctional facility populations.</w:t>
      </w:r>
    </w:p>
    <w:p w14:paraId="64BAA077" w14:textId="77777777" w:rsidR="009151BA" w:rsidRDefault="004439A8">
      <w:pPr>
        <w:pStyle w:val="ListParagraph"/>
        <w:numPr>
          <w:ilvl w:val="0"/>
          <w:numId w:val="2"/>
        </w:numPr>
        <w:spacing w:before="60" w:after="60"/>
      </w:pPr>
      <w:r>
        <w:rPr>
          <w:color w:val="2C2C3E"/>
        </w:rPr>
        <w:t>Behavioral monitoring subscription systems: SaaS-based employer tools for ongoing participant performance monitoring, relapse risk flagging, and placement outcome tracking.</w:t>
      </w:r>
    </w:p>
    <w:p w14:paraId="66AAE698" w14:textId="77777777" w:rsidR="009151BA" w:rsidRDefault="004439A8">
      <w:pPr>
        <w:pStyle w:val="ListParagraph"/>
        <w:numPr>
          <w:ilvl w:val="0"/>
          <w:numId w:val="2"/>
        </w:numPr>
        <w:spacing w:before="60" w:after="60"/>
      </w:pPr>
      <w:r>
        <w:rPr>
          <w:color w:val="2C2C3E"/>
        </w:rPr>
        <w:t>Training and certification licensing: Revenue from licensing the S.E.T.H.S methodology, assessment tools, and certification framework to third-party providers operating under S.E.T.H.S brand standards.</w:t>
      </w:r>
    </w:p>
    <w:p w14:paraId="455D4E9A" w14:textId="77777777" w:rsidR="009151BA" w:rsidRDefault="004439A8">
      <w:pPr>
        <w:pStyle w:val="ListParagraph"/>
        <w:numPr>
          <w:ilvl w:val="0"/>
          <w:numId w:val="2"/>
        </w:numPr>
        <w:spacing w:before="60" w:after="60"/>
      </w:pPr>
      <w:r>
        <w:rPr>
          <w:color w:val="2C2C3E"/>
        </w:rPr>
        <w:lastRenderedPageBreak/>
        <w:t>Data analytics and behavioral intelligence reporting: Aggregated, anonymized behavioral and employment outcome data sold to research institutions, government policy bodies, and corporate HR functions.</w:t>
      </w:r>
    </w:p>
    <w:p w14:paraId="279D4DAD" w14:textId="77777777" w:rsidR="009151BA" w:rsidRDefault="004439A8">
      <w:r>
        <w:br w:type="page"/>
      </w:r>
    </w:p>
    <w:p w14:paraId="58B9B69F"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13: M.A.D.I.B.A — STRATEGIC ALIGNMENT &amp; EXCELLENCE CATALYST</w:t>
      </w:r>
    </w:p>
    <w:p w14:paraId="679FC441" w14:textId="77777777" w:rsidR="009151BA" w:rsidRDefault="004439A8">
      <w:pPr>
        <w:spacing w:before="320" w:after="120"/>
      </w:pPr>
      <w:r>
        <w:rPr>
          <w:rFonts w:ascii="Georgia" w:eastAsia="Georgia" w:hAnsi="Georgia" w:cs="Georgia"/>
          <w:b/>
          <w:bCs/>
          <w:color w:val="0D2B55"/>
          <w:sz w:val="28"/>
          <w:szCs w:val="28"/>
        </w:rPr>
        <w:t>13.1 What M.A.D.I.B.A Is</w:t>
      </w:r>
    </w:p>
    <w:p w14:paraId="7738F14A" w14:textId="77777777" w:rsidR="009151BA" w:rsidRDefault="004439A8">
      <w:pPr>
        <w:spacing w:before="80" w:after="80"/>
        <w:jc w:val="both"/>
      </w:pPr>
      <w:r>
        <w:rPr>
          <w:color w:val="2C2C3E"/>
        </w:rPr>
        <w:t>M.A.D.I.B.A — My African Dream Is Being Achieved — is the public sector integration and capital deployment division of G.O.D.S. It serves three distinct but interconnected functions: talent acceleration (identifying and supporting exceptional African individuals across science, governance, entrepreneurship, and infrastructure); cross-border alignment (facilitating partnerships between African nations, institutions, and the global capital community); and sovereign interface (managing the public-private partnership structures through which G.O.D.S delivers institutional services to governments).</w:t>
      </w:r>
    </w:p>
    <w:p w14:paraId="5E8D9180" w14:textId="77777777" w:rsidR="009151BA" w:rsidRDefault="004439A8">
      <w:pPr>
        <w:spacing w:before="80" w:after="80"/>
        <w:jc w:val="both"/>
      </w:pPr>
      <w:r>
        <w:rPr>
          <w:color w:val="2C2C3E"/>
        </w:rPr>
        <w:t>The name deliberately invokes the legacy of Nelson Mandela — not as a political statement, but as an architectural aspiration. Mandela's political legacy was not the achievement of one individual. It was the institutionalization of principles that outlasted him. M.A.D.I.B.A aspires to the same institutional durability in the domain of economic and governance development.</w:t>
      </w:r>
    </w:p>
    <w:p w14:paraId="7813D1CF" w14:textId="77777777" w:rsidR="009151BA" w:rsidRDefault="004439A8">
      <w:pPr>
        <w:spacing w:before="80" w:after="80"/>
        <w:jc w:val="both"/>
      </w:pPr>
      <w:r>
        <w:rPr>
          <w:color w:val="2C2C3E"/>
        </w:rPr>
        <w:t>M.A.D.I.B.A positions Africa not as a recipient of development assistance but as a contributor of structured, high-quality institutional solutions. This distinction is not semantic — it is foundational. The entire economic architecture of M.A.D.I.B.A is built to make African participation in global systems a matter of contribution and ownership, not consumption and dependency.</w:t>
      </w:r>
    </w:p>
    <w:p w14:paraId="2B64EB23" w14:textId="77777777" w:rsidR="009151BA" w:rsidRDefault="004439A8">
      <w:pPr>
        <w:spacing w:before="320" w:after="120"/>
      </w:pPr>
      <w:r>
        <w:rPr>
          <w:rFonts w:ascii="Georgia" w:eastAsia="Georgia" w:hAnsi="Georgia" w:cs="Georgia"/>
          <w:b/>
          <w:bCs/>
          <w:color w:val="0D2B55"/>
          <w:sz w:val="28"/>
          <w:szCs w:val="28"/>
        </w:rPr>
        <w:t>13.2 The Three M.A.D.I.B.A Functions</w:t>
      </w:r>
    </w:p>
    <w:p w14:paraId="599D57C8" w14:textId="77777777" w:rsidR="009151BA" w:rsidRDefault="004439A8">
      <w:pPr>
        <w:spacing w:before="240" w:after="80"/>
      </w:pPr>
      <w:r>
        <w:rPr>
          <w:b/>
          <w:bCs/>
          <w:color w:val="BF9B30"/>
          <w:sz w:val="24"/>
          <w:szCs w:val="24"/>
        </w:rPr>
        <w:t>13.2.1 Talent Acceleration</w:t>
      </w:r>
    </w:p>
    <w:p w14:paraId="043D8B19" w14:textId="77777777" w:rsidR="009151BA" w:rsidRDefault="004439A8">
      <w:pPr>
        <w:spacing w:before="80" w:after="80"/>
        <w:jc w:val="both"/>
      </w:pPr>
      <w:r>
        <w:rPr>
          <w:color w:val="2C2C3E"/>
        </w:rPr>
        <w:t>M.A.D.I.B.A operates a structured talent identification and acceleration program targeting African individuals at the intersection of exceptional capacity and structural exclusion. These are individuals whose potential exceeds the opportunity available to them — not because of personal limitation but because of geographic, economic, or institutional barriers.</w:t>
      </w:r>
    </w:p>
    <w:p w14:paraId="480DDFBA" w14:textId="77777777" w:rsidR="009151BA" w:rsidRDefault="004439A8">
      <w:pPr>
        <w:spacing w:before="80" w:after="80"/>
        <w:jc w:val="both"/>
      </w:pPr>
      <w:r>
        <w:rPr>
          <w:color w:val="2C2C3E"/>
        </w:rPr>
        <w:t>The talent acceleration program provides: structured mentorship from verified high-performance practitioners in relevant domains; access to the G.O.D.S institutional network including government, corporate, and academic partnerships; project-based development assignments that build demonstrable capability; and pathways into the G.O.D.S enterprise as it scales.</w:t>
      </w:r>
    </w:p>
    <w:p w14:paraId="574CAB66" w14:textId="77777777" w:rsidR="009151BA" w:rsidRDefault="004439A8">
      <w:pPr>
        <w:spacing w:before="80" w:after="80"/>
        <w:jc w:val="both"/>
      </w:pPr>
      <w:r>
        <w:rPr>
          <w:color w:val="2C2C3E"/>
        </w:rPr>
        <w:t>This function is not charity. It is a talent pipeline — the strategic development of the human capital that G.O.D.S will need to execute its long-horizon mission. The individuals developed through M.A.D.I.B.A become the institutional leaders of future G.O.D.S divisions, the architects of the governance systems, and the cultural carriers of the constitutional commitments.</w:t>
      </w:r>
    </w:p>
    <w:p w14:paraId="3358572D" w14:textId="77777777" w:rsidR="009151BA" w:rsidRDefault="004439A8">
      <w:pPr>
        <w:spacing w:before="240" w:after="80"/>
      </w:pPr>
      <w:r>
        <w:rPr>
          <w:b/>
          <w:bCs/>
          <w:color w:val="BF9B30"/>
          <w:sz w:val="24"/>
          <w:szCs w:val="24"/>
        </w:rPr>
        <w:t>13.2.2 Cross-Border Alignment Platform</w:t>
      </w:r>
    </w:p>
    <w:p w14:paraId="5F151B22" w14:textId="77777777" w:rsidR="009151BA" w:rsidRDefault="004439A8">
      <w:pPr>
        <w:spacing w:before="80" w:after="80"/>
        <w:jc w:val="both"/>
      </w:pPr>
      <w:r>
        <w:rPr>
          <w:color w:val="2C2C3E"/>
        </w:rPr>
        <w:t>M.A.D.I.B.A functions as a neutral alignment platform — a trusted intermediary that facilitates partnership across boundaries that would otherwise be difficult to bridge. African nations dealing with each other across historical political tensions. African governments interfacing with international capital that doesn't understand local context. International corporations navigating African regulatory environments without institutional guidance.</w:t>
      </w:r>
    </w:p>
    <w:p w14:paraId="47BED39F" w14:textId="77777777" w:rsidR="009151BA" w:rsidRDefault="004439A8">
      <w:pPr>
        <w:spacing w:before="80" w:after="80"/>
        <w:jc w:val="both"/>
      </w:pPr>
      <w:r>
        <w:rPr>
          <w:color w:val="2C2C3E"/>
        </w:rPr>
        <w:t xml:space="preserve">M.A.D.I.B.A's neutrality is its commercial value. It does not represent any nation's political interest. It does not have a commercial stake in any single partnership outcome (beyond its advisory and management fees). </w:t>
      </w:r>
      <w:r>
        <w:rPr>
          <w:color w:val="2C2C3E"/>
        </w:rPr>
        <w:lastRenderedPageBreak/>
        <w:t>Its long-term commercial model depends on its reputation as an honest broker — which makes integrity not just ethically required but commercially essential.</w:t>
      </w:r>
    </w:p>
    <w:p w14:paraId="7EC966A8" w14:textId="77777777" w:rsidR="009151BA" w:rsidRDefault="004439A8">
      <w:pPr>
        <w:spacing w:before="240" w:after="80"/>
      </w:pPr>
      <w:r>
        <w:rPr>
          <w:b/>
          <w:bCs/>
          <w:color w:val="BF9B30"/>
          <w:sz w:val="24"/>
          <w:szCs w:val="24"/>
        </w:rPr>
        <w:t>13.2.3 Sovereign Interface &amp; PPP Capital Structure</w:t>
      </w:r>
    </w:p>
    <w:p w14:paraId="0F742A74" w14:textId="77777777" w:rsidR="009151BA" w:rsidRDefault="004439A8">
      <w:pPr>
        <w:spacing w:before="80" w:after="80"/>
        <w:jc w:val="both"/>
      </w:pPr>
      <w:r>
        <w:rPr>
          <w:color w:val="2C2C3E"/>
        </w:rPr>
        <w:t>M.A.D.I.B.A manages the public-private partnership (PPP) structures through which G.O.D.S delivers institutional services to governments. This includes the South African Digital Infrastructure SPV, regional expansion SPV structures, and government service agreement management across all operating jurisdictions.</w:t>
      </w:r>
    </w:p>
    <w:p w14:paraId="768D5B82" w14:textId="77777777" w:rsidR="009151BA" w:rsidRDefault="004439A8">
      <w:pPr>
        <w:spacing w:before="80" w:after="80"/>
        <w:jc w:val="both"/>
      </w:pPr>
      <w:r>
        <w:rPr>
          <w:color w:val="2C2C3E"/>
        </w:rPr>
        <w:t>The PPP capital structure is designed with several non-negotiable provisions: majority government equity control in all SPV structures (minimum 51%); PFMA/equivalent national financial compliance in all jurisdictions; independent auditing of all SPV financials; ring-fencing of SPV liabilities from G.O.D.S Holdings; and defined exit provisions for both parties.</w:t>
      </w:r>
    </w:p>
    <w:p w14:paraId="27FC9359" w14:textId="77777777" w:rsidR="009151BA" w:rsidRDefault="004439A8">
      <w:pPr>
        <w:spacing w:before="80" w:after="80"/>
        <w:jc w:val="both"/>
      </w:pPr>
      <w:r>
        <w:rPr>
          <w:color w:val="2C2C3E"/>
        </w:rPr>
        <w:t>These provisions are not altruistic concessions — they are commercial necessities. Government partners will not enter structures where their sovereignty is at risk. The reputational damage of a single sovereignty violation would be fatal to G.O.D.S's long-term government partnership model.</w:t>
      </w:r>
    </w:p>
    <w:p w14:paraId="1FAD8065" w14:textId="77777777" w:rsidR="009151BA" w:rsidRDefault="004439A8">
      <w:pPr>
        <w:spacing w:before="320" w:after="120"/>
      </w:pPr>
      <w:r>
        <w:rPr>
          <w:rFonts w:ascii="Georgia" w:eastAsia="Georgia" w:hAnsi="Georgia" w:cs="Georgia"/>
          <w:b/>
          <w:bCs/>
          <w:color w:val="0D2B55"/>
          <w:sz w:val="28"/>
          <w:szCs w:val="28"/>
        </w:rPr>
        <w:t>13.3 The M.A.D.I.B.A Capital Structure</w:t>
      </w:r>
    </w:p>
    <w:p w14:paraId="5E236BF8" w14:textId="77777777" w:rsidR="009151BA" w:rsidRDefault="004439A8">
      <w:pPr>
        <w:spacing w:before="80" w:after="80"/>
        <w:jc w:val="both"/>
      </w:pPr>
      <w:r>
        <w:rPr>
          <w:color w:val="2C2C3E"/>
        </w:rPr>
        <w:t>M.A.D.I.B.A operates as a separate GP-managed fund vehicle alongside its advisory and implementation functions. The fund structure provides:</w:t>
      </w:r>
    </w:p>
    <w:p w14:paraId="0FF1FBAA" w14:textId="77777777" w:rsidR="009151BA" w:rsidRDefault="004439A8">
      <w:pPr>
        <w:pStyle w:val="ListParagraph"/>
        <w:numPr>
          <w:ilvl w:val="0"/>
          <w:numId w:val="2"/>
        </w:numPr>
        <w:spacing w:before="60" w:after="60"/>
      </w:pPr>
      <w:r>
        <w:rPr>
          <w:color w:val="2C2C3E"/>
        </w:rPr>
        <w:t>Management fees: 2% annual fee on committed capital, providing operational revenue independent of fund performance.</w:t>
      </w:r>
    </w:p>
    <w:p w14:paraId="515051D1" w14:textId="77777777" w:rsidR="009151BA" w:rsidRDefault="004439A8">
      <w:pPr>
        <w:pStyle w:val="ListParagraph"/>
        <w:numPr>
          <w:ilvl w:val="0"/>
          <w:numId w:val="2"/>
        </w:numPr>
        <w:spacing w:before="60" w:after="60"/>
      </w:pPr>
      <w:r>
        <w:rPr>
          <w:color w:val="2C2C3E"/>
        </w:rPr>
        <w:t>Carried interest: 20% carry on profits above an 8% hurdle rate — standard private equity economics applied to Africa-focused infrastructure and human capital investment.</w:t>
      </w:r>
    </w:p>
    <w:p w14:paraId="115FAD73" w14:textId="77777777" w:rsidR="009151BA" w:rsidRDefault="004439A8">
      <w:pPr>
        <w:pStyle w:val="ListParagraph"/>
        <w:numPr>
          <w:ilvl w:val="0"/>
          <w:numId w:val="2"/>
        </w:numPr>
        <w:spacing w:before="60" w:after="60"/>
      </w:pPr>
      <w:r>
        <w:rPr>
          <w:color w:val="2C2C3E"/>
        </w:rPr>
        <w:t>Co-investment rights: G.O.D.S commercial divisions have right of first offer on investments aligned with divisional strategy.</w:t>
      </w:r>
    </w:p>
    <w:p w14:paraId="1E8DC52F" w14:textId="77777777" w:rsidR="009151BA" w:rsidRDefault="004439A8">
      <w:pPr>
        <w:spacing w:before="80" w:after="80"/>
        <w:jc w:val="both"/>
      </w:pPr>
      <w:r>
        <w:rPr>
          <w:color w:val="2C2C3E"/>
        </w:rPr>
        <w:t>Target sectors for M.A.D.I.B.A capital deployment include: infrastructure development (transport, energy, communications); supply chain and logistics optimization; energy transition (renewable energy, grid stabilization, off-grid solutions); digital public infrastructure; and agro-industrial expansion (the agricultural production and processing sector represents one of the highest-impact employment generation opportunities in Africa).</w:t>
      </w:r>
    </w:p>
    <w:p w14:paraId="3FD25C96" w14:textId="77777777" w:rsidR="009151BA" w:rsidRDefault="004439A8">
      <w:r>
        <w:br w:type="page"/>
      </w:r>
    </w:p>
    <w:p w14:paraId="0436CF65"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14: UDOC — UNIFIED DIGITAL OVERSIGHT &amp; COORDINATION</w:t>
      </w:r>
    </w:p>
    <w:p w14:paraId="45BF148E" w14:textId="77777777" w:rsidR="009151BA" w:rsidRDefault="004439A8">
      <w:pPr>
        <w:spacing w:before="320" w:after="120"/>
      </w:pPr>
      <w:r>
        <w:rPr>
          <w:rFonts w:ascii="Georgia" w:eastAsia="Georgia" w:hAnsi="Georgia" w:cs="Georgia"/>
          <w:b/>
          <w:bCs/>
          <w:color w:val="0D2B55"/>
          <w:sz w:val="28"/>
          <w:szCs w:val="28"/>
        </w:rPr>
        <w:t>14.1 What UDOC Is</w:t>
      </w:r>
    </w:p>
    <w:p w14:paraId="4E8474A3" w14:textId="77777777" w:rsidR="009151BA" w:rsidRDefault="004439A8">
      <w:pPr>
        <w:spacing w:before="80" w:after="80"/>
        <w:jc w:val="both"/>
      </w:pPr>
      <w:r>
        <w:rPr>
          <w:color w:val="2C2C3E"/>
        </w:rPr>
        <w:t>UDOC — Unified Digital Oversight &amp; Coordination — is the governance and technology infrastructure division of G.O.D.S. It serves two distinct but integrated functions: as an enterprise AI governance platform (providing regulated industries with the compliance, audit, and risk management infrastructure required by emerging AI regulation); and as a national digital backbone (providing sovereign governments with transparent, auditable, cryptographically secure administrative and governance systems).</w:t>
      </w:r>
    </w:p>
    <w:p w14:paraId="4A7B5E04" w14:textId="77777777" w:rsidR="009151BA" w:rsidRDefault="004439A8">
      <w:pPr>
        <w:spacing w:before="80" w:after="80"/>
        <w:jc w:val="both"/>
      </w:pPr>
      <w:r>
        <w:rPr>
          <w:color w:val="2C2C3E"/>
        </w:rPr>
        <w:t>UDOC is the financial anchor of the G.O.D.S commercial architecture. It is designed to generate predictable, high-margin, recurring revenue through enterprise SaaS contracts and government licensing agreements — providing the capital stability that allows G.O.D.S to fund its longer-horizon, lower-margin human development investments.</w:t>
      </w:r>
    </w:p>
    <w:p w14:paraId="79D2A042" w14:textId="77777777" w:rsidR="009151BA" w:rsidRDefault="004439A8">
      <w:pPr>
        <w:spacing w:before="320" w:after="120"/>
      </w:pPr>
      <w:r>
        <w:rPr>
          <w:rFonts w:ascii="Georgia" w:eastAsia="Georgia" w:hAnsi="Georgia" w:cs="Georgia"/>
          <w:b/>
          <w:bCs/>
          <w:color w:val="0D2B55"/>
          <w:sz w:val="28"/>
          <w:szCs w:val="28"/>
        </w:rPr>
        <w:t>14.2 The Enterprise AI Governance Platform</w:t>
      </w:r>
    </w:p>
    <w:p w14:paraId="205AF7E5" w14:textId="77777777" w:rsidR="009151BA" w:rsidRDefault="004439A8">
      <w:pPr>
        <w:spacing w:before="80" w:after="80"/>
        <w:jc w:val="both"/>
      </w:pPr>
      <w:r>
        <w:rPr>
          <w:color w:val="2C2C3E"/>
        </w:rPr>
        <w:t>AI deployment is accelerating across regulated sectors globally. Financial institutions, healthcare networks, energy providers, and multinationals are deploying AI systems that make consequential decisions about individuals — credit assessment, medical triage, pricing, employment screening — in regulatory environments that are drafting governance requirements without implementation frameworks.</w:t>
      </w:r>
    </w:p>
    <w:p w14:paraId="5CE4BFAA" w14:textId="77777777" w:rsidR="009151BA" w:rsidRDefault="004439A8">
      <w:pPr>
        <w:spacing w:before="80" w:after="80"/>
        <w:jc w:val="both"/>
      </w:pPr>
      <w:r>
        <w:rPr>
          <w:color w:val="2C2C3E"/>
        </w:rPr>
        <w:t>The gap between regulatory intent and enterprise implementation capability is UDOC's core commercial opportunity. Enterprises need a platform that provides: AI system registry (a comprehensive record of all AI systems deployed within an organization, their function, training data provenance, and decision logic); risk tier classification (assignment of risk levels to AI systems based on regulatory frameworks such as the EU AI Act and emerging OECD guidelines); workforce impact modeling (assessment of the displacement impact of AI deployment on existing workforces, required for compliance with emerging AI labor standards); compliance reporting export (automated generation of the audit reports and compliance documentation required by regulators); and audit trail and documentation (a cryptographically verifiable record of all AI system decisions, modifications, and governance reviews).</w:t>
      </w:r>
    </w:p>
    <w:p w14:paraId="4E99D4CB" w14:textId="77777777" w:rsidR="009151BA" w:rsidRDefault="004439A8">
      <w:pPr>
        <w:spacing w:before="240" w:after="80"/>
      </w:pPr>
      <w:r>
        <w:rPr>
          <w:b/>
          <w:bCs/>
          <w:color w:val="BF9B30"/>
          <w:sz w:val="24"/>
          <w:szCs w:val="24"/>
        </w:rPr>
        <w:t>14.2.1 Target Clients and Revenue Model</w:t>
      </w:r>
    </w:p>
    <w:p w14:paraId="7E854922" w14:textId="77777777" w:rsidR="009151BA" w:rsidRDefault="004439A8">
      <w:pPr>
        <w:spacing w:before="80" w:after="80"/>
        <w:jc w:val="both"/>
      </w:pPr>
      <w:r>
        <w:rPr>
          <w:color w:val="2C2C3E"/>
        </w:rPr>
        <w:t>UDOC's enterprise platform targets organizations in regulated sectors deploying AI at scale: financial institutions (banks, insurance companies, asset managers); healthcare networks (hospitals, health systems, pharmaceutical companies); energy providers (utilities, renewable energy operators, grid managers); multinational corporations deploying AI in HR, procurement, and operations functions; and government departments deploying AI in public service delivery.</w:t>
      </w:r>
    </w:p>
    <w:p w14:paraId="5A5391F0" w14:textId="77777777" w:rsidR="009151BA" w:rsidRDefault="004439A8">
      <w:pPr>
        <w:spacing w:before="80" w:after="80"/>
        <w:jc w:val="both"/>
      </w:pPr>
      <w:r>
        <w:rPr>
          <w:color w:val="2C2C3E"/>
        </w:rPr>
        <w:t>The revenue model is subscription-based enterprise SaaS with an average contract value of $250,000 to $500,000 annually. Gross margin targets are 75–85%, consistent with enterprise software at scale. The valuation multiple for compliance infrastructure SaaS is typically 8–12x revenue — creating significant equity value as the recurring revenue base grows.</w:t>
      </w:r>
    </w:p>
    <w:p w14:paraId="5312964D" w14:textId="77777777" w:rsidR="009151BA" w:rsidRDefault="004439A8">
      <w:pPr>
        <w:spacing w:before="320" w:after="120"/>
      </w:pPr>
      <w:r>
        <w:rPr>
          <w:rFonts w:ascii="Georgia" w:eastAsia="Georgia" w:hAnsi="Georgia" w:cs="Georgia"/>
          <w:b/>
          <w:bCs/>
          <w:color w:val="0D2B55"/>
          <w:sz w:val="28"/>
          <w:szCs w:val="28"/>
        </w:rPr>
        <w:t>14.3 The National Digital Backbone</w:t>
      </w:r>
    </w:p>
    <w:p w14:paraId="0B1CFA51" w14:textId="77777777" w:rsidR="009151BA" w:rsidRDefault="004439A8">
      <w:pPr>
        <w:spacing w:before="80" w:after="80"/>
        <w:jc w:val="both"/>
      </w:pPr>
      <w:r>
        <w:rPr>
          <w:color w:val="2C2C3E"/>
        </w:rPr>
        <w:t xml:space="preserve">Beyond enterprise clients, UDOC serves a second, strategically significant market: national governments seeking to build sovereign digital infrastructure. This market is particularly relevant in African and emerging </w:t>
      </w:r>
      <w:r>
        <w:rPr>
          <w:color w:val="2C2C3E"/>
        </w:rPr>
        <w:lastRenderedPageBreak/>
        <w:t>market contexts, where the digital governance infrastructure required for effective modern administration — procurement transparency, tax collection, social service delivery, regulatory compliance, and identity management — is substantially underdeveloped.</w:t>
      </w:r>
    </w:p>
    <w:p w14:paraId="71BBAFF1" w14:textId="77777777" w:rsidR="009151BA" w:rsidRDefault="004439A8">
      <w:pPr>
        <w:spacing w:before="80" w:after="80"/>
        <w:jc w:val="both"/>
      </w:pPr>
      <w:r>
        <w:rPr>
          <w:color w:val="2C2C3E"/>
        </w:rPr>
        <w:t>UDOC's national digital backbone offering includes: government procurement transparency dashboards with real-time public access; cryptographic contract verification systems that make procurement manipulation structurally harder; public expenditure traceability ledgers enabling citizen oversight; national AI regulatory infrastructure supporting domestic AI governance capacity; secure data sovereignty architecture ensuring citizen data remains under national custody; and algorithmic transparency registries documenting the AI systems used in public service delivery.</w:t>
      </w:r>
    </w:p>
    <w:p w14:paraId="4859AB6F" w14:textId="77777777" w:rsidR="009151BA" w:rsidRDefault="004439A8">
      <w:pPr>
        <w:spacing w:before="240" w:after="80"/>
      </w:pPr>
      <w:r>
        <w:rPr>
          <w:b/>
          <w:bCs/>
          <w:color w:val="BF9B30"/>
          <w:sz w:val="24"/>
          <w:szCs w:val="24"/>
        </w:rPr>
        <w:t>14.3.1 The UDOC Quantum-Ready Architecture</w:t>
      </w:r>
    </w:p>
    <w:p w14:paraId="331296F8" w14:textId="77777777" w:rsidR="009151BA" w:rsidRDefault="004439A8">
      <w:pPr>
        <w:spacing w:before="80" w:after="80"/>
        <w:jc w:val="both"/>
      </w:pPr>
      <w:r>
        <w:rPr>
          <w:color w:val="2C2C3E"/>
        </w:rPr>
        <w:t>UDOC is designed as quantum-ready infrastructure — built to maintain cryptographic integrity in a post-quantum computing environment. The quantum computing challenge to existing encryption infrastructure is not hypothetical. Quantum computers capable of breaking current RSA and elliptic curve encryption are projected by credible technical forecasters within the 2030–2035 timeframe.</w:t>
      </w:r>
    </w:p>
    <w:p w14:paraId="6B36732B" w14:textId="77777777" w:rsidR="009151BA" w:rsidRDefault="004439A8">
      <w:pPr>
        <w:spacing w:before="80" w:after="80"/>
        <w:jc w:val="both"/>
      </w:pPr>
      <w:r>
        <w:rPr>
          <w:color w:val="2C2C3E"/>
        </w:rPr>
        <w:t>Governments and enterprises that rely on current cryptographic infrastructure for their sensitive data, financial systems, and national security assets face a transition requirement that most are not adequately prepared for. UDOC's quantum-ready architecture provides: post-quantum cryptographic standards (NIST PQC-compliant algorithms) integrated from inception; quantum key distribution (QKD) readiness architecture; backward compatibility with classical computing environments; disaster and continuity frameworks that maintain cryptographic sovereignty under adversarial conditions; and defined transition pathways for government and enterprise clients moving from classical to quantum-resistant infrastructure.</w:t>
      </w:r>
    </w:p>
    <w:p w14:paraId="22ED38FA" w14:textId="77777777" w:rsidR="009151BA" w:rsidRDefault="004439A8">
      <w:pPr>
        <w:spacing w:before="80" w:after="80"/>
        <w:jc w:val="both"/>
      </w:pPr>
      <w:r>
        <w:rPr>
          <w:color w:val="2C2C3E"/>
        </w:rPr>
        <w:t>Quantum-ready positioning is a significant differentiator for UDOC in both government and enterprise markets. Clients who adopt UDOC today do not face a disruptive migration when quantum computing capabilities become adversarially relevant. The transition cost is embedded in the initial architecture rather than added at crisis point.</w:t>
      </w:r>
    </w:p>
    <w:p w14:paraId="01AF8825" w14:textId="77777777" w:rsidR="009151BA" w:rsidRDefault="004439A8">
      <w:pPr>
        <w:spacing w:before="320" w:after="120"/>
      </w:pPr>
      <w:r>
        <w:rPr>
          <w:rFonts w:ascii="Georgia" w:eastAsia="Georgia" w:hAnsi="Georgia" w:cs="Georgia"/>
          <w:b/>
          <w:bCs/>
          <w:color w:val="0D2B55"/>
          <w:sz w:val="28"/>
          <w:szCs w:val="28"/>
        </w:rPr>
        <w:t>14.4 UDOC Data Architecture &amp; Sovereignty Model</w:t>
      </w:r>
    </w:p>
    <w:p w14:paraId="4606A532" w14:textId="77777777" w:rsidR="009151BA" w:rsidRDefault="004439A8">
      <w:pPr>
        <w:spacing w:before="80" w:after="80"/>
        <w:jc w:val="both"/>
      </w:pPr>
      <w:r>
        <w:rPr>
          <w:color w:val="2C2C3E"/>
        </w:rPr>
        <w:t>UDOC operates on a data sovereignty principle that is architecturally embedded, not aspirationally stated. Every UDOC deployment is designed so that data generated within a national jurisdiction remains under the legal and operational custody of that jurisdiction's competent authority. UDOC does not aggregate data across jurisdictions without explicit agreement. UDOC does not retain indefinite access to client or government data after contract termination. Data deletion and portability are standard contract provisions.</w:t>
      </w:r>
    </w:p>
    <w:p w14:paraId="07FC3A06" w14:textId="77777777" w:rsidR="009151BA" w:rsidRDefault="004439A8">
      <w:pPr>
        <w:spacing w:before="80" w:after="80"/>
        <w:jc w:val="both"/>
      </w:pPr>
      <w:r>
        <w:rPr>
          <w:color w:val="2C2C3E"/>
        </w:rPr>
        <w:t>The data tier model separates: sovereign data (held exclusively under national custody, inaccessible to G.O.D.S without explicit authorization); institutional data (held in encrypted form by the client organization, accessible to UDOC only for specified service delivery functions); operational metadata (held by UDOC for system performance and security monitoring, stripped of personally identifiable information); and aggregated insights (derived analytical outputs available to UDOC for product improvement and market intelligence, generated only from consented data sources).</w:t>
      </w:r>
    </w:p>
    <w:p w14:paraId="724AADE7" w14:textId="77777777" w:rsidR="009151BA" w:rsidRDefault="004439A8">
      <w:pPr>
        <w:spacing w:before="80" w:after="80"/>
        <w:jc w:val="both"/>
      </w:pPr>
      <w:r>
        <w:rPr>
          <w:color w:val="2C2C3E"/>
        </w:rPr>
        <w:t>These data architecture provisions address the most significant political and regulatory risk facing any technology company operating in government data environments. Data sovereignty violations end government partnerships and trigger regulatory action. UDOC's architecture makes such violations structurally difficult rather than merely prohibited.</w:t>
      </w:r>
    </w:p>
    <w:p w14:paraId="35FE59D3" w14:textId="77777777" w:rsidR="009151BA" w:rsidRDefault="004439A8">
      <w:r>
        <w:br w:type="page"/>
      </w:r>
    </w:p>
    <w:p w14:paraId="79C8C47F"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15: THE TECHNOLOGICAL SECTOR (T.S) — THE PRODUCTION LAYER</w:t>
      </w:r>
    </w:p>
    <w:p w14:paraId="26273BF7" w14:textId="77777777" w:rsidR="009151BA" w:rsidRDefault="004439A8">
      <w:pPr>
        <w:spacing w:before="320" w:after="120"/>
      </w:pPr>
      <w:r>
        <w:rPr>
          <w:rFonts w:ascii="Georgia" w:eastAsia="Georgia" w:hAnsi="Georgia" w:cs="Georgia"/>
          <w:b/>
          <w:bCs/>
          <w:color w:val="0D2B55"/>
          <w:sz w:val="28"/>
          <w:szCs w:val="28"/>
        </w:rPr>
        <w:t>15.1 The Function of the Technological Sector</w:t>
      </w:r>
    </w:p>
    <w:p w14:paraId="4A344813" w14:textId="77777777" w:rsidR="009151BA" w:rsidRDefault="004439A8">
      <w:pPr>
        <w:spacing w:before="80" w:after="80"/>
        <w:jc w:val="both"/>
      </w:pPr>
      <w:r>
        <w:rPr>
          <w:color w:val="2C2C3E"/>
        </w:rPr>
        <w:t>The Technological Sector is where vision becomes measurable output. It is the production layer of G.O.D.S — the division responsible for physical and digital infrastructure delivery, advanced manufacturing, energy systems, mobility solutions, housing technology, and resource allocation optimization.</w:t>
      </w:r>
    </w:p>
    <w:p w14:paraId="52BDD678" w14:textId="77777777" w:rsidR="009151BA" w:rsidRDefault="004439A8">
      <w:pPr>
        <w:spacing w:before="80" w:after="80"/>
        <w:jc w:val="both"/>
      </w:pPr>
      <w:r>
        <w:rPr>
          <w:color w:val="2C2C3E"/>
        </w:rPr>
        <w:t>The T.S serves a dual function within the G.O.D.S architecture: as a direct revenue generator through infrastructure contracts, manufacturing operations, and technology licensing; and as the primary employment destination for S.E.T.H.S-placed participants. It is the factory floor of the human capital system.</w:t>
      </w:r>
    </w:p>
    <w:p w14:paraId="57D9A411" w14:textId="77777777" w:rsidR="009151BA" w:rsidRDefault="004439A8">
      <w:pPr>
        <w:spacing w:before="320" w:after="120"/>
      </w:pPr>
      <w:r>
        <w:rPr>
          <w:rFonts w:ascii="Georgia" w:eastAsia="Georgia" w:hAnsi="Georgia" w:cs="Georgia"/>
          <w:b/>
          <w:bCs/>
          <w:color w:val="0D2B55"/>
          <w:sz w:val="28"/>
          <w:szCs w:val="28"/>
        </w:rPr>
        <w:t>15.2 Core Operating Domains</w:t>
      </w:r>
    </w:p>
    <w:p w14:paraId="5377FE49" w14:textId="77777777" w:rsidR="009151BA" w:rsidRDefault="004439A8">
      <w:pPr>
        <w:spacing w:before="240" w:after="80"/>
      </w:pPr>
      <w:r>
        <w:rPr>
          <w:b/>
          <w:bCs/>
          <w:color w:val="BF9B30"/>
          <w:sz w:val="24"/>
          <w:szCs w:val="24"/>
        </w:rPr>
        <w:t>15.2.1 Energy Systems</w:t>
      </w:r>
    </w:p>
    <w:p w14:paraId="3D6315C1" w14:textId="77777777" w:rsidR="009151BA" w:rsidRDefault="004439A8">
      <w:pPr>
        <w:spacing w:before="80" w:after="80"/>
        <w:jc w:val="both"/>
      </w:pPr>
      <w:r>
        <w:rPr>
          <w:color w:val="2C2C3E"/>
        </w:rPr>
        <w:t>Energy unreliability is one of the most significant constraints on economic development in African markets. South Africa's chronic electricity supply challenges, replicated in varying degrees across the continent, represent both a problem to solve and a commercial opportunity at scale.</w:t>
      </w:r>
    </w:p>
    <w:p w14:paraId="1D4661C9" w14:textId="77777777" w:rsidR="009151BA" w:rsidRDefault="004439A8">
      <w:pPr>
        <w:spacing w:before="80" w:after="80"/>
        <w:jc w:val="both"/>
      </w:pPr>
      <w:r>
        <w:rPr>
          <w:color w:val="2C2C3E"/>
        </w:rPr>
        <w:t>The T.S energy domain focuses on distributed renewable energy systems (solar generation, battery storage, micro-grid architecture), energy optimization software for industrial and commercial consumers, and off-grid solution deployment for underserved communities and municipalities.</w:t>
      </w:r>
    </w:p>
    <w:p w14:paraId="3022193D" w14:textId="77777777" w:rsidR="009151BA" w:rsidRDefault="004439A8">
      <w:pPr>
        <w:spacing w:before="240" w:after="80"/>
      </w:pPr>
      <w:r>
        <w:rPr>
          <w:b/>
          <w:bCs/>
          <w:color w:val="BF9B30"/>
          <w:sz w:val="24"/>
          <w:szCs w:val="24"/>
        </w:rPr>
        <w:t>15.2.2 Housing Technology</w:t>
      </w:r>
    </w:p>
    <w:p w14:paraId="272EFBFF" w14:textId="77777777" w:rsidR="009151BA" w:rsidRDefault="004439A8">
      <w:pPr>
        <w:spacing w:before="80" w:after="80"/>
        <w:jc w:val="both"/>
      </w:pPr>
      <w:r>
        <w:rPr>
          <w:color w:val="2C2C3E"/>
        </w:rPr>
        <w:t>The housing deficit in South Africa and across sub-Saharan Africa represents one of the most tractable and commercially significant infrastructure challenges. The T.S housing technology domain focuses on modular and prefabricated construction systems (enabling rapid, cost-effective formal housing delivery), construction materials innovation (including locally sourced and produced materials reducing import dependency), and smart home integration (providing security, energy management, and connectivity in affordable housing contexts).</w:t>
      </w:r>
    </w:p>
    <w:p w14:paraId="50864060" w14:textId="77777777" w:rsidR="009151BA" w:rsidRDefault="004439A8">
      <w:pPr>
        <w:spacing w:before="240" w:after="80"/>
      </w:pPr>
      <w:r>
        <w:rPr>
          <w:b/>
          <w:bCs/>
          <w:color w:val="BF9B30"/>
          <w:sz w:val="24"/>
          <w:szCs w:val="24"/>
        </w:rPr>
        <w:t>15.2.3 Logistics &amp; Supply Chain Optimization</w:t>
      </w:r>
    </w:p>
    <w:p w14:paraId="49607B71" w14:textId="77777777" w:rsidR="009151BA" w:rsidRDefault="004439A8">
      <w:pPr>
        <w:spacing w:before="80" w:after="80"/>
        <w:jc w:val="both"/>
      </w:pPr>
      <w:r>
        <w:rPr>
          <w:color w:val="2C2C3E"/>
        </w:rPr>
        <w:t>Logistics inefficiency — the cost of moving goods, information, and services — is a structural tax on African economic activity. The T.S logistics domain deploys AI-assisted supply chain optimization software, last-mile delivery systems leveraging rehabilitated S.E.T.H.S participants as logistics workforce, and route optimization and fleet management technology for public and private transport operators.</w:t>
      </w:r>
    </w:p>
    <w:p w14:paraId="156C6C5B" w14:textId="77777777" w:rsidR="009151BA" w:rsidRDefault="004439A8">
      <w:pPr>
        <w:spacing w:before="240" w:after="80"/>
      </w:pPr>
      <w:r>
        <w:rPr>
          <w:b/>
          <w:bCs/>
          <w:color w:val="BF9B30"/>
          <w:sz w:val="24"/>
          <w:szCs w:val="24"/>
        </w:rPr>
        <w:t>15.2.4 Agricultural Technology</w:t>
      </w:r>
    </w:p>
    <w:p w14:paraId="7B858B6A" w14:textId="77777777" w:rsidR="009151BA" w:rsidRDefault="004439A8">
      <w:pPr>
        <w:spacing w:before="80" w:after="80"/>
        <w:jc w:val="both"/>
      </w:pPr>
      <w:r>
        <w:rPr>
          <w:color w:val="2C2C3E"/>
        </w:rPr>
        <w:t>Agricultural production and processing represents the largest potential employment generator in Africa — and the sector most directly connected to food security, rural economic stability, and climate adaptation. The T.S agricultural technology domain focuses on precision agriculture systems (reducing input costs and improving yield predictability), agro-processing technology (enabling value addition at origin rather than export of raw commodities), and cold chain and storage infrastructure (reducing post-harvest loss, one of the most significant drivers of food insecurity).</w:t>
      </w:r>
    </w:p>
    <w:p w14:paraId="4D424FBA" w14:textId="77777777" w:rsidR="009151BA" w:rsidRDefault="004439A8">
      <w:pPr>
        <w:spacing w:before="240" w:after="80"/>
      </w:pPr>
      <w:r>
        <w:rPr>
          <w:b/>
          <w:bCs/>
          <w:color w:val="BF9B30"/>
          <w:sz w:val="24"/>
          <w:szCs w:val="24"/>
        </w:rPr>
        <w:lastRenderedPageBreak/>
        <w:t>15.2.5 Water &amp; Resource Management</w:t>
      </w:r>
    </w:p>
    <w:p w14:paraId="03F973E8" w14:textId="77777777" w:rsidR="009151BA" w:rsidRDefault="004439A8">
      <w:pPr>
        <w:spacing w:before="80" w:after="80"/>
        <w:jc w:val="both"/>
      </w:pPr>
      <w:r>
        <w:rPr>
          <w:color w:val="2C2C3E"/>
        </w:rPr>
        <w:t>Water scarcity and resource management failure are structural risks to human stability across multiple African geographies. The T.S resource management domain deploys water efficiency monitoring systems for municipalities and industrial users, smart metering technology for water and electricity consumption, and AI-assisted resource allocation modeling for municipal and national planning bodies.</w:t>
      </w:r>
    </w:p>
    <w:p w14:paraId="13E03CE3" w14:textId="77777777" w:rsidR="009151BA" w:rsidRDefault="004439A8">
      <w:pPr>
        <w:spacing w:before="320" w:after="120"/>
      </w:pPr>
      <w:r>
        <w:rPr>
          <w:rFonts w:ascii="Georgia" w:eastAsia="Georgia" w:hAnsi="Georgia" w:cs="Georgia"/>
          <w:b/>
          <w:bCs/>
          <w:color w:val="0D2B55"/>
          <w:sz w:val="28"/>
          <w:szCs w:val="28"/>
        </w:rPr>
        <w:t>15.3 The T.S Employment Integration Model</w:t>
      </w:r>
    </w:p>
    <w:p w14:paraId="1C8C8D62" w14:textId="77777777" w:rsidR="009151BA" w:rsidRDefault="004439A8">
      <w:pPr>
        <w:spacing w:before="80" w:after="80"/>
        <w:jc w:val="both"/>
      </w:pPr>
      <w:r>
        <w:rPr>
          <w:color w:val="2C2C3E"/>
        </w:rPr>
        <w:t>The T.S is specifically designed to absorb S.E.T.H.S-placed participants as its operational workforce. This integration creates the closed-loop human capital system that distinguishes G.O.D.S from all comparable institutional models.</w:t>
      </w:r>
    </w:p>
    <w:p w14:paraId="5718B5ED" w14:textId="77777777" w:rsidR="009151BA" w:rsidRDefault="004439A8">
      <w:pPr>
        <w:spacing w:before="80" w:after="80"/>
        <w:jc w:val="both"/>
      </w:pPr>
      <w:r>
        <w:rPr>
          <w:color w:val="2C2C3E"/>
        </w:rPr>
        <w:t>S.E.T.H.S identifies and certifies human capital. The T.S deploys that capital in structured, measurable production environments. UDOC monitors performance and compliance. M.A.D.I.B.A funds the infrastructure and facilitates the government partnerships that provide scale. The four divisions together create a system in which excluded human capital enters a structured pipeline and emerges as measured productive contribution — generating commercial returns, reducing social costs, and building institutional evidence of efficacy simultaneously.</w:t>
      </w:r>
    </w:p>
    <w:p w14:paraId="6A083051" w14:textId="77777777" w:rsidR="009151BA" w:rsidRDefault="004439A8">
      <w:r>
        <w:br w:type="page"/>
      </w:r>
    </w:p>
    <w:p w14:paraId="573290DB" w14:textId="77777777" w:rsidR="009151BA" w:rsidRDefault="009151BA">
      <w:pPr>
        <w:spacing w:before="720"/>
      </w:pPr>
    </w:p>
    <w:p w14:paraId="49EBFDF2" w14:textId="77777777" w:rsidR="009151BA" w:rsidRDefault="009151BA">
      <w:pPr>
        <w:pBdr>
          <w:bottom w:val="single" w:sz="6" w:space="1" w:color="C9A84C"/>
        </w:pBdr>
        <w:spacing w:before="240" w:after="240"/>
      </w:pPr>
    </w:p>
    <w:p w14:paraId="7D7A0553" w14:textId="77777777" w:rsidR="009151BA" w:rsidRDefault="004439A8">
      <w:pPr>
        <w:spacing w:before="960" w:after="120"/>
        <w:jc w:val="center"/>
      </w:pPr>
      <w:r>
        <w:rPr>
          <w:rFonts w:ascii="Georgia" w:eastAsia="Georgia" w:hAnsi="Georgia" w:cs="Georgia"/>
          <w:b/>
          <w:bCs/>
          <w:color w:val="BF9B30"/>
          <w:sz w:val="64"/>
          <w:szCs w:val="64"/>
        </w:rPr>
        <w:t>VOLUME III</w:t>
      </w:r>
    </w:p>
    <w:p w14:paraId="4D2B4E3E" w14:textId="77777777" w:rsidR="009151BA" w:rsidRDefault="004439A8">
      <w:pPr>
        <w:spacing w:before="120" w:after="480"/>
        <w:jc w:val="center"/>
      </w:pPr>
      <w:r>
        <w:rPr>
          <w:b/>
          <w:bCs/>
          <w:color w:val="0D2B55"/>
          <w:sz w:val="28"/>
          <w:szCs w:val="28"/>
        </w:rPr>
        <w:t>THE ECONOMIC MODEL</w:t>
      </w:r>
    </w:p>
    <w:p w14:paraId="11657B91" w14:textId="77777777" w:rsidR="009151BA" w:rsidRDefault="004439A8">
      <w:r>
        <w:br w:type="page"/>
      </w:r>
    </w:p>
    <w:p w14:paraId="7D421162" w14:textId="77777777" w:rsidR="009151BA" w:rsidRDefault="009151BA">
      <w:pPr>
        <w:pBdr>
          <w:bottom w:val="single" w:sz="6" w:space="1" w:color="C9A84C"/>
        </w:pBdr>
        <w:spacing w:before="240" w:after="240"/>
      </w:pPr>
    </w:p>
    <w:p w14:paraId="6AA1E724" w14:textId="77777777" w:rsidR="009151BA" w:rsidRDefault="004439A8">
      <w:pPr>
        <w:shd w:val="clear" w:color="auto" w:fill="0D2B55"/>
        <w:spacing w:before="720" w:after="240"/>
        <w:jc w:val="center"/>
      </w:pPr>
      <w:r>
        <w:rPr>
          <w:rFonts w:ascii="Georgia" w:eastAsia="Georgia" w:hAnsi="Georgia" w:cs="Georgia"/>
          <w:b/>
          <w:bCs/>
          <w:color w:val="FFFFFF"/>
          <w:sz w:val="40"/>
          <w:szCs w:val="40"/>
        </w:rPr>
        <w:t>PART IV — THE ECONOMIC MODEL</w:t>
      </w:r>
    </w:p>
    <w:p w14:paraId="602D4ABC" w14:textId="77777777" w:rsidR="009151BA" w:rsidRDefault="004439A8">
      <w:r>
        <w:br w:type="page"/>
      </w:r>
    </w:p>
    <w:p w14:paraId="4498F566"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16: THE EIGHT ECONOMIC DIVISIONS OF G.O.D.S TS HOLDINGS</w:t>
      </w:r>
    </w:p>
    <w:p w14:paraId="3B0B217F" w14:textId="77777777" w:rsidR="009151BA" w:rsidRDefault="004439A8">
      <w:pPr>
        <w:spacing w:before="320" w:after="120"/>
      </w:pPr>
      <w:r>
        <w:rPr>
          <w:rFonts w:ascii="Georgia" w:eastAsia="Georgia" w:hAnsi="Georgia" w:cs="Georgia"/>
          <w:b/>
          <w:bCs/>
          <w:color w:val="0D2B55"/>
          <w:sz w:val="28"/>
          <w:szCs w:val="28"/>
        </w:rPr>
        <w:t>16.1 The Economic Architecture Overview</w:t>
      </w:r>
    </w:p>
    <w:p w14:paraId="3510DE01" w14:textId="77777777" w:rsidR="009151BA" w:rsidRDefault="004439A8">
      <w:pPr>
        <w:spacing w:before="80" w:after="80"/>
        <w:jc w:val="both"/>
      </w:pPr>
      <w:r>
        <w:rPr>
          <w:color w:val="2C2C3E"/>
        </w:rPr>
        <w:t>G.O.D.S TS Holdings operates as an eight-division commercial conglomerate. Each division is a distinct revenue-generating entity with its own commercial model, market opportunity, and asset creation profile. Together, they form an integrated economic architecture in which the success of each division reinforces the others.</w:t>
      </w:r>
    </w:p>
    <w:p w14:paraId="6321902C" w14:textId="77777777" w:rsidR="009151BA" w:rsidRDefault="004439A8">
      <w:pPr>
        <w:spacing w:before="80" w:after="80"/>
        <w:jc w:val="both"/>
      </w:pPr>
      <w:r>
        <w:rPr>
          <w:color w:val="2C2C3E"/>
        </w:rPr>
        <w:t>The eight-division architecture is not accidental. It reflects the deliberate strategy of building multiple, non-correlated revenue streams that provide institutional financial resilience. When one sector faces headwinds — as all sectors will at some point in a 100-year planning horizon — others carry the institution forward. Diversification is not a hedge against ambition. It is the infrastructure of durability.</w:t>
      </w:r>
    </w:p>
    <w:p w14:paraId="19A4D096" w14:textId="77777777" w:rsidR="009151BA" w:rsidRDefault="004439A8">
      <w:pPr>
        <w:spacing w:before="320" w:after="120"/>
      </w:pPr>
      <w:r>
        <w:rPr>
          <w:rFonts w:ascii="Georgia" w:eastAsia="Georgia" w:hAnsi="Georgia" w:cs="Georgia"/>
          <w:b/>
          <w:bCs/>
          <w:color w:val="0D2B55"/>
          <w:sz w:val="28"/>
          <w:szCs w:val="28"/>
        </w:rPr>
        <w:t>DIVISION 1: BEHAVIORAL &amp; HUMAN SYSTEMS (S.E.T.H.S)</w:t>
      </w:r>
    </w:p>
    <w:p w14:paraId="62E2D3D8" w14:textId="77777777" w:rsidR="009151BA" w:rsidRDefault="004439A8">
      <w:pPr>
        <w:spacing w:before="80" w:after="80"/>
        <w:jc w:val="both"/>
      </w:pPr>
      <w:r>
        <w:rPr>
          <w:color w:val="2C2C3E"/>
        </w:rPr>
        <w:t>Division 1 is the human capital engine. Its commercial model is built around government contracts, corporate workforce programs, and data services. The primary asset created by this division is behavioral data and reintegration intellectual property — the documented methodology, certification frameworks, and outcome datasets that become increasingly valuable as the program scales and accumulates longitudinal evidence.</w:t>
      </w:r>
    </w:p>
    <w:p w14:paraId="32E5FF01" w14:textId="77777777" w:rsidR="009151BA" w:rsidRDefault="004439A8">
      <w:pPr>
        <w:spacing w:before="80" w:after="80"/>
        <w:jc w:val="both"/>
      </w:pPr>
      <w:r>
        <w:rPr>
          <w:color w:val="2C2C3E"/>
        </w:rPr>
        <w:t>Revenue Streams: Government rehabilitation contracts (multi-year, recurring, sovereign-backed); corporate workforce stabilization programs (enterprise contracts for AI displacement management); correctional reintegration programs (correctional services department agreements); behavioral monitoring SaaS (subscription-based employer tools); training and certification licensing (methodology licensing to third-party operators); data analytics and behavioral intelligence reporting (aggregated, anonymized insights sold to research, policy, and HR markets).</w:t>
      </w:r>
    </w:p>
    <w:p w14:paraId="3C7494AB" w14:textId="77777777" w:rsidR="009151BA" w:rsidRDefault="004439A8">
      <w:pPr>
        <w:spacing w:before="80" w:after="80"/>
        <w:jc w:val="both"/>
      </w:pPr>
      <w:r>
        <w:rPr>
          <w:color w:val="2C2C3E"/>
        </w:rPr>
        <w:t>Asset Created: The S.E.T.H.S methodology, assessment tools, and longitudinal outcome dataset. As the dataset grows — tracking thousands of participants over multiple years across multiple employment contexts — its value as a predictive and analytical resource compounds. This dataset is protected within the IP Trust and cannot be sold or transferred outside of G.O.D.S.</w:t>
      </w:r>
    </w:p>
    <w:p w14:paraId="5F782CA6" w14:textId="77777777" w:rsidR="009151BA" w:rsidRDefault="004439A8">
      <w:pPr>
        <w:spacing w:before="320" w:after="120"/>
      </w:pPr>
      <w:r>
        <w:rPr>
          <w:rFonts w:ascii="Georgia" w:eastAsia="Georgia" w:hAnsi="Georgia" w:cs="Georgia"/>
          <w:b/>
          <w:bCs/>
          <w:color w:val="0D2B55"/>
          <w:sz w:val="28"/>
          <w:szCs w:val="28"/>
        </w:rPr>
        <w:t>DIVISION 2: AI &amp; UDOC SYSTEMS</w:t>
      </w:r>
    </w:p>
    <w:p w14:paraId="2055D5EA" w14:textId="77777777" w:rsidR="009151BA" w:rsidRDefault="004439A8">
      <w:pPr>
        <w:spacing w:before="80" w:after="80"/>
        <w:jc w:val="both"/>
      </w:pPr>
      <w:r>
        <w:rPr>
          <w:color w:val="2C2C3E"/>
        </w:rPr>
        <w:t>Division 2 is the technology governance revenue engine. UDOC's enterprise AI governance platform and national digital backbone represent the highest-margin, most scalable commercial opportunity in the G.O.D.S portfolio.</w:t>
      </w:r>
    </w:p>
    <w:p w14:paraId="17FC4448" w14:textId="77777777" w:rsidR="009151BA" w:rsidRDefault="004439A8">
      <w:pPr>
        <w:spacing w:before="80" w:after="80"/>
        <w:jc w:val="both"/>
      </w:pPr>
      <w:r>
        <w:rPr>
          <w:color w:val="2C2C3E"/>
        </w:rPr>
        <w:t>Revenue Streams: Government transparency systems licensing (national and provincial government contracts for digital governance infrastructure); digital governance platform subscriptions (enterprise SaaS for AI compliance and audit management); compliance monitoring AI services (automated regulatory compliance tracking for regulated industries); institutional operational software licensing (administrative system licensing to government departments and large institutions); national data sovereignty system deployment (one-time implementation fees plus ongoing maintenance); and quantum-ready transition services (consulting and implementation for post-quantum cryptographic migration).</w:t>
      </w:r>
    </w:p>
    <w:p w14:paraId="43D44291" w14:textId="77777777" w:rsidR="009151BA" w:rsidRDefault="004439A8">
      <w:pPr>
        <w:spacing w:before="80" w:after="80"/>
        <w:jc w:val="both"/>
      </w:pPr>
      <w:r>
        <w:rPr>
          <w:color w:val="2C2C3E"/>
        </w:rPr>
        <w:lastRenderedPageBreak/>
        <w:t>Asset Created: Operational infrastructure intellectual property — the UDOC platform code, governance frameworks, compliance algorithms, and cryptographic architecture. This IP is registered, protected, and held in the G.O.D.S IP Trust. It is not for sale.</w:t>
      </w:r>
    </w:p>
    <w:p w14:paraId="410A884C" w14:textId="77777777" w:rsidR="009151BA" w:rsidRDefault="004439A8">
      <w:pPr>
        <w:spacing w:before="320" w:after="120"/>
      </w:pPr>
      <w:r>
        <w:rPr>
          <w:rFonts w:ascii="Georgia" w:eastAsia="Georgia" w:hAnsi="Georgia" w:cs="Georgia"/>
          <w:b/>
          <w:bCs/>
          <w:color w:val="0D2B55"/>
          <w:sz w:val="28"/>
          <w:szCs w:val="28"/>
        </w:rPr>
        <w:t>DIVISION 3: MEDIA &amp; NARRATIVE INFRASTRUCTURE</w:t>
      </w:r>
    </w:p>
    <w:p w14:paraId="4C1B9A5C" w14:textId="77777777" w:rsidR="009151BA" w:rsidRDefault="004439A8">
      <w:pPr>
        <w:spacing w:before="80" w:after="80"/>
        <w:jc w:val="both"/>
      </w:pPr>
      <w:r>
        <w:rPr>
          <w:color w:val="2C2C3E"/>
        </w:rPr>
        <w:t>Division 3 serves as the narrative amplification engine for the G.O.D.S ecosystem. Its commercial model generates direct revenue while simultaneously building the public profile and institutional credibility that accelerates adoption of G.O.D.S systems by governments, corporates, and communities.</w:t>
      </w:r>
    </w:p>
    <w:p w14:paraId="59FD9197" w14:textId="77777777" w:rsidR="009151BA" w:rsidRDefault="004439A8">
      <w:pPr>
        <w:spacing w:before="80" w:after="80"/>
        <w:jc w:val="both"/>
      </w:pPr>
      <w:r>
        <w:rPr>
          <w:color w:val="2C2C3E"/>
        </w:rPr>
        <w:t>The Media Division has its roots in the Founder's original concept of using Confessions of an Addict and the proposed Seth TV reality format as marketing vehicles. In the evolved G.O.D.S architecture, this has been formalized as a structured media and content business with multiple revenue channels.</w:t>
      </w:r>
    </w:p>
    <w:p w14:paraId="6FC72359" w14:textId="77777777" w:rsidR="009151BA" w:rsidRDefault="004439A8">
      <w:pPr>
        <w:spacing w:before="80" w:after="80"/>
        <w:jc w:val="both"/>
      </w:pPr>
      <w:r>
        <w:rPr>
          <w:color w:val="2C2C3E"/>
        </w:rPr>
        <w:t>Revenue Streams: Documentary rights and streaming partnerships (the G.O.D.S story — the founding narrative, the transformation journeys, the institutional development — is a compelling documentary property with significant streaming platform appeal); educational content licensing (the S.E.T.H.S methodology, the governance frameworks, and the economic architecture generate educational content with commercial value in the human resources, public policy, and institutional management markets); speaking circuit and institutional presentations (the Founder and senior leadership generate speaking revenue from institutional, academic, and public events); digital courses and certification programs (online education products aligned with the S.E.T.H.S and UDOC methodologies); and influencer and ambassador network programs (partnership with high-profile individuals who genuinely align with G.O.D.S values to expand reach and credibility).</w:t>
      </w:r>
    </w:p>
    <w:p w14:paraId="45A3F0D6" w14:textId="77777777" w:rsidR="009151BA" w:rsidRDefault="004439A8">
      <w:pPr>
        <w:spacing w:before="80" w:after="80"/>
        <w:jc w:val="both"/>
      </w:pPr>
      <w:r>
        <w:rPr>
          <w:color w:val="2C2C3E"/>
        </w:rPr>
        <w:t>Purpose: The Media Division is the viral scaling engine — the mechanism by which G.O.D.S builds the public recognition and institutional credibility necessary to close government contracts, attract investment, and build the employer network that makes S.E.T.H.S commercially viable. Its commercial outputs reinforce rather than dilute the institutional mission.</w:t>
      </w:r>
    </w:p>
    <w:p w14:paraId="3D5B23F9" w14:textId="77777777" w:rsidR="009151BA" w:rsidRDefault="004439A8">
      <w:pPr>
        <w:spacing w:before="320" w:after="120"/>
      </w:pPr>
      <w:r>
        <w:rPr>
          <w:rFonts w:ascii="Georgia" w:eastAsia="Georgia" w:hAnsi="Georgia" w:cs="Georgia"/>
          <w:b/>
          <w:bCs/>
          <w:color w:val="0D2B55"/>
          <w:sz w:val="28"/>
          <w:szCs w:val="28"/>
        </w:rPr>
        <w:t>DIVISION 4: STARTUP INCUBATION &amp; ABSORPTION</w:t>
      </w:r>
    </w:p>
    <w:p w14:paraId="6C7FE650" w14:textId="77777777" w:rsidR="009151BA" w:rsidRDefault="004439A8">
      <w:pPr>
        <w:spacing w:before="80" w:after="80"/>
        <w:jc w:val="both"/>
      </w:pPr>
      <w:r>
        <w:rPr>
          <w:color w:val="2C2C3E"/>
        </w:rPr>
        <w:t>Division 4 manages the external innovation pipeline of G.O.D.S. Rather than building all capabilities internally, G.O.D.S identifies high-potential early-stage companies whose technology, methodology, or market position aligns with the G.O.D.S mission and acquires minority or majority equity positions that integrate those capabilities into the G.O.D.S architecture.</w:t>
      </w:r>
    </w:p>
    <w:p w14:paraId="01B3899F" w14:textId="77777777" w:rsidR="009151BA" w:rsidRDefault="004439A8">
      <w:pPr>
        <w:spacing w:before="80" w:after="80"/>
        <w:jc w:val="both"/>
      </w:pPr>
      <w:r>
        <w:rPr>
          <w:color w:val="2C2C3E"/>
        </w:rPr>
        <w:t>The absorption pipeline operates through a defined process: identification (systematic scanning of the startup ecosystem for alignment opportunities); evaluation (assessment of strategic fit, technical integrity, leadership quality, and constitutional alignment); acquisition (minority equity through convertible structures or direct investment, structured to protect G.O.D.S from over-commitment before value is demonstrated); integration (incorporation of acquired capabilities into the relevant TS vertical with UDOC governance overlay); and scaling (deployment through G.O.D.S government and corporate channels at a scale the startup could not access independently).</w:t>
      </w:r>
    </w:p>
    <w:p w14:paraId="5FB3444B" w14:textId="77777777" w:rsidR="009151BA" w:rsidRDefault="004439A8">
      <w:pPr>
        <w:spacing w:before="80" w:after="80"/>
        <w:jc w:val="both"/>
      </w:pPr>
      <w:r>
        <w:rPr>
          <w:color w:val="2C2C3E"/>
        </w:rPr>
        <w:t>Revenue Streams: Equity appreciation on acquired stakes; co-development revenue from joint IP commercialization; integration fees for UDOC governance overlay implementation; and revenue share from channel access fees where G.O.D.S deploys acquired technology through its government and corporate relationships.</w:t>
      </w:r>
    </w:p>
    <w:p w14:paraId="7B4FDF8A" w14:textId="77777777" w:rsidR="009151BA" w:rsidRDefault="004439A8">
      <w:pPr>
        <w:spacing w:before="80" w:after="80"/>
        <w:jc w:val="both"/>
      </w:pPr>
      <w:r>
        <w:rPr>
          <w:color w:val="2C2C3E"/>
        </w:rPr>
        <w:t xml:space="preserve">Purpose: The Startup Absorption Division creates a structural mechanism for continuous innovation without requiring G.O.D.S to maintain frontier R&amp;D capacity in every domain. It also positions G.O.D.S as the </w:t>
      </w:r>
      <w:r>
        <w:rPr>
          <w:color w:val="2C2C3E"/>
        </w:rPr>
        <w:lastRenderedPageBreak/>
        <w:t>preferred institutional partner for high-value startups that need government access, governance infrastructure, or market credibility beyond what a conventional venture capital sponsor can provide.</w:t>
      </w:r>
    </w:p>
    <w:p w14:paraId="423FB05C" w14:textId="77777777" w:rsidR="009151BA" w:rsidRDefault="004439A8">
      <w:pPr>
        <w:spacing w:before="320" w:after="120"/>
      </w:pPr>
      <w:r>
        <w:rPr>
          <w:rFonts w:ascii="Georgia" w:eastAsia="Georgia" w:hAnsi="Georgia" w:cs="Georgia"/>
          <w:b/>
          <w:bCs/>
          <w:color w:val="0D2B55"/>
          <w:sz w:val="28"/>
          <w:szCs w:val="28"/>
        </w:rPr>
        <w:t>DIVISION 5: FINANCIAL INSTRUMENTS &amp; STRUCTURED CAPITAL</w:t>
      </w:r>
    </w:p>
    <w:p w14:paraId="205DA3BF" w14:textId="77777777" w:rsidR="009151BA" w:rsidRDefault="004439A8">
      <w:pPr>
        <w:spacing w:before="80" w:after="80"/>
        <w:jc w:val="both"/>
      </w:pPr>
      <w:r>
        <w:rPr>
          <w:color w:val="2C2C3E"/>
        </w:rPr>
        <w:t>Division 5 manages the capital architecture of G.O.D.S — raising, structuring, and deploying capital in a manner that maximizes institutional funding capacity while preserving governance integrity and equity structure.</w:t>
      </w:r>
    </w:p>
    <w:p w14:paraId="435FA68F" w14:textId="77777777" w:rsidR="009151BA" w:rsidRDefault="004439A8">
      <w:pPr>
        <w:spacing w:before="80" w:after="80"/>
        <w:jc w:val="both"/>
      </w:pPr>
      <w:r>
        <w:rPr>
          <w:color w:val="2C2C3E"/>
        </w:rPr>
        <w:t>Revenue Streams: Impact bonds (outcome-linked financial instruments where investors fund G.O.D.S programs and receive returns contingent on measurable social and economic outcomes — structuring fiscal risk transfer away from G.O.D.S while ensuring payment upon demonstrated performance); behavioral outcome bonds (a specialized impact bond product built around the S.E.T.H.S outcome data, providing investors with verifiable returns linked to behavioral change metrics); public-private infrastructure funds (capital pools for the T.S infrastructure projects, structured with government-backed availability payments providing revenue predictability); sovereign technology funds (partnership with sovereign wealth funds seeking long-horizon returns from governance infrastructure investment); and venture syndicates (co-investment structures with institutional investors for the startup absorption pipeline).</w:t>
      </w:r>
    </w:p>
    <w:p w14:paraId="4785A36D" w14:textId="77777777" w:rsidR="009151BA" w:rsidRDefault="004439A8">
      <w:pPr>
        <w:spacing w:before="80" w:after="80"/>
        <w:jc w:val="both"/>
      </w:pPr>
      <w:r>
        <w:rPr>
          <w:color w:val="2C2C3E"/>
        </w:rPr>
        <w:t>Purpose: Division 5 is not primarily a profit center — it is a capital architecture function. Its value to G.O.D.S is structural: it enables the institution to raise and deploy capital at the scale required for civilization-infrastructure ambition without the equity dilution that conventional venture capital would demand.</w:t>
      </w:r>
    </w:p>
    <w:p w14:paraId="6CDB6084" w14:textId="77777777" w:rsidR="009151BA" w:rsidRDefault="004439A8">
      <w:pPr>
        <w:spacing w:before="320" w:after="120"/>
      </w:pPr>
      <w:r>
        <w:rPr>
          <w:rFonts w:ascii="Georgia" w:eastAsia="Georgia" w:hAnsi="Georgia" w:cs="Georgia"/>
          <w:b/>
          <w:bCs/>
          <w:color w:val="0D2B55"/>
          <w:sz w:val="28"/>
          <w:szCs w:val="28"/>
        </w:rPr>
        <w:t>DIVISION 6: INFRASTRUCTURE &amp; DIGITAL SOVEREIGNTY</w:t>
      </w:r>
    </w:p>
    <w:p w14:paraId="37129294" w14:textId="77777777" w:rsidR="009151BA" w:rsidRDefault="004439A8">
      <w:pPr>
        <w:spacing w:before="80" w:after="80"/>
        <w:jc w:val="both"/>
      </w:pPr>
      <w:r>
        <w:rPr>
          <w:color w:val="2C2C3E"/>
        </w:rPr>
        <w:t>Division 6 manages the physical and digital infrastructure contracts that are too large or too strategically significant for individual divisional management. This includes national digital backbone deployments, large-scale renewable energy infrastructure, and the data center and compute infrastructure required to operate the G.O.D.S technology stack at national scale.</w:t>
      </w:r>
    </w:p>
    <w:p w14:paraId="5E8DFD86" w14:textId="77777777" w:rsidR="009151BA" w:rsidRDefault="004439A8">
      <w:pPr>
        <w:spacing w:before="80" w:after="80"/>
        <w:jc w:val="both"/>
      </w:pPr>
      <w:r>
        <w:rPr>
          <w:color w:val="2C2C3E"/>
        </w:rPr>
        <w:t>Revenue Streams: National digital backbone contracts (multi-year government infrastructure agreements); secure data hosting and cloud services (government and enterprise data custody services operated under G.O.D.S's data sovereignty principles); compliance cloud systems (hosted compliance infrastructure for organizations that prefer not to operate their own UDOC instances); and public data transparency dashboards (government-facing transparency tools operated as managed services).</w:t>
      </w:r>
    </w:p>
    <w:p w14:paraId="0843DBA5" w14:textId="77777777" w:rsidR="009151BA" w:rsidRDefault="004439A8">
      <w:pPr>
        <w:spacing w:before="320" w:after="120"/>
      </w:pPr>
      <w:r>
        <w:rPr>
          <w:rFonts w:ascii="Georgia" w:eastAsia="Georgia" w:hAnsi="Georgia" w:cs="Georgia"/>
          <w:b/>
          <w:bCs/>
          <w:color w:val="0D2B55"/>
          <w:sz w:val="28"/>
          <w:szCs w:val="28"/>
        </w:rPr>
        <w:t>DIVISION 7: LICENSING &amp; PATENT COMMERCIALIZATION</w:t>
      </w:r>
    </w:p>
    <w:p w14:paraId="2E4DF3E0" w14:textId="77777777" w:rsidR="009151BA" w:rsidRDefault="004439A8">
      <w:pPr>
        <w:spacing w:before="80" w:after="80"/>
        <w:jc w:val="both"/>
      </w:pPr>
      <w:r>
        <w:rPr>
          <w:color w:val="2C2C3E"/>
        </w:rPr>
        <w:t>Division 7 manages the intellectual property portfolio of G.O.D.S — the patents, trademarks, copyrights, methodological frameworks, and certification systems that represent the accumulated knowledge capital of the enterprise. This division is the long-term value accumulation engine.</w:t>
      </w:r>
    </w:p>
    <w:p w14:paraId="7F91B548" w14:textId="77777777" w:rsidR="009151BA" w:rsidRDefault="004439A8">
      <w:pPr>
        <w:spacing w:before="80" w:after="80"/>
        <w:jc w:val="both"/>
      </w:pPr>
      <w:r>
        <w:rPr>
          <w:color w:val="2C2C3E"/>
        </w:rPr>
        <w:t>Revenue Streams: Patent licensing (the G.O.D.S patent portfolio, held in the IP Trust, generates licensing revenue from third-party use of protected innovations across behavioral assessment, digital governance, and quantum-ready architecture domains); cross-border technology licensing (licensing agreements with international partners for deployment of G.O.D.S systems in jurisdictions where G.O.D.S does not operate directly); strategic exclusivity agreements (premium licensing arrangements providing specific partners with geographic or sectoral exclusivity in exchange for minimum revenue commitments); and joint venture revenue share (income from joint development and commercialization agreements with technology and institutional partners).</w:t>
      </w:r>
    </w:p>
    <w:p w14:paraId="13E4945A" w14:textId="77777777" w:rsidR="009151BA" w:rsidRDefault="004439A8">
      <w:pPr>
        <w:spacing w:before="80" w:after="80"/>
        <w:jc w:val="both"/>
      </w:pPr>
      <w:r>
        <w:rPr>
          <w:color w:val="2C2C3E"/>
        </w:rPr>
        <w:lastRenderedPageBreak/>
        <w:t>Asset Created: The G.O.D.S patent portfolio, held in perpetual trust. As the institution ages, this portfolio compounds in value — representing the accumulated innovation of decades of operation in governance, behavioral systems, and technology domains.</w:t>
      </w:r>
    </w:p>
    <w:p w14:paraId="431C0AA6" w14:textId="77777777" w:rsidR="009151BA" w:rsidRDefault="004439A8">
      <w:pPr>
        <w:spacing w:before="320" w:after="120"/>
      </w:pPr>
      <w:r>
        <w:rPr>
          <w:rFonts w:ascii="Georgia" w:eastAsia="Georgia" w:hAnsi="Georgia" w:cs="Georgia"/>
          <w:b/>
          <w:bCs/>
          <w:color w:val="0D2B55"/>
          <w:sz w:val="28"/>
          <w:szCs w:val="28"/>
        </w:rPr>
        <w:t>DIVISION 8: GLOBAL EXPANSION &amp; STRATEGIC RELATIONS</w:t>
      </w:r>
    </w:p>
    <w:p w14:paraId="25D166DC" w14:textId="77777777" w:rsidR="009151BA" w:rsidRDefault="004439A8">
      <w:pPr>
        <w:spacing w:before="80" w:after="80"/>
        <w:jc w:val="both"/>
      </w:pPr>
      <w:r>
        <w:rPr>
          <w:color w:val="2C2C3E"/>
        </w:rPr>
        <w:t>Division 8 manages the international expansion and strategic relationship architecture of G.O.D.S. As the institution transitions from South African proof-of-concept to regional and global operator, this division provides the diplomatic, commercial, and governmental relationship infrastructure required for multi-national operation.</w:t>
      </w:r>
    </w:p>
    <w:p w14:paraId="6D63D69E" w14:textId="77777777" w:rsidR="009151BA" w:rsidRDefault="004439A8">
      <w:pPr>
        <w:spacing w:before="80" w:after="80"/>
        <w:jc w:val="both"/>
      </w:pPr>
      <w:r>
        <w:rPr>
          <w:color w:val="2C2C3E"/>
        </w:rPr>
        <w:t>Revenue Streams: BRICS-aligned technology partnerships (structured agreements with institutions in BRICS economies for technology co-development and co-deployment); cross-sovereign infrastructure agreements (multi-national infrastructure contracts spanning multiple jurisdictions); and national adoption frameworks (licensing and implementation contracts for governments adopting G.O.D.S frameworks at national scale).</w:t>
      </w:r>
    </w:p>
    <w:p w14:paraId="2A2D5D4B" w14:textId="77777777" w:rsidR="009151BA" w:rsidRDefault="004439A8">
      <w:pPr>
        <w:spacing w:before="80" w:after="80"/>
        <w:jc w:val="both"/>
      </w:pPr>
      <w:r>
        <w:rPr>
          <w:color w:val="2C2C3E"/>
        </w:rPr>
        <w:t>Strategic Function: Division 8 is the institutional diplomat of G.O.D.S. It builds the sovereign relationships, multilateral agreements, and international institutional partnerships that allow G.O.D.S to operate at civilizational scale without becoming a political actor. The long-term aspiration is that G.O.D.S governance frameworks become voluntary international standards adopted by multiple sovereign nations — not through mandate, but through demonstrated superiority.</w:t>
      </w:r>
    </w:p>
    <w:p w14:paraId="2960BD52" w14:textId="77777777" w:rsidR="009151BA" w:rsidRDefault="004439A8">
      <w:r>
        <w:br w:type="page"/>
      </w:r>
    </w:p>
    <w:p w14:paraId="7F4BB9AB"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17: CAPITAL STRUCTURE &amp; FINANCIAL ARCHITECTURE</w:t>
      </w:r>
    </w:p>
    <w:p w14:paraId="171ECEE2" w14:textId="77777777" w:rsidR="009151BA" w:rsidRDefault="004439A8">
      <w:pPr>
        <w:spacing w:before="320" w:after="120"/>
      </w:pPr>
      <w:r>
        <w:rPr>
          <w:rFonts w:ascii="Georgia" w:eastAsia="Georgia" w:hAnsi="Georgia" w:cs="Georgia"/>
          <w:b/>
          <w:bCs/>
          <w:color w:val="0D2B55"/>
          <w:sz w:val="28"/>
          <w:szCs w:val="28"/>
        </w:rPr>
        <w:t>17.1 The Capital Strategy</w:t>
      </w:r>
    </w:p>
    <w:p w14:paraId="13F36E06" w14:textId="77777777" w:rsidR="009151BA" w:rsidRDefault="004439A8">
      <w:pPr>
        <w:spacing w:before="80" w:after="80"/>
        <w:jc w:val="both"/>
      </w:pPr>
      <w:r>
        <w:rPr>
          <w:color w:val="2C2C3E"/>
        </w:rPr>
        <w:t>G.O.D.S requires capital to build infrastructure before that infrastructure generates revenue. The capital strategy is designed to minimize equity dilution, maximize institutional autonomy, and sequence capital raises in alignment with demonstrated value creation.</w:t>
      </w:r>
    </w:p>
    <w:p w14:paraId="7CD09F50" w14:textId="77777777" w:rsidR="009151BA" w:rsidRDefault="004439A8">
      <w:pPr>
        <w:spacing w:before="240" w:after="80"/>
      </w:pPr>
      <w:r>
        <w:rPr>
          <w:b/>
          <w:bCs/>
          <w:color w:val="BF9B30"/>
          <w:sz w:val="24"/>
          <w:szCs w:val="24"/>
        </w:rPr>
        <w:t>17.1.1 Phase 1 Capital: Seed &amp; Angel (R0 – R50 Million)</w:t>
      </w:r>
    </w:p>
    <w:p w14:paraId="6A7CB6AC" w14:textId="77777777" w:rsidR="009151BA" w:rsidRDefault="004439A8">
      <w:pPr>
        <w:spacing w:before="80" w:after="80"/>
        <w:jc w:val="both"/>
      </w:pPr>
      <w:r>
        <w:rPr>
          <w:color w:val="2C2C3E"/>
        </w:rPr>
        <w:t>Phase 1 capital funds the startup infrastructure: the initial S.E.T.H.S pilot (one SDU, 50 participants, 12-month proof-of-concept); the UDOC MVP enterprise platform (minimum viable product for the first enterprise client contracts); the legal, governance, and IP architecture; and the initial Media Division content and distribution setup.</w:t>
      </w:r>
    </w:p>
    <w:p w14:paraId="4D78D301" w14:textId="77777777" w:rsidR="009151BA" w:rsidRDefault="004439A8">
      <w:pPr>
        <w:spacing w:before="80" w:after="80"/>
        <w:jc w:val="both"/>
      </w:pPr>
      <w:r>
        <w:rPr>
          <w:color w:val="2C2C3E"/>
        </w:rPr>
        <w:t>Phase 1 capital is sourced from angel investors aligned with long-horizon institutional values, impact capital funds with mandate for human development and governance technology, and potential government grant programs (SEDA, dtic, and similar South African development finance instruments).</w:t>
      </w:r>
    </w:p>
    <w:p w14:paraId="2F43A422" w14:textId="77777777" w:rsidR="009151BA" w:rsidRDefault="004439A8">
      <w:pPr>
        <w:spacing w:before="80" w:after="80"/>
        <w:jc w:val="both"/>
      </w:pPr>
      <w:r>
        <w:rPr>
          <w:color w:val="2C2C3E"/>
        </w:rPr>
        <w:t>Equity offered at Phase 1: Maximum 15% of G.O.D.S TS Holdings, structured as preference shares with defined conversion provisions.</w:t>
      </w:r>
    </w:p>
    <w:p w14:paraId="50FC6CDD" w14:textId="77777777" w:rsidR="009151BA" w:rsidRDefault="004439A8">
      <w:pPr>
        <w:spacing w:before="240" w:after="80"/>
      </w:pPr>
      <w:r>
        <w:rPr>
          <w:b/>
          <w:bCs/>
          <w:color w:val="BF9B30"/>
          <w:sz w:val="24"/>
          <w:szCs w:val="24"/>
        </w:rPr>
        <w:t>17.1.2 Phase 2 Capital: Series A (R50 Million – R500 Million)</w:t>
      </w:r>
    </w:p>
    <w:p w14:paraId="7EE9432E" w14:textId="77777777" w:rsidR="009151BA" w:rsidRDefault="004439A8">
      <w:pPr>
        <w:spacing w:before="80" w:after="80"/>
        <w:jc w:val="both"/>
      </w:pPr>
      <w:r>
        <w:rPr>
          <w:color w:val="2C2C3E"/>
        </w:rPr>
        <w:t>Series A funding is triggered by demonstrated Phase 1 outcomes: minimum 100 successful S.E.T.H.S placements with 12-month employment retention data; UDOC MVP with at least 3 paying enterprise clients; government letter of intent for at least one Division 6 infrastructure contract; and audited financial statements demonstrating revenue generation.</w:t>
      </w:r>
    </w:p>
    <w:p w14:paraId="55C3474D" w14:textId="77777777" w:rsidR="009151BA" w:rsidRDefault="004439A8">
      <w:pPr>
        <w:spacing w:before="80" w:after="80"/>
        <w:jc w:val="both"/>
      </w:pPr>
      <w:r>
        <w:rPr>
          <w:color w:val="2C2C3E"/>
        </w:rPr>
        <w:t>Series A capital funds: scaling of S.E.T.H.S to 5 SDUs across 3 provinces; full UDOC platform development with enterprise features; first government digital backbone contract delivery; and M.A.D.I.B.A fund first close.</w:t>
      </w:r>
    </w:p>
    <w:p w14:paraId="3F933E19" w14:textId="77777777" w:rsidR="009151BA" w:rsidRDefault="004439A8">
      <w:pPr>
        <w:spacing w:before="80" w:after="80"/>
        <w:jc w:val="both"/>
      </w:pPr>
      <w:r>
        <w:rPr>
          <w:color w:val="2C2C3E"/>
        </w:rPr>
        <w:t>Equity offered at Series A: Maximum 20% of G.O.D.S TS Holdings, structured as Series A preferred shares with investor protection provisions and Board observer rights (not voting control).</w:t>
      </w:r>
    </w:p>
    <w:p w14:paraId="0EC218DB" w14:textId="77777777" w:rsidR="009151BA" w:rsidRDefault="004439A8">
      <w:pPr>
        <w:spacing w:before="240" w:after="80"/>
      </w:pPr>
      <w:r>
        <w:rPr>
          <w:b/>
          <w:bCs/>
          <w:color w:val="BF9B30"/>
          <w:sz w:val="24"/>
          <w:szCs w:val="24"/>
        </w:rPr>
        <w:t>17.1.3 Phase 3 Capital: Government Infrastructure Loan (R5 – R15 Billion)</w:t>
      </w:r>
    </w:p>
    <w:p w14:paraId="47403FE2" w14:textId="77777777" w:rsidR="009151BA" w:rsidRDefault="004439A8">
      <w:pPr>
        <w:spacing w:before="80" w:after="80"/>
        <w:jc w:val="both"/>
      </w:pPr>
      <w:r>
        <w:rPr>
          <w:color w:val="2C2C3E"/>
        </w:rPr>
        <w:t>The South African Government Infrastructure Loan is a distinct capital mechanism designed for the national digital backbone deployment. It is not equity. It is a structured infrastructure loan to the National Digital Infrastructure SPV, repaid through platform revenue streams rather than from the sovereign fiscus.</w:t>
      </w:r>
    </w:p>
    <w:p w14:paraId="06DF8F08" w14:textId="77777777" w:rsidR="009151BA" w:rsidRDefault="004439A8">
      <w:pPr>
        <w:spacing w:before="80" w:after="80"/>
        <w:jc w:val="both"/>
      </w:pPr>
      <w:r>
        <w:rPr>
          <w:color w:val="2C2C3E"/>
        </w:rPr>
        <w:t>Legal vehicle: National Digital Infrastructure SPV (51% Government / 49% G.O.D.S TS Holdings maximum). Revenue streams for repayment: digital compliance licensing, enterprise UDOC registration fees, institutional API usage, cross-border verification services, and quantified corruption reduction savings. Break-even timeline: Year 5 (conservative) / Year 3 (accelerated rollout). Return mechanism: Revenue share with fixed return cap and performance-based uplift.</w:t>
      </w:r>
    </w:p>
    <w:p w14:paraId="497ED5C9" w14:textId="77777777" w:rsidR="009151BA" w:rsidRDefault="004439A8">
      <w:pPr>
        <w:spacing w:before="80" w:after="80"/>
        <w:jc w:val="both"/>
      </w:pPr>
      <w:r>
        <w:rPr>
          <w:color w:val="2C2C3E"/>
        </w:rPr>
        <w:t>This structure is designed specifically to pass South African Treasury scrutiny by: creating an infrastructure asset rather than expenditure; providing measurable productivity and efficiency returns; establishing PFMA-compliant ring-fencing; and ensuring government retains majority control throughout.</w:t>
      </w:r>
    </w:p>
    <w:p w14:paraId="21DC5C7C" w14:textId="77777777" w:rsidR="009151BA" w:rsidRDefault="004439A8">
      <w:pPr>
        <w:spacing w:before="320" w:after="120"/>
      </w:pPr>
      <w:r>
        <w:rPr>
          <w:rFonts w:ascii="Georgia" w:eastAsia="Georgia" w:hAnsi="Georgia" w:cs="Georgia"/>
          <w:b/>
          <w:bCs/>
          <w:color w:val="0D2B55"/>
          <w:sz w:val="28"/>
          <w:szCs w:val="28"/>
        </w:rPr>
        <w:lastRenderedPageBreak/>
        <w:t>17.2 Financial Projections — Conservative Scenario</w:t>
      </w:r>
    </w:p>
    <w:p w14:paraId="1DD4BA12" w14:textId="77777777" w:rsidR="009151BA" w:rsidRDefault="004439A8">
      <w:pPr>
        <w:spacing w:before="80" w:after="80"/>
        <w:jc w:val="both"/>
      </w:pPr>
      <w:r>
        <w:rPr>
          <w:color w:val="2C2C3E"/>
        </w:rPr>
        <w:t>The following projections are based on conservative assumptions, independently stress-tested against South African and international market conditions. They are presented as planning tools, not guarantees.</w:t>
      </w:r>
    </w:p>
    <w:p w14:paraId="04F300C9" w14:textId="77777777" w:rsidR="009151BA" w:rsidRDefault="004439A8">
      <w:pPr>
        <w:spacing w:before="240" w:after="80"/>
      </w:pPr>
      <w:r>
        <w:rPr>
          <w:b/>
          <w:bCs/>
          <w:color w:val="BF9B30"/>
          <w:sz w:val="24"/>
          <w:szCs w:val="24"/>
        </w:rPr>
        <w:t>Year 1-3: Revenue Foundation</w:t>
      </w:r>
    </w:p>
    <w:p w14:paraId="7971D3FE" w14:textId="77777777" w:rsidR="009151BA" w:rsidRDefault="004439A8">
      <w:pPr>
        <w:spacing w:before="80" w:after="80"/>
        <w:jc w:val="both"/>
      </w:pPr>
      <w:r>
        <w:rPr>
          <w:color w:val="2C2C3E"/>
        </w:rPr>
        <w:t>Revenue targets: S.E.T.H.S government pilot contract R5-15M; UDOC first enterprise contracts R2-5M; Media Division initial content licensing R500K-2M. Total: R7.5-22M. Primary objective: Demonstrate viability and generate institutional evidence.</w:t>
      </w:r>
    </w:p>
    <w:p w14:paraId="1EDEA139" w14:textId="77777777" w:rsidR="009151BA" w:rsidRDefault="004439A8">
      <w:pPr>
        <w:spacing w:before="240" w:after="80"/>
      </w:pPr>
      <w:r>
        <w:rPr>
          <w:b/>
          <w:bCs/>
          <w:color w:val="BF9B30"/>
          <w:sz w:val="24"/>
          <w:szCs w:val="24"/>
        </w:rPr>
        <w:t>Year 3-5: Scaling Phase</w:t>
      </w:r>
    </w:p>
    <w:p w14:paraId="5DDBDB8D" w14:textId="77777777" w:rsidR="009151BA" w:rsidRDefault="004439A8">
      <w:pPr>
        <w:spacing w:before="80" w:after="80"/>
        <w:jc w:val="both"/>
      </w:pPr>
      <w:r>
        <w:rPr>
          <w:color w:val="2C2C3E"/>
        </w:rPr>
        <w:t>Revenue targets: S.E.T.H.S expanded government contracts R30-80M; UDOC enterprise platform R20-60M; Government digital backbone first contract R50-150M; M.A.D.I.B.A management fees R5-15M; Media and IP licensing R3-10M. Total: R108-315M. Primary objective: Demonstrate scalability and achieve first institutional stability milestones.</w:t>
      </w:r>
    </w:p>
    <w:p w14:paraId="568293E0" w14:textId="77777777" w:rsidR="009151BA" w:rsidRDefault="004439A8">
      <w:pPr>
        <w:spacing w:before="240" w:after="80"/>
      </w:pPr>
      <w:r>
        <w:rPr>
          <w:b/>
          <w:bCs/>
          <w:color w:val="BF9B30"/>
          <w:sz w:val="24"/>
          <w:szCs w:val="24"/>
        </w:rPr>
        <w:t>Year 5-10: Institutional Establishment</w:t>
      </w:r>
    </w:p>
    <w:p w14:paraId="6A6FE88A" w14:textId="77777777" w:rsidR="009151BA" w:rsidRDefault="004439A8">
      <w:pPr>
        <w:spacing w:before="80" w:after="80"/>
        <w:jc w:val="both"/>
      </w:pPr>
      <w:r>
        <w:rPr>
          <w:color w:val="2C2C3E"/>
        </w:rPr>
        <w:t>Revenue targets across all 8 divisions: R500M - R2B annually. Gross margin targets: UDOC 75-85%; S.E.T.H.S 35-50%; T.S 20-35%; M.A.D.I.B.A (fees + carry) 60-70%. EBITDA target: 25-35% at scale. Reinvestment rate: Minimum 40% of EBITDA into infrastructure expansion, workforce development, and governance technology.</w:t>
      </w:r>
    </w:p>
    <w:p w14:paraId="6238F31D" w14:textId="77777777" w:rsidR="009151BA" w:rsidRDefault="004439A8">
      <w:r>
        <w:br w:type="page"/>
      </w:r>
    </w:p>
    <w:p w14:paraId="3DD3787A"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18: PUBLIC-PRIVATE SEPARATION MODEL</w:t>
      </w:r>
    </w:p>
    <w:p w14:paraId="74C1AB19" w14:textId="77777777" w:rsidR="009151BA" w:rsidRDefault="004439A8">
      <w:pPr>
        <w:spacing w:before="320" w:after="120"/>
      </w:pPr>
      <w:r>
        <w:rPr>
          <w:rFonts w:ascii="Georgia" w:eastAsia="Georgia" w:hAnsi="Georgia" w:cs="Georgia"/>
          <w:b/>
          <w:bCs/>
          <w:color w:val="0D2B55"/>
          <w:sz w:val="28"/>
          <w:szCs w:val="28"/>
        </w:rPr>
        <w:t>18.1 The Structural Imperative</w:t>
      </w:r>
    </w:p>
    <w:p w14:paraId="44CDC290" w14:textId="77777777" w:rsidR="009151BA" w:rsidRDefault="004439A8">
      <w:pPr>
        <w:spacing w:before="80" w:after="80"/>
        <w:jc w:val="both"/>
      </w:pPr>
      <w:r>
        <w:rPr>
          <w:color w:val="2C2C3E"/>
        </w:rPr>
        <w:t>One of the most critical structural features of G.O.D.S — and one that differentiates it from most comparable institutional models — is the rigorous separation between its private commercial activities and its public sector integration functions. Without this separation, G.O.D.S faces the governance collapse that has destroyed most hybrid institutions: the appearance of conflict of interest that destroys government partnerships, the reality of commercial incentives that distort public service delivery, and the regulatory risk that compromises both sides of the operation simultaneously.</w:t>
      </w:r>
    </w:p>
    <w:p w14:paraId="24ADD81E" w14:textId="77777777" w:rsidR="009151BA" w:rsidRDefault="004439A8">
      <w:pPr>
        <w:spacing w:before="320" w:after="120"/>
      </w:pPr>
      <w:r>
        <w:rPr>
          <w:rFonts w:ascii="Georgia" w:eastAsia="Georgia" w:hAnsi="Georgia" w:cs="Georgia"/>
          <w:b/>
          <w:bCs/>
          <w:color w:val="0D2B55"/>
          <w:sz w:val="28"/>
          <w:szCs w:val="28"/>
        </w:rPr>
        <w:t>18.2 The Private Side: G.O.D.S TS Holdings</w:t>
      </w:r>
    </w:p>
    <w:p w14:paraId="3C48CD84" w14:textId="77777777" w:rsidR="009151BA" w:rsidRDefault="004439A8">
      <w:pPr>
        <w:spacing w:before="80" w:after="80"/>
        <w:jc w:val="both"/>
      </w:pPr>
      <w:r>
        <w:rPr>
          <w:color w:val="2C2C3E"/>
        </w:rPr>
        <w:t>G.O.D.S TS Holdings operates as a commercial entity. It raises private capital, generates commercial revenue, owns intellectual property, acquires startup equity, manages the Media Division, and structures the Financial Instruments division. It is subject to normal commercial regulation, corporate governance standards, and investor reporting requirements.</w:t>
      </w:r>
    </w:p>
    <w:p w14:paraId="500119E4" w14:textId="77777777" w:rsidR="009151BA" w:rsidRDefault="004439A8">
      <w:pPr>
        <w:spacing w:before="80" w:after="80"/>
        <w:jc w:val="both"/>
      </w:pPr>
      <w:r>
        <w:rPr>
          <w:color w:val="2C2C3E"/>
        </w:rPr>
        <w:t>The private side does not receive government grants, operate government programs, or hold sovereign authority. It enters contracts with governments for services delivered at commercial terms. These contracts are subject to transparent procurement processes — no sole-source contracting without documented justification.</w:t>
      </w:r>
    </w:p>
    <w:p w14:paraId="554B30F8" w14:textId="77777777" w:rsidR="009151BA" w:rsidRDefault="004439A8">
      <w:pPr>
        <w:spacing w:before="320" w:after="120"/>
      </w:pPr>
      <w:r>
        <w:rPr>
          <w:rFonts w:ascii="Georgia" w:eastAsia="Georgia" w:hAnsi="Georgia" w:cs="Georgia"/>
          <w:b/>
          <w:bCs/>
          <w:color w:val="0D2B55"/>
          <w:sz w:val="28"/>
          <w:szCs w:val="28"/>
        </w:rPr>
        <w:t>18.3 The Public Side: M.A.D.I.B.A &amp; Government Integration</w:t>
      </w:r>
    </w:p>
    <w:p w14:paraId="40A27E93" w14:textId="77777777" w:rsidR="009151BA" w:rsidRDefault="004439A8">
      <w:pPr>
        <w:spacing w:before="80" w:after="80"/>
        <w:jc w:val="both"/>
      </w:pPr>
      <w:r>
        <w:rPr>
          <w:color w:val="2C2C3E"/>
        </w:rPr>
        <w:t>The public sector integration function operates through dedicated SPV and partnership structures that are legally and operationally separate from the private commercial entities. Government rehabilitation programs, national transparency systems, and public-sector compliance tools are all delivered through dedicated structures with independent auditing, sovereign control provisions, and transparent procurement frameworks.</w:t>
      </w:r>
    </w:p>
    <w:p w14:paraId="34DE9722" w14:textId="77777777" w:rsidR="009151BA" w:rsidRDefault="004439A8">
      <w:pPr>
        <w:spacing w:before="80" w:after="80"/>
        <w:jc w:val="both"/>
      </w:pPr>
      <w:r>
        <w:rPr>
          <w:color w:val="2C2C3E"/>
        </w:rPr>
        <w:t>Personnel working on government-funded programs are separated from personnel working on private commercial activities. Information generated in government-funded programs is not available to commercial divisions without explicit authorization. Revenue generated from government programs does not flow to private commercial entities without documented transfer mechanisms subject to independent audit.</w:t>
      </w:r>
    </w:p>
    <w:p w14:paraId="5A58C300" w14:textId="77777777" w:rsidR="009151BA" w:rsidRDefault="004439A8">
      <w:pPr>
        <w:spacing w:before="80" w:after="80"/>
        <w:jc w:val="both"/>
      </w:pPr>
      <w:r>
        <w:rPr>
          <w:color w:val="2C2C3E"/>
        </w:rPr>
        <w:t>This separation is not just ethical — it is commercial. Government partners will not enter structures where they cannot audit and control the boundaries between their programs and private commercial activities. Any institution that conflates these boundaries loses government credibility and, with it, the most significant revenue channel in the long-term G.O.D.S architecture.</w:t>
      </w:r>
    </w:p>
    <w:p w14:paraId="1A3DB410" w14:textId="77777777" w:rsidR="009151BA" w:rsidRDefault="004439A8">
      <w:r>
        <w:br w:type="page"/>
      </w:r>
    </w:p>
    <w:p w14:paraId="4C319437"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19: THE STARTUP ABSORPTION PIPELINE</w:t>
      </w:r>
    </w:p>
    <w:p w14:paraId="250FE9FC" w14:textId="77777777" w:rsidR="009151BA" w:rsidRDefault="004439A8">
      <w:pPr>
        <w:spacing w:before="320" w:after="120"/>
      </w:pPr>
      <w:r>
        <w:rPr>
          <w:rFonts w:ascii="Georgia" w:eastAsia="Georgia" w:hAnsi="Georgia" w:cs="Georgia"/>
          <w:b/>
          <w:bCs/>
          <w:color w:val="0D2B55"/>
          <w:sz w:val="28"/>
          <w:szCs w:val="28"/>
        </w:rPr>
        <w:t>19.1 Strategic Rationale</w:t>
      </w:r>
    </w:p>
    <w:p w14:paraId="6E902084" w14:textId="77777777" w:rsidR="009151BA" w:rsidRDefault="004439A8">
      <w:pPr>
        <w:spacing w:before="80" w:after="80"/>
        <w:jc w:val="both"/>
      </w:pPr>
      <w:r>
        <w:rPr>
          <w:color w:val="2C2C3E"/>
        </w:rPr>
        <w:t>G.O.D.S's startup absorption pipeline is one of its most structurally distinctive and commercially significant features. Rather than attempting to build all capabilities in-house, G.O.D.S operates as a platform that can identify, acquire, and integrate high-value early-stage companies — accessing their innovations, their teams, and their technologies while providing them with institutional infrastructure, government access, and commercial scale they cannot achieve independently.</w:t>
      </w:r>
    </w:p>
    <w:p w14:paraId="2A3C5C18" w14:textId="77777777" w:rsidR="009151BA" w:rsidRDefault="004439A8">
      <w:pPr>
        <w:spacing w:before="80" w:after="80"/>
        <w:jc w:val="both"/>
      </w:pPr>
      <w:r>
        <w:rPr>
          <w:color w:val="2C2C3E"/>
        </w:rPr>
        <w:t>The pipeline creates vertical consolidation: the accumulation of complementary capabilities within the G.O.D.S architecture that makes it progressively more difficult for competitors to replicate the integrated offering. An enterprise that can provide AI governance (UDOC), workforce transition (S.E.T.H.S), capital deployment (M.A.D.I.B.A), infrastructure delivery (T.S), and media amplification (Division 3) simultaneously — with all of these operating under a unified governance framework and constitutional commitment — cannot be replicated by any single-domain competitor.</w:t>
      </w:r>
    </w:p>
    <w:p w14:paraId="68A5CD2C" w14:textId="77777777" w:rsidR="009151BA" w:rsidRDefault="004439A8">
      <w:pPr>
        <w:spacing w:before="320" w:after="120"/>
      </w:pPr>
      <w:r>
        <w:rPr>
          <w:rFonts w:ascii="Georgia" w:eastAsia="Georgia" w:hAnsi="Georgia" w:cs="Georgia"/>
          <w:b/>
          <w:bCs/>
          <w:color w:val="0D2B55"/>
          <w:sz w:val="28"/>
          <w:szCs w:val="28"/>
        </w:rPr>
        <w:t>19.2 The Absorption Process</w:t>
      </w:r>
    </w:p>
    <w:p w14:paraId="3BBD03A0" w14:textId="77777777" w:rsidR="009151BA" w:rsidRDefault="004439A8">
      <w:pPr>
        <w:spacing w:before="80" w:after="80"/>
        <w:jc w:val="both"/>
      </w:pPr>
      <w:r>
        <w:rPr>
          <w:color w:val="2C2C3E"/>
        </w:rPr>
        <w:t>Step 1 — Identification: G.O.D.S maintains a systematic scanning function within Division 4, monitoring startup ecosystems across South Africa, sub-Saharan Africa, and internationally for companies with strategic alignment. Alignment criteria include: technical capability in a G.O.D.S domain; governance quality that suggests constitutional compatibility; team quality and commitment; and market traction that demonstrates commercial viability.</w:t>
      </w:r>
    </w:p>
    <w:p w14:paraId="5D40E784" w14:textId="77777777" w:rsidR="009151BA" w:rsidRDefault="004439A8">
      <w:pPr>
        <w:spacing w:before="80" w:after="80"/>
        <w:jc w:val="both"/>
      </w:pPr>
      <w:r>
        <w:rPr>
          <w:color w:val="2C2C3E"/>
        </w:rPr>
        <w:t>Step 2 — Evaluation: A standardized due diligence process assesses strategic fit across five dimensions: technical capability audit, team character and governance assessment, IP integrity review (ensuring no existing encumbrances), constitutional alignment assessment, and financial health review. This process is expedited (target 30-60 days) to maintain commercial attractiveness relative to conventional VC processes.</w:t>
      </w:r>
    </w:p>
    <w:p w14:paraId="1DFE9D5B" w14:textId="77777777" w:rsidR="009151BA" w:rsidRDefault="004439A8">
      <w:pPr>
        <w:spacing w:before="80" w:after="80"/>
        <w:jc w:val="both"/>
      </w:pPr>
      <w:r>
        <w:rPr>
          <w:color w:val="2C2C3E"/>
        </w:rPr>
        <w:t>Step 3 — Acquisition: G.O.D.S structures acquisitions using convertible instruments wherever possible in early stages — preserving optionality while establishing the relationship. Direct equity acquisition is used where strategic control is required. All acquisition structures include constitutional compliance provisions (the acquired entity operates within G.O.D.S constitutional constraints), IP transfer or licensing provisions, and leadership retention incentives aligned with G.O.D.S long-horizon compensation architecture.</w:t>
      </w:r>
    </w:p>
    <w:p w14:paraId="4BE75CD6" w14:textId="77777777" w:rsidR="009151BA" w:rsidRDefault="004439A8">
      <w:pPr>
        <w:spacing w:before="80" w:after="80"/>
        <w:jc w:val="both"/>
      </w:pPr>
      <w:r>
        <w:rPr>
          <w:color w:val="2C2C3E"/>
        </w:rPr>
        <w:t>Step 4 — Integration: Acquired entities are integrated into the relevant TS vertical with UDOC governance overlay implementation. Integration includes: constitutional orientation for leadership; governance committee establishment; UDOC compliance implementation; G.O.D.S brand alignment (where appropriate); and introduction to the G.O.D.S government and corporate relationship network.</w:t>
      </w:r>
    </w:p>
    <w:p w14:paraId="05E1611A" w14:textId="77777777" w:rsidR="009151BA" w:rsidRDefault="004439A8">
      <w:pPr>
        <w:spacing w:before="80" w:after="80"/>
        <w:jc w:val="both"/>
      </w:pPr>
      <w:r>
        <w:rPr>
          <w:color w:val="2C2C3E"/>
        </w:rPr>
        <w:t>Step 5 — Scaling: Integrated entities access G.O.D.S distribution channels — government relationships, corporate partnerships, and international expansion infrastructure — to scale beyond what was possible pre-acquisition. This is the G.O.D.S value proposition to the startup: institutional credibility and distribution access in exchange for constitutional alignment and strategic integration.</w:t>
      </w:r>
    </w:p>
    <w:p w14:paraId="3256D061" w14:textId="77777777" w:rsidR="009151BA" w:rsidRDefault="004439A8">
      <w:r>
        <w:br w:type="page"/>
      </w:r>
    </w:p>
    <w:p w14:paraId="4784D9FA" w14:textId="77777777" w:rsidR="009151BA" w:rsidRDefault="009151BA">
      <w:pPr>
        <w:spacing w:before="720"/>
      </w:pPr>
    </w:p>
    <w:p w14:paraId="4EAB2343" w14:textId="77777777" w:rsidR="009151BA" w:rsidRDefault="009151BA">
      <w:pPr>
        <w:pBdr>
          <w:bottom w:val="single" w:sz="6" w:space="1" w:color="C9A84C"/>
        </w:pBdr>
        <w:spacing w:before="240" w:after="240"/>
      </w:pPr>
    </w:p>
    <w:p w14:paraId="16749A35" w14:textId="77777777" w:rsidR="009151BA" w:rsidRDefault="004439A8">
      <w:pPr>
        <w:spacing w:before="960" w:after="120"/>
        <w:jc w:val="center"/>
      </w:pPr>
      <w:r>
        <w:rPr>
          <w:rFonts w:ascii="Georgia" w:eastAsia="Georgia" w:hAnsi="Georgia" w:cs="Georgia"/>
          <w:b/>
          <w:bCs/>
          <w:color w:val="BF9B30"/>
          <w:sz w:val="64"/>
          <w:szCs w:val="64"/>
        </w:rPr>
        <w:t>VOLUME IV</w:t>
      </w:r>
    </w:p>
    <w:p w14:paraId="124CA711" w14:textId="77777777" w:rsidR="009151BA" w:rsidRDefault="004439A8">
      <w:pPr>
        <w:spacing w:before="120" w:after="480"/>
        <w:jc w:val="center"/>
      </w:pPr>
      <w:r>
        <w:rPr>
          <w:b/>
          <w:bCs/>
          <w:color w:val="0D2B55"/>
          <w:sz w:val="28"/>
          <w:szCs w:val="28"/>
        </w:rPr>
        <w:t>TIME HORIZON STRATEGY: A FRAMEWORK FOR LIFETIMES</w:t>
      </w:r>
    </w:p>
    <w:p w14:paraId="21B1F96A" w14:textId="77777777" w:rsidR="009151BA" w:rsidRDefault="004439A8">
      <w:r>
        <w:br w:type="page"/>
      </w:r>
    </w:p>
    <w:p w14:paraId="43BA20DD" w14:textId="77777777" w:rsidR="009151BA" w:rsidRDefault="009151BA">
      <w:pPr>
        <w:pBdr>
          <w:bottom w:val="single" w:sz="6" w:space="1" w:color="C9A84C"/>
        </w:pBdr>
        <w:spacing w:before="240" w:after="240"/>
      </w:pPr>
    </w:p>
    <w:p w14:paraId="568B9174" w14:textId="77777777" w:rsidR="009151BA" w:rsidRDefault="004439A8">
      <w:pPr>
        <w:shd w:val="clear" w:color="auto" w:fill="0D2B55"/>
        <w:spacing w:before="720" w:after="240"/>
        <w:jc w:val="center"/>
      </w:pPr>
      <w:r>
        <w:rPr>
          <w:rFonts w:ascii="Georgia" w:eastAsia="Georgia" w:hAnsi="Georgia" w:cs="Georgia"/>
          <w:b/>
          <w:bCs/>
          <w:color w:val="FFFFFF"/>
          <w:sz w:val="40"/>
          <w:szCs w:val="40"/>
        </w:rPr>
        <w:t>PART V — TIME HORIZON STRATEGY</w:t>
      </w:r>
    </w:p>
    <w:p w14:paraId="435800CF" w14:textId="77777777" w:rsidR="009151BA" w:rsidRDefault="004439A8">
      <w:r>
        <w:br w:type="page"/>
      </w:r>
    </w:p>
    <w:p w14:paraId="2223CDBB"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21: PHASE 1 — THE STARTUP DISCIPLINE (YEARS 0–5)</w:t>
      </w:r>
    </w:p>
    <w:p w14:paraId="5298522E" w14:textId="77777777" w:rsidR="009151BA" w:rsidRDefault="004439A8">
      <w:pPr>
        <w:spacing w:before="320" w:after="120"/>
      </w:pPr>
      <w:r>
        <w:rPr>
          <w:rFonts w:ascii="Georgia" w:eastAsia="Georgia" w:hAnsi="Georgia" w:cs="Georgia"/>
          <w:b/>
          <w:bCs/>
          <w:color w:val="0D2B55"/>
          <w:sz w:val="28"/>
          <w:szCs w:val="28"/>
        </w:rPr>
        <w:t>21.1 Philosophy of the Startup Phase</w:t>
      </w:r>
    </w:p>
    <w:p w14:paraId="389580FC" w14:textId="77777777" w:rsidR="009151BA" w:rsidRDefault="004439A8">
      <w:pPr>
        <w:spacing w:before="80" w:after="80"/>
        <w:jc w:val="both"/>
      </w:pPr>
      <w:r>
        <w:rPr>
          <w:color w:val="2C2C3E"/>
        </w:rPr>
        <w:t>The startup phase of G.O.D.S is governed by a single operating principle: ambition restrained, execution prioritized. The most dangerous period for any institution is its early years — when the gap between vision and capability is largest, when resources are most constrained, and when the temptation to overpromise is most acute.</w:t>
      </w:r>
    </w:p>
    <w:p w14:paraId="5A8207F5" w14:textId="77777777" w:rsidR="009151BA" w:rsidRDefault="004439A8">
      <w:pPr>
        <w:spacing w:before="80" w:after="80"/>
        <w:jc w:val="both"/>
      </w:pPr>
      <w:r>
        <w:rPr>
          <w:color w:val="2C2C3E"/>
        </w:rPr>
        <w:t>G.O.D.S does not attempt to build civilization infrastructure in Year 1. In Year 1, it establishes governance integrity, demonstrates commercial viability through focused pilot programs, and generates the institutional evidence that earns the credibility to scale. The startup phase is about proof, not scale. About depth, not breadth. About earning the right to the next phase through demonstrated performance in this one.</w:t>
      </w:r>
    </w:p>
    <w:p w14:paraId="497815A0" w14:textId="77777777" w:rsidR="009151BA" w:rsidRDefault="004439A8">
      <w:pPr>
        <w:spacing w:before="320" w:after="120"/>
      </w:pPr>
      <w:r>
        <w:rPr>
          <w:rFonts w:ascii="Georgia" w:eastAsia="Georgia" w:hAnsi="Georgia" w:cs="Georgia"/>
          <w:b/>
          <w:bCs/>
          <w:color w:val="0D2B55"/>
          <w:sz w:val="28"/>
          <w:szCs w:val="28"/>
        </w:rPr>
        <w:t>21.2 Year 0-1: Foundation</w:t>
      </w:r>
    </w:p>
    <w:p w14:paraId="1EE269E1" w14:textId="77777777" w:rsidR="009151BA" w:rsidRDefault="004439A8">
      <w:pPr>
        <w:spacing w:before="80" w:after="80"/>
        <w:jc w:val="both"/>
      </w:pPr>
      <w:r>
        <w:rPr>
          <w:color w:val="2C2C3E"/>
        </w:rPr>
        <w:t>The first twelve months focus on three foundational priorities: institutional architecture, first commercial pilots, and governance establishment.</w:t>
      </w:r>
    </w:p>
    <w:p w14:paraId="6F048C8A" w14:textId="77777777" w:rsidR="009151BA" w:rsidRDefault="004439A8">
      <w:pPr>
        <w:spacing w:before="80" w:after="80"/>
        <w:jc w:val="both"/>
      </w:pPr>
      <w:r>
        <w:rPr>
          <w:color w:val="2C2C3E"/>
        </w:rPr>
        <w:t>Institutional architecture includes: legal entity establishment across holding company, divisional entities, and IP trust; Constitutional Oversight Board appointment; governance documentation completion; employment agreement architecture aligned with long-horizon compensation philosophy; and banking, accounting, and compliance infrastructure.</w:t>
      </w:r>
    </w:p>
    <w:p w14:paraId="1C9085FE" w14:textId="77777777" w:rsidR="009151BA" w:rsidRDefault="004439A8">
      <w:pPr>
        <w:spacing w:before="80" w:after="80"/>
        <w:jc w:val="both"/>
      </w:pPr>
      <w:r>
        <w:rPr>
          <w:color w:val="2C2C3E"/>
        </w:rPr>
        <w:t>First commercial pilots include: S.E.T.H.S Phase 0-1 pilot with a cohort of 25-50 participants in partnership with one government rehabilitation department or corporate partner; UDOC MVP build targeting first enterprise client engagement; initial Media Division content production (Founder story, institutional mission content) for institutional credibility building.</w:t>
      </w:r>
    </w:p>
    <w:p w14:paraId="6F711E7D" w14:textId="77777777" w:rsidR="009151BA" w:rsidRDefault="004439A8">
      <w:pPr>
        <w:spacing w:before="80" w:after="80"/>
        <w:jc w:val="both"/>
      </w:pPr>
      <w:r>
        <w:rPr>
          <w:color w:val="2C2C3E"/>
        </w:rPr>
        <w:t>Governance establishment includes: COB first meeting and operating protocol establishment; financial reporting systems implementation; external audit engagement; and first compliance review cycle.</w:t>
      </w:r>
    </w:p>
    <w:p w14:paraId="61AB8A9C" w14:textId="77777777" w:rsidR="009151BA" w:rsidRDefault="004439A8">
      <w:pPr>
        <w:spacing w:before="320" w:after="120"/>
      </w:pPr>
      <w:r>
        <w:rPr>
          <w:rFonts w:ascii="Georgia" w:eastAsia="Georgia" w:hAnsi="Georgia" w:cs="Georgia"/>
          <w:b/>
          <w:bCs/>
          <w:color w:val="0D2B55"/>
          <w:sz w:val="28"/>
          <w:szCs w:val="28"/>
        </w:rPr>
        <w:t>21.3 Year 1-3: Proof of Concept</w:t>
      </w:r>
    </w:p>
    <w:p w14:paraId="0CF15D6A" w14:textId="77777777" w:rsidR="009151BA" w:rsidRDefault="004439A8">
      <w:pPr>
        <w:spacing w:before="80" w:after="80"/>
        <w:jc w:val="both"/>
      </w:pPr>
      <w:r>
        <w:rPr>
          <w:color w:val="2C2C3E"/>
        </w:rPr>
        <w:t>Years 1-3 are about generating and documenting proof. The primary deliverable of this period is not revenue — it is verifiable institutional evidence that G.O.D.S systems work as described.</w:t>
      </w:r>
    </w:p>
    <w:p w14:paraId="22995DB6" w14:textId="77777777" w:rsidR="009151BA" w:rsidRDefault="004439A8">
      <w:pPr>
        <w:spacing w:before="80" w:after="80"/>
        <w:jc w:val="both"/>
      </w:pPr>
      <w:r>
        <w:rPr>
          <w:color w:val="2C2C3E"/>
        </w:rPr>
        <w:t>S.E.T.H.S proof targets: 100+ successful placements with 12-month employment retention; documented recidivism reduction compared to control groups; employer satisfaction data from partner organizations; and first government contract award based on pilot performance.</w:t>
      </w:r>
    </w:p>
    <w:p w14:paraId="70ACDD6A" w14:textId="77777777" w:rsidR="009151BA" w:rsidRDefault="004439A8">
      <w:pPr>
        <w:spacing w:before="80" w:after="80"/>
        <w:jc w:val="both"/>
      </w:pPr>
      <w:r>
        <w:rPr>
          <w:color w:val="2C2C3E"/>
        </w:rPr>
        <w:t>UDOC proof targets: 3+ paying enterprise clients on recurring contracts; first government digital governance deployment; and independent technical audit confirming security and sovereignty architecture claims.</w:t>
      </w:r>
    </w:p>
    <w:p w14:paraId="32B72498" w14:textId="77777777" w:rsidR="009151BA" w:rsidRDefault="004439A8">
      <w:pPr>
        <w:spacing w:before="80" w:after="80"/>
        <w:jc w:val="both"/>
      </w:pPr>
      <w:r>
        <w:rPr>
          <w:color w:val="2C2C3E"/>
        </w:rPr>
        <w:t>Media Division proof targets: First documentary or institutional content piece distributed through credible platform; institutional speaking engagements at government and corporate events; and measurable growth in G.O.D.S institutional awareness among target partner communities.</w:t>
      </w:r>
    </w:p>
    <w:p w14:paraId="3703A313" w14:textId="77777777" w:rsidR="009151BA" w:rsidRDefault="004439A8">
      <w:pPr>
        <w:spacing w:before="320" w:after="120"/>
      </w:pPr>
      <w:r>
        <w:rPr>
          <w:rFonts w:ascii="Georgia" w:eastAsia="Georgia" w:hAnsi="Georgia" w:cs="Georgia"/>
          <w:b/>
          <w:bCs/>
          <w:color w:val="0D2B55"/>
          <w:sz w:val="28"/>
          <w:szCs w:val="28"/>
        </w:rPr>
        <w:t>21.4 Year 3-5: First Scaling</w:t>
      </w:r>
    </w:p>
    <w:p w14:paraId="2193F129" w14:textId="77777777" w:rsidR="009151BA" w:rsidRDefault="004439A8">
      <w:pPr>
        <w:spacing w:before="80" w:after="80"/>
        <w:jc w:val="both"/>
      </w:pPr>
      <w:r>
        <w:rPr>
          <w:color w:val="2C2C3E"/>
        </w:rPr>
        <w:lastRenderedPageBreak/>
        <w:t>With proof established, Years 3-5 focus on the first structured scaling of proven programs. This includes: S.E.T.H.S expansion to 5 SDUs across 3 provinces; UDOC expansion to 10+ enterprise clients and first multi-province government deployment; first M.A.D.I.B.A fund close; T.S first infrastructure project delivery; and Series A capital raise based on demonstrated proof.</w:t>
      </w:r>
    </w:p>
    <w:p w14:paraId="439782E4" w14:textId="77777777" w:rsidR="009151BA" w:rsidRDefault="004439A8">
      <w:pPr>
        <w:spacing w:before="80" w:after="80"/>
        <w:jc w:val="both"/>
      </w:pPr>
      <w:r>
        <w:rPr>
          <w:color w:val="2C2C3E"/>
        </w:rPr>
        <w:t>The 5-year milestone is the first major institutional checkpoint. At this point, the COB conducts a formal constitutional review: Are the Twelve Pillars being upheld? Is the institutional culture consistent with the founding commitments? Is the governance architecture adequate for the scale achieved? Are financial controls functioning as designed? The answers to these questions determine whether G.O.D.S has earned the right to proceed to Phase 2.</w:t>
      </w:r>
    </w:p>
    <w:p w14:paraId="26854C3B" w14:textId="77777777" w:rsidR="009151BA" w:rsidRDefault="004439A8">
      <w:r>
        <w:br w:type="page"/>
      </w:r>
    </w:p>
    <w:p w14:paraId="62CA4062"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22: PHASE 2 — INSTITUTIONAL MILESTONE (YEARS 5–25)</w:t>
      </w:r>
    </w:p>
    <w:p w14:paraId="0414DE59" w14:textId="77777777" w:rsidR="009151BA" w:rsidRDefault="004439A8">
      <w:pPr>
        <w:spacing w:before="320" w:after="120"/>
      </w:pPr>
      <w:r>
        <w:rPr>
          <w:rFonts w:ascii="Georgia" w:eastAsia="Georgia" w:hAnsi="Georgia" w:cs="Georgia"/>
          <w:b/>
          <w:bCs/>
          <w:color w:val="0D2B55"/>
          <w:sz w:val="28"/>
          <w:szCs w:val="28"/>
        </w:rPr>
        <w:t>22.1 The Institutional Phase</w:t>
      </w:r>
    </w:p>
    <w:p w14:paraId="2FA2C1A4" w14:textId="77777777" w:rsidR="009151BA" w:rsidRDefault="004439A8">
      <w:pPr>
        <w:spacing w:before="80" w:after="80"/>
        <w:jc w:val="both"/>
      </w:pPr>
      <w:r>
        <w:rPr>
          <w:color w:val="2C2C3E"/>
        </w:rPr>
        <w:t>The institutional phase is the transition from validated startup to recognized infrastructure partner. It is the period in which G.O.D.S moves from proving that it works to being relied upon — by governments, corporations, and communities — as a structural component of their operating environment.</w:t>
      </w:r>
    </w:p>
    <w:p w14:paraId="11EB8B18" w14:textId="77777777" w:rsidR="009151BA" w:rsidRDefault="004439A8">
      <w:pPr>
        <w:spacing w:before="80" w:after="80"/>
        <w:jc w:val="both"/>
      </w:pPr>
      <w:r>
        <w:rPr>
          <w:color w:val="2C2C3E"/>
        </w:rPr>
        <w:t>This phase is characterized by: national expansion of S.E.T.H.S across all South African provinces; UDOC adoption by multiple government departments and regulatory bodies; M.A.D.I.B.A first investments deployed and outcomes measurable; T.S first infrastructure projects generating recurring operational revenue; and Division 7 patent portfolio generating licensing revenue from international markets.</w:t>
      </w:r>
    </w:p>
    <w:p w14:paraId="1443DB62" w14:textId="77777777" w:rsidR="009151BA" w:rsidRDefault="004439A8">
      <w:pPr>
        <w:spacing w:before="320" w:after="120"/>
      </w:pPr>
      <w:r>
        <w:rPr>
          <w:rFonts w:ascii="Georgia" w:eastAsia="Georgia" w:hAnsi="Georgia" w:cs="Georgia"/>
          <w:b/>
          <w:bCs/>
          <w:color w:val="0D2B55"/>
          <w:sz w:val="28"/>
          <w:szCs w:val="28"/>
        </w:rPr>
        <w:t>22.2 Africa Expansion Strategy (Years 10-25)</w:t>
      </w:r>
    </w:p>
    <w:p w14:paraId="0A43F2E8" w14:textId="77777777" w:rsidR="009151BA" w:rsidRDefault="004439A8">
      <w:pPr>
        <w:spacing w:before="80" w:after="80"/>
        <w:jc w:val="both"/>
      </w:pPr>
      <w:r>
        <w:rPr>
          <w:color w:val="2C2C3E"/>
        </w:rPr>
        <w:t>Africa expansion begins with the SADC region — the 16-member Southern African Development Community whose economies share regulatory frameworks, historical relationships, and economic interdependencies. South Africa's institutional proof becomes the template deployed in Namibia, Botswana, Zimbabwe, Zambia, and Mozambique first, followed by East African markets (Kenya, Tanzania, Uganda, Rwanda) and West African markets (Nigeria, Ghana, Côte d'Ivoire) as institutional capacity allows.</w:t>
      </w:r>
    </w:p>
    <w:p w14:paraId="6BCA5983" w14:textId="77777777" w:rsidR="009151BA" w:rsidRDefault="004439A8">
      <w:pPr>
        <w:spacing w:before="80" w:after="80"/>
        <w:jc w:val="both"/>
      </w:pPr>
      <w:r>
        <w:rPr>
          <w:color w:val="2C2C3E"/>
        </w:rPr>
        <w:t>Africa expansion does not follow the conventional technology company model of rapid deployment followed by local adaptation. It follows a deliberately sequenced model: institutional partnership first, infrastructure deployment second, technology commercialization third. Local institutional partners in each jurisdiction co-develop the specific operational frameworks for their context, ensuring genuine local ownership rather than imposed foreign systems.</w:t>
      </w:r>
    </w:p>
    <w:p w14:paraId="4CD8EF60" w14:textId="77777777" w:rsidR="009151BA" w:rsidRDefault="004439A8">
      <w:pPr>
        <w:spacing w:before="320" w:after="120"/>
      </w:pPr>
      <w:r>
        <w:rPr>
          <w:rFonts w:ascii="Georgia" w:eastAsia="Georgia" w:hAnsi="Georgia" w:cs="Georgia"/>
          <w:b/>
          <w:bCs/>
          <w:color w:val="0D2B55"/>
          <w:sz w:val="28"/>
          <w:szCs w:val="28"/>
        </w:rPr>
        <w:t>22.3 International Capital Relationships (Years 15-25)</w:t>
      </w:r>
    </w:p>
    <w:p w14:paraId="39640839" w14:textId="77777777" w:rsidR="009151BA" w:rsidRDefault="004439A8">
      <w:pPr>
        <w:spacing w:before="80" w:after="80"/>
        <w:jc w:val="both"/>
      </w:pPr>
      <w:r>
        <w:rPr>
          <w:color w:val="2C2C3E"/>
        </w:rPr>
        <w:t>By Year 15, G.O.D.S should be building substantive relationships with international capital institutions: the International Finance Corporation (IFC), African Development Bank (AfDB), Development Finance Institutions (DFIs) in the UK, Germany, France, and Nordic countries, and the growing universe of institutional investors with emerging market ESG mandates.</w:t>
      </w:r>
    </w:p>
    <w:p w14:paraId="4D9C3E16" w14:textId="77777777" w:rsidR="009151BA" w:rsidRDefault="004439A8">
      <w:pPr>
        <w:spacing w:before="80" w:after="80"/>
        <w:jc w:val="both"/>
      </w:pPr>
      <w:r>
        <w:rPr>
          <w:color w:val="2C2C3E"/>
        </w:rPr>
        <w:t>These relationships are not primarily capital relationships — though capital access is a benefit. They are credibility relationships. When G.O.D.S carries IFC partnership status, AfDB co-investment certification, or EU development finance endorsement, its credibility with sovereign government partners across Africa is substantially enhanced. Institutional credibility multiplies commercial access.</w:t>
      </w:r>
    </w:p>
    <w:p w14:paraId="7E06A17D" w14:textId="77777777" w:rsidR="009151BA" w:rsidRDefault="004439A8">
      <w:pPr>
        <w:spacing w:before="320" w:after="120"/>
      </w:pPr>
      <w:r>
        <w:rPr>
          <w:rFonts w:ascii="Georgia" w:eastAsia="Georgia" w:hAnsi="Georgia" w:cs="Georgia"/>
          <w:b/>
          <w:bCs/>
          <w:color w:val="0D2B55"/>
          <w:sz w:val="28"/>
          <w:szCs w:val="28"/>
        </w:rPr>
        <w:t>22.4 The 25-Year Milestone Assessment</w:t>
      </w:r>
    </w:p>
    <w:p w14:paraId="5F6E2DE5" w14:textId="77777777" w:rsidR="009151BA" w:rsidRDefault="004439A8">
      <w:pPr>
        <w:spacing w:before="80" w:after="80"/>
        <w:jc w:val="both"/>
      </w:pPr>
      <w:r>
        <w:rPr>
          <w:color w:val="2C2C3E"/>
        </w:rPr>
        <w:t>At the 25-year milestone, G.O.D.S conducts its first generational assessment. This assessment, led by the Constitutional Oversight Board with external independent review, evaluates: Has G.O.D.S achieved measurable structural impact on the human instability problems it set out to address? Are the Twelve Constitutional Pillars intact and operational? Is the governance architecture functioning as designed across all divisional structures? Has the institution built sufficient financial resilience to operate through the next 25 years without catastrophic dependency on any single revenue stream or partner relationship? Is the Founder transition architecture on track?</w:t>
      </w:r>
    </w:p>
    <w:p w14:paraId="20E3A334" w14:textId="77777777" w:rsidR="009151BA" w:rsidRDefault="004439A8">
      <w:pPr>
        <w:spacing w:before="80" w:after="80"/>
        <w:jc w:val="both"/>
      </w:pPr>
      <w:r>
        <w:rPr>
          <w:color w:val="2C2C3E"/>
        </w:rPr>
        <w:lastRenderedPageBreak/>
        <w:t>The 25-year assessment is publicly published — a full institutional account of what G.O.D.S has achieved and what it has failed to achieve, what commitments it has honored and where it has fallen short. This radical institutional transparency at the 25-year mark is one of the most powerful trust-building mechanisms in the long-horizon governance architecture.</w:t>
      </w:r>
    </w:p>
    <w:p w14:paraId="57F8C2C7" w14:textId="77777777" w:rsidR="009151BA" w:rsidRDefault="004439A8">
      <w:r>
        <w:br w:type="page"/>
      </w:r>
    </w:p>
    <w:p w14:paraId="7D5531AB"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23: PHASE 3 — GENERATIONAL PATHWAY (YEARS 25–100)</w:t>
      </w:r>
    </w:p>
    <w:p w14:paraId="485F641B" w14:textId="77777777" w:rsidR="009151BA" w:rsidRDefault="004439A8">
      <w:pPr>
        <w:spacing w:before="320" w:after="120"/>
      </w:pPr>
      <w:r>
        <w:rPr>
          <w:rFonts w:ascii="Georgia" w:eastAsia="Georgia" w:hAnsi="Georgia" w:cs="Georgia"/>
          <w:b/>
          <w:bCs/>
          <w:color w:val="0D2B55"/>
          <w:sz w:val="28"/>
          <w:szCs w:val="28"/>
        </w:rPr>
        <w:t>23.1 Institutional Normalcy</w:t>
      </w:r>
    </w:p>
    <w:p w14:paraId="0E904ABC" w14:textId="77777777" w:rsidR="009151BA" w:rsidRDefault="004439A8">
      <w:pPr>
        <w:spacing w:before="80" w:after="80"/>
        <w:jc w:val="both"/>
      </w:pPr>
      <w:r>
        <w:rPr>
          <w:color w:val="2C2C3E"/>
        </w:rPr>
        <w:t>The 100-year milestone aspiration is institutional normalcy — the point at which G.O.D.S no longer feels experimental or visionary. It feels infrastructural. It is a trusted coordination layer embedded in the operating environment of multiple nations, sectors, and institutions.</w:t>
      </w:r>
    </w:p>
    <w:p w14:paraId="508FC97D" w14:textId="77777777" w:rsidR="009151BA" w:rsidRDefault="004439A8">
      <w:pPr>
        <w:spacing w:before="80" w:after="80"/>
        <w:jc w:val="both"/>
      </w:pPr>
      <w:r>
        <w:rPr>
          <w:color w:val="2C2C3E"/>
        </w:rPr>
        <w:t>At this phase, G.O.D.S systems — the S.E.T.H.S methodology, the UDOC governance frameworks, the M.A.D.I.B.A capital architecture — are not proprietary competitive advantages to be defended. They are open standards that G.O.D.S administers and certifies, generating revenue through certification, consulting, advanced implementation, and ongoing development while allowing broad adoption of the foundational frameworks.</w:t>
      </w:r>
    </w:p>
    <w:p w14:paraId="3731AD48" w14:textId="77777777" w:rsidR="009151BA" w:rsidRDefault="004439A8">
      <w:pPr>
        <w:spacing w:before="320" w:after="120"/>
      </w:pPr>
      <w:r>
        <w:rPr>
          <w:rFonts w:ascii="Georgia" w:eastAsia="Georgia" w:hAnsi="Georgia" w:cs="Georgia"/>
          <w:b/>
          <w:bCs/>
          <w:color w:val="0D2B55"/>
          <w:sz w:val="28"/>
          <w:szCs w:val="28"/>
        </w:rPr>
        <w:t>23.2 Multi-Nation Adoption (Years 25-75)</w:t>
      </w:r>
    </w:p>
    <w:p w14:paraId="07D17A14" w14:textId="77777777" w:rsidR="009151BA" w:rsidRDefault="004439A8">
      <w:pPr>
        <w:spacing w:before="80" w:after="80"/>
        <w:jc w:val="both"/>
      </w:pPr>
      <w:r>
        <w:rPr>
          <w:color w:val="2C2C3E"/>
        </w:rPr>
        <w:t>By the 75-year mark, the aspiration is that G.O.D.S governance frameworks are voluntary standards across a significant portion of the African continent — and that UDOC-equivalent digital governance architecture is deployed or in active development in at least 20 nation-states. The S.E.T.H.S methodology is licensed and operational across at least 15 countries. The M.A.D.I.B.A fund architecture has been replicated in regional variants across multiple African economic communities.</w:t>
      </w:r>
    </w:p>
    <w:p w14:paraId="0A44F95B" w14:textId="77777777" w:rsidR="009151BA" w:rsidRDefault="004439A8">
      <w:pPr>
        <w:spacing w:before="80" w:after="80"/>
        <w:jc w:val="both"/>
      </w:pPr>
      <w:r>
        <w:rPr>
          <w:color w:val="2C2C3E"/>
        </w:rPr>
        <w:t>At this scale, G.O.D.S is no longer primarily a company. It is an institutional ecosystem — a network of affiliated organizations, licensed operators, certified practitioners, and aligned government systems operating within a shared constitutional framework. The original G.O.D.S entity becomes the standards body and innovation engine that continuously develops and improves the frameworks deployed by this broader ecosystem.</w:t>
      </w:r>
    </w:p>
    <w:p w14:paraId="131ED25B" w14:textId="77777777" w:rsidR="009151BA" w:rsidRDefault="004439A8">
      <w:pPr>
        <w:spacing w:before="320" w:after="120"/>
      </w:pPr>
      <w:r>
        <w:rPr>
          <w:rFonts w:ascii="Georgia" w:eastAsia="Georgia" w:hAnsi="Georgia" w:cs="Georgia"/>
          <w:b/>
          <w:bCs/>
          <w:color w:val="0D2B55"/>
          <w:sz w:val="28"/>
          <w:szCs w:val="28"/>
        </w:rPr>
        <w:t>23.3 Sovereign Digital Infrastructure Layer</w:t>
      </w:r>
    </w:p>
    <w:p w14:paraId="2078ACAD" w14:textId="77777777" w:rsidR="009151BA" w:rsidRDefault="004439A8">
      <w:pPr>
        <w:spacing w:before="80" w:after="80"/>
        <w:jc w:val="both"/>
      </w:pPr>
      <w:r>
        <w:rPr>
          <w:color w:val="2C2C3E"/>
        </w:rPr>
        <w:t>The 100-year vision for UDOC is the establishment of a voluntary sovereign digital infrastructure layer — an interoperable, standards-based digital governance architecture that multiple nations have independently chosen to adopt because it provides the data sovereignty, governance integrity, and AI alignment they need without the geopolitical risk of dependence on US or Chinese tech infrastructure.</w:t>
      </w:r>
    </w:p>
    <w:p w14:paraId="5085247D" w14:textId="77777777" w:rsidR="009151BA" w:rsidRDefault="004439A8">
      <w:pPr>
        <w:spacing w:before="80" w:after="80"/>
        <w:jc w:val="both"/>
      </w:pPr>
      <w:r>
        <w:rPr>
          <w:color w:val="2C2C3E"/>
        </w:rPr>
        <w:t>This is not a political project. It is a practical one. The nations of Africa, Southeast Asia, Latin America, and the Middle East have a compelling interest in digital infrastructure that is not controlled by geopolitical rivals. G.O.D.S, as an African-origin institution with constitutional commitments to sovereign respect, is uniquely positioned to provide this infrastructure layer.</w:t>
      </w:r>
    </w:p>
    <w:p w14:paraId="1ED5BFBB" w14:textId="77777777" w:rsidR="009151BA" w:rsidRDefault="004439A8">
      <w:r>
        <w:br w:type="page"/>
      </w:r>
    </w:p>
    <w:p w14:paraId="09292721"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24: PHASE 4 — CIVILIZATION INTEGRATION (YEARS 100–250)</w:t>
      </w:r>
    </w:p>
    <w:p w14:paraId="0ACEC754" w14:textId="77777777" w:rsidR="009151BA" w:rsidRDefault="004439A8">
      <w:pPr>
        <w:spacing w:before="320" w:after="120"/>
      </w:pPr>
      <w:r>
        <w:rPr>
          <w:rFonts w:ascii="Georgia" w:eastAsia="Georgia" w:hAnsi="Georgia" w:cs="Georgia"/>
          <w:b/>
          <w:bCs/>
          <w:color w:val="0D2B55"/>
          <w:sz w:val="28"/>
          <w:szCs w:val="28"/>
        </w:rPr>
        <w:t>24.1 The 250-Year Objective</w:t>
      </w:r>
    </w:p>
    <w:p w14:paraId="39C186AE" w14:textId="77777777" w:rsidR="009151BA" w:rsidRDefault="004439A8">
      <w:pPr>
        <w:spacing w:before="80" w:after="80"/>
        <w:jc w:val="both"/>
      </w:pPr>
      <w:r>
        <w:rPr>
          <w:color w:val="2C2C3E"/>
        </w:rPr>
        <w:t>The 250-year civilization integration objective is not a business plan. It is a mission statement expressed in temporal terms. It acknowledges that the problems G.O.D.S addresses — fragmentation, exclusion, governance erosion, preventable instability — are not problems that can be solved in a decade or a lifetime. They require generational commitment.</w:t>
      </w:r>
    </w:p>
    <w:p w14:paraId="50589EA5" w14:textId="77777777" w:rsidR="009151BA" w:rsidRDefault="004439A8">
      <w:pPr>
        <w:spacing w:before="80" w:after="80"/>
        <w:jc w:val="both"/>
      </w:pPr>
      <w:r>
        <w:rPr>
          <w:color w:val="2C2C3E"/>
        </w:rPr>
        <w:t>The 250-year objective holds that, if G.O.D.S executes its mission with constitutional integrity across successive generations of institutional leadership, the following conditions are achievable as global baselines: universal dignified infrastructure (shelter, water, food, healthcare, education, energy, connectivity are infrastructurally guaranteed rather than charity-dependent); economic contribution outweighing speculation (the dominant economic mechanism rewards measurable contribution to human welfare rather than financial extraction); conflict economically irrational (the infrastructure of cooperation generates greater returns than the infrastructure of conflict, removing the primary structural incentive for organized violence); and civilization functioning as a coordinated organism (the coordination layer that G.O.D.S has spent 250 years building enables collective responses to shared challenges at scale and speed previously impossible).</w:t>
      </w:r>
    </w:p>
    <w:p w14:paraId="72CB0D2F" w14:textId="77777777" w:rsidR="009151BA" w:rsidRDefault="004439A8">
      <w:pPr>
        <w:spacing w:before="320" w:after="120"/>
      </w:pPr>
      <w:r>
        <w:rPr>
          <w:rFonts w:ascii="Georgia" w:eastAsia="Georgia" w:hAnsi="Georgia" w:cs="Georgia"/>
          <w:b/>
          <w:bCs/>
          <w:color w:val="0D2B55"/>
          <w:sz w:val="28"/>
          <w:szCs w:val="28"/>
        </w:rPr>
        <w:t>24.2 Intellectual Honesty About the 250-Year Vision</w:t>
      </w:r>
    </w:p>
    <w:p w14:paraId="72C5BDD4" w14:textId="77777777" w:rsidR="009151BA" w:rsidRDefault="004439A8">
      <w:pPr>
        <w:spacing w:before="80" w:after="80"/>
        <w:jc w:val="both"/>
      </w:pPr>
      <w:r>
        <w:rPr>
          <w:color w:val="2C2C3E"/>
        </w:rPr>
        <w:t>No living person will witness the 250-year outcome. No institutional plan can anticipate the structural conditions of the world two and a half centuries hence. The value of the 250-year objective is not its predictive precision — it is its directional commitment. It answers the question: If this institution consistently makes decisions aligned with its constitutional principles, where does it compound over time?</w:t>
      </w:r>
    </w:p>
    <w:p w14:paraId="271074AA" w14:textId="77777777" w:rsidR="009151BA" w:rsidRDefault="004439A8">
      <w:pPr>
        <w:spacing w:before="80" w:after="80"/>
        <w:jc w:val="both"/>
      </w:pPr>
      <w:r>
        <w:rPr>
          <w:color w:val="2C2C3E"/>
        </w:rPr>
        <w:t>The answer — gradually improving structural conditions for human dignity, contribution, and coordination — is the directional commitment that G.O.D.S makes to every generation that inherits it. Each generation does not inherit a completed vision. It inherits a direction, a set of principles, a body of evidence, and the institutional credibility to continue building.</w:t>
      </w:r>
    </w:p>
    <w:p w14:paraId="3D5860F8" w14:textId="77777777" w:rsidR="009151BA" w:rsidRDefault="004439A8">
      <w:pPr>
        <w:spacing w:before="80" w:after="80"/>
        <w:jc w:val="both"/>
      </w:pPr>
      <w:r>
        <w:rPr>
          <w:color w:val="2C2C3E"/>
        </w:rPr>
        <w:t>That inheritance is the legacy clause of G.O.D.S. Every decision made in Year 1 is made with the awareness that it compounds over 250 years. The institution's most important product is not any single program or service. It is the institutional character that makes every subsequent generation's work possible.</w:t>
      </w:r>
    </w:p>
    <w:p w14:paraId="028CE150" w14:textId="77777777" w:rsidR="009151BA" w:rsidRDefault="004439A8">
      <w:r>
        <w:br w:type="page"/>
      </w:r>
    </w:p>
    <w:p w14:paraId="71AC7E05" w14:textId="77777777" w:rsidR="009151BA" w:rsidRDefault="009151BA">
      <w:pPr>
        <w:spacing w:before="720"/>
      </w:pPr>
    </w:p>
    <w:p w14:paraId="016B7C5C" w14:textId="77777777" w:rsidR="009151BA" w:rsidRDefault="009151BA">
      <w:pPr>
        <w:pBdr>
          <w:bottom w:val="single" w:sz="6" w:space="1" w:color="C9A84C"/>
        </w:pBdr>
        <w:spacing w:before="240" w:after="240"/>
      </w:pPr>
    </w:p>
    <w:p w14:paraId="138E8741" w14:textId="77777777" w:rsidR="009151BA" w:rsidRDefault="004439A8">
      <w:pPr>
        <w:spacing w:before="960" w:after="120"/>
        <w:jc w:val="center"/>
      </w:pPr>
      <w:r>
        <w:rPr>
          <w:rFonts w:ascii="Georgia" w:eastAsia="Georgia" w:hAnsi="Georgia" w:cs="Georgia"/>
          <w:b/>
          <w:bCs/>
          <w:color w:val="BF9B30"/>
          <w:sz w:val="64"/>
          <w:szCs w:val="64"/>
        </w:rPr>
        <w:t>VOLUME V</w:t>
      </w:r>
    </w:p>
    <w:p w14:paraId="5DE77412" w14:textId="77777777" w:rsidR="009151BA" w:rsidRDefault="004439A8">
      <w:pPr>
        <w:spacing w:before="120" w:after="480"/>
        <w:jc w:val="center"/>
      </w:pPr>
      <w:r>
        <w:rPr>
          <w:b/>
          <w:bCs/>
          <w:color w:val="0D2B55"/>
          <w:sz w:val="28"/>
          <w:szCs w:val="28"/>
        </w:rPr>
        <w:t>MARKET ANALYSIS &amp; COMPETITIVE POSITIONING</w:t>
      </w:r>
    </w:p>
    <w:p w14:paraId="135CC95F" w14:textId="77777777" w:rsidR="009151BA" w:rsidRDefault="004439A8">
      <w:r>
        <w:br w:type="page"/>
      </w:r>
    </w:p>
    <w:p w14:paraId="69A5EFD1" w14:textId="77777777" w:rsidR="009151BA" w:rsidRDefault="009151BA">
      <w:pPr>
        <w:pBdr>
          <w:bottom w:val="single" w:sz="6" w:space="1" w:color="C9A84C"/>
        </w:pBdr>
        <w:spacing w:before="240" w:after="240"/>
      </w:pPr>
    </w:p>
    <w:p w14:paraId="1DEE0882" w14:textId="77777777" w:rsidR="009151BA" w:rsidRDefault="004439A8">
      <w:pPr>
        <w:shd w:val="clear" w:color="auto" w:fill="0D2B55"/>
        <w:spacing w:before="720" w:after="240"/>
        <w:jc w:val="center"/>
      </w:pPr>
      <w:r>
        <w:rPr>
          <w:rFonts w:ascii="Georgia" w:eastAsia="Georgia" w:hAnsi="Georgia" w:cs="Georgia"/>
          <w:b/>
          <w:bCs/>
          <w:color w:val="FFFFFF"/>
          <w:sz w:val="40"/>
          <w:szCs w:val="40"/>
        </w:rPr>
        <w:t>PART VI — MARKET ANALYSIS &amp; POSITIONING</w:t>
      </w:r>
    </w:p>
    <w:p w14:paraId="4FC92610" w14:textId="77777777" w:rsidR="009151BA" w:rsidRDefault="004439A8">
      <w:r>
        <w:br w:type="page"/>
      </w:r>
    </w:p>
    <w:p w14:paraId="72C60E8C"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25: GLOBAL MARKET OPPORTUNITY</w:t>
      </w:r>
    </w:p>
    <w:p w14:paraId="33290FCA" w14:textId="77777777" w:rsidR="009151BA" w:rsidRDefault="004439A8">
      <w:pPr>
        <w:spacing w:before="320" w:after="120"/>
      </w:pPr>
      <w:r>
        <w:rPr>
          <w:rFonts w:ascii="Georgia" w:eastAsia="Georgia" w:hAnsi="Georgia" w:cs="Georgia"/>
          <w:b/>
          <w:bCs/>
          <w:color w:val="0D2B55"/>
          <w:sz w:val="28"/>
          <w:szCs w:val="28"/>
        </w:rPr>
        <w:t>25.1 The Three Converging Markets</w:t>
      </w:r>
    </w:p>
    <w:p w14:paraId="494F86D5" w14:textId="77777777" w:rsidR="009151BA" w:rsidRDefault="004439A8">
      <w:pPr>
        <w:spacing w:before="80" w:after="80"/>
        <w:jc w:val="both"/>
      </w:pPr>
      <w:r>
        <w:rPr>
          <w:color w:val="2C2C3E"/>
        </w:rPr>
        <w:t>G.O.D.S occupies the intersection of three markets that are simultaneously large, growing, and structurally underserved by existing solutions.</w:t>
      </w:r>
    </w:p>
    <w:p w14:paraId="0AF47A0A" w14:textId="77777777" w:rsidR="009151BA" w:rsidRDefault="004439A8">
      <w:pPr>
        <w:spacing w:before="240" w:after="80"/>
      </w:pPr>
      <w:r>
        <w:rPr>
          <w:b/>
          <w:bCs/>
          <w:color w:val="BF9B30"/>
          <w:sz w:val="24"/>
          <w:szCs w:val="24"/>
        </w:rPr>
        <w:t>25.1.1 AI Governance &amp; Compliance Infrastructure</w:t>
      </w:r>
    </w:p>
    <w:p w14:paraId="5FFA913F" w14:textId="77777777" w:rsidR="009151BA" w:rsidRDefault="004439A8">
      <w:pPr>
        <w:spacing w:before="80" w:after="80"/>
        <w:jc w:val="both"/>
      </w:pPr>
      <w:r>
        <w:rPr>
          <w:color w:val="2C2C3E"/>
        </w:rPr>
        <w:t>The AI governance market is in its earliest stages of formalization, but the regulatory and commercial drivers are clear and accelerating. The EU AI Act — the first comprehensive AI regulatory framework — came into force in 2024 and creates mandatory compliance requirements for AI systems deployed in regulated sectors across the world's largest single market. Similar regulatory frameworks are in advanced development in the UK, Canada, Brazil, India, and Australia.</w:t>
      </w:r>
    </w:p>
    <w:p w14:paraId="2AA2FFE5" w14:textId="77777777" w:rsidR="009151BA" w:rsidRDefault="004439A8">
      <w:pPr>
        <w:spacing w:before="80" w:after="80"/>
        <w:jc w:val="both"/>
      </w:pPr>
      <w:r>
        <w:rPr>
          <w:color w:val="2C2C3E"/>
        </w:rPr>
        <w:t>The enterprise AI governance market — the market for tools, platforms, and services that help organizations comply with AI regulation and manage AI risk — is projected by multiple industry analysts to reach tens of billions in annual spend within the decade. Currently, there is no integrated platform that combines AI system registry, risk classification, workforce impact modeling, compliance reporting, and audit trail management. UDOC is positioned to be that platform.</w:t>
      </w:r>
    </w:p>
    <w:p w14:paraId="4A3FBE25" w14:textId="77777777" w:rsidR="009151BA" w:rsidRDefault="004439A8">
      <w:pPr>
        <w:spacing w:before="80" w:after="80"/>
        <w:jc w:val="both"/>
      </w:pPr>
      <w:r>
        <w:rPr>
          <w:color w:val="2C2C3E"/>
        </w:rPr>
        <w:t>Target segments: financial services (the highest-regulated sector, earliest adopter of compliance infrastructure); healthcare (second-highest regulation, extremely high risk of AI liability without governance infrastructure); energy and utilities (critical infrastructure AI governance increasingly mandated); enterprise multinationals (Board-level pressure for AI governance demonstrably ahead of regulation).</w:t>
      </w:r>
    </w:p>
    <w:p w14:paraId="0A6E7600" w14:textId="77777777" w:rsidR="009151BA" w:rsidRDefault="004439A8">
      <w:pPr>
        <w:spacing w:before="240" w:after="80"/>
      </w:pPr>
      <w:r>
        <w:rPr>
          <w:b/>
          <w:bCs/>
          <w:color w:val="BF9B30"/>
          <w:sz w:val="24"/>
          <w:szCs w:val="24"/>
        </w:rPr>
        <w:t>25.1.2 Workforce Transition &amp; Human Capital Services</w:t>
      </w:r>
    </w:p>
    <w:p w14:paraId="4AB18856" w14:textId="77777777" w:rsidR="009151BA" w:rsidRDefault="004439A8">
      <w:pPr>
        <w:spacing w:before="80" w:after="80"/>
        <w:jc w:val="both"/>
      </w:pPr>
      <w:r>
        <w:rPr>
          <w:color w:val="2C2C3E"/>
        </w:rPr>
        <w:t>The workforce transition market is created by AI displacement — and it is the largest labor market disruption since industrialization. Conservative estimates suggest 10-30% of existing roles will require significant structural modification or elimination within 10 years, with a second wave of displacement from advanced AI and robotics within 20 years.</w:t>
      </w:r>
    </w:p>
    <w:p w14:paraId="17C816C6" w14:textId="77777777" w:rsidR="009151BA" w:rsidRDefault="004439A8">
      <w:pPr>
        <w:spacing w:before="80" w:after="80"/>
        <w:jc w:val="both"/>
      </w:pPr>
      <w:r>
        <w:rPr>
          <w:color w:val="2C2C3E"/>
        </w:rPr>
        <w:t>Governments facing mass unemployment are politically compelled to fund workforce transition programs. Corporations facing liability and regulatory pressure from AI deployment on their workforce are commercially compelled to invest in transition frameworks. The combination creates a large, growing, government-and-enterprise-funded market for structured workforce transition services — the exact space that S.E.T.H.S occupies.</w:t>
      </w:r>
    </w:p>
    <w:p w14:paraId="721E6100" w14:textId="77777777" w:rsidR="009151BA" w:rsidRDefault="004439A8">
      <w:pPr>
        <w:spacing w:before="80" w:after="80"/>
        <w:jc w:val="both"/>
      </w:pPr>
      <w:r>
        <w:rPr>
          <w:color w:val="2C2C3E"/>
        </w:rPr>
        <w:t>The specific segment of rehabilitative workforce reintegration — converting criminal justice system populations, addiction recovery populations, and long-term unemployed into productive economic contributors — is currently almost entirely government-funded through programs with weak commercial incentive structures and poor outcome measurement. S.E.T.H.S's outcome-linked, commercially structured model is a direct disruption of this segment.</w:t>
      </w:r>
    </w:p>
    <w:p w14:paraId="127C2A40" w14:textId="77777777" w:rsidR="009151BA" w:rsidRDefault="004439A8">
      <w:pPr>
        <w:spacing w:before="240" w:after="80"/>
      </w:pPr>
      <w:r>
        <w:rPr>
          <w:b/>
          <w:bCs/>
          <w:color w:val="BF9B30"/>
          <w:sz w:val="24"/>
          <w:szCs w:val="24"/>
        </w:rPr>
        <w:t>25.1.3 African Infrastructure &amp; Digital Governance</w:t>
      </w:r>
    </w:p>
    <w:p w14:paraId="406D866F" w14:textId="77777777" w:rsidR="009151BA" w:rsidRDefault="004439A8">
      <w:pPr>
        <w:spacing w:before="80" w:after="80"/>
        <w:jc w:val="both"/>
      </w:pPr>
      <w:r>
        <w:rPr>
          <w:color w:val="2C2C3E"/>
        </w:rPr>
        <w:t>Africa's infrastructure investment requirement over the next 30 years is estimated at $2.5 trillion by the African Development Bank. This encompasses physical infrastructure (roads, ports, energy, water) and digital infrastructure (connectivity, governance systems, digital identity, financial inclusion). The current delivery gap — the difference between infrastructure needed and infrastructure being delivered — is enormous and widening.</w:t>
      </w:r>
    </w:p>
    <w:p w14:paraId="44CB181B" w14:textId="77777777" w:rsidR="009151BA" w:rsidRDefault="004439A8">
      <w:pPr>
        <w:spacing w:before="80" w:after="80"/>
        <w:jc w:val="both"/>
      </w:pPr>
      <w:r>
        <w:rPr>
          <w:color w:val="2C2C3E"/>
        </w:rPr>
        <w:lastRenderedPageBreak/>
        <w:t>Critically, the conventional infrastructure delivery model — bilateral government financing with large multinational construction firms — has demonstrated persistent failure in African contexts: cost overruns, governance failures, community exclusion, and infrastructure that does not generate the economic activity required to sustain its maintenance. There is a documented and growing demand for an alternative model — one with local institutional ownership, integrated governance, and genuine community and workforce integration. G.O.D.S is designed to provide that model.</w:t>
      </w:r>
    </w:p>
    <w:p w14:paraId="3E689E19" w14:textId="77777777" w:rsidR="009151BA" w:rsidRDefault="004439A8">
      <w:pPr>
        <w:spacing w:before="320" w:after="120"/>
      </w:pPr>
      <w:r>
        <w:rPr>
          <w:rFonts w:ascii="Georgia" w:eastAsia="Georgia" w:hAnsi="Georgia" w:cs="Georgia"/>
          <w:b/>
          <w:bCs/>
          <w:color w:val="0D2B55"/>
          <w:sz w:val="28"/>
          <w:szCs w:val="28"/>
        </w:rPr>
        <w:t>25.2 The Structural Competitive Advantage</w:t>
      </w:r>
    </w:p>
    <w:p w14:paraId="4E85FA33" w14:textId="77777777" w:rsidR="009151BA" w:rsidRDefault="004439A8">
      <w:pPr>
        <w:spacing w:before="80" w:after="80"/>
        <w:jc w:val="both"/>
      </w:pPr>
      <w:r>
        <w:rPr>
          <w:color w:val="2C2C3E"/>
        </w:rPr>
        <w:t>G.O.D.S's competitive position is not primarily based on technological superiority in any single domain — though UDOC's quantum-ready architecture and S.E.T.H.S's outcome-linked methodology are genuine technical differentiators. The primary competitive advantage is integration: the combination of AI governance, workforce transition, African development infrastructure, sovereign digital backbone, and constitutional governance within a single, unified institutional architecture that no competitor — not McKinsey, not Accenture, not any technology firm, not any development finance institution — currently offers.</w:t>
      </w:r>
    </w:p>
    <w:p w14:paraId="04DC5D8F" w14:textId="77777777" w:rsidR="009151BA" w:rsidRDefault="004439A8">
      <w:pPr>
        <w:spacing w:before="80" w:after="80"/>
        <w:jc w:val="both"/>
      </w:pPr>
      <w:r>
        <w:rPr>
          <w:color w:val="2C2C3E"/>
        </w:rPr>
        <w:t>The integrated offering addresses a need that every one of its components addressed in isolation cannot. A government confronting AI displacement simultaneously needs workforce transition infrastructure, AI governance capacity, and capital deployment expertise. A technology company deploying AI in an African government context simultaneously needs compliance infrastructure, community workforce integration, and sovereign data architecture. There is no single entity that currently provides all of these components within an integrated, constitutionally governed framework.</w:t>
      </w:r>
    </w:p>
    <w:p w14:paraId="14FDE110" w14:textId="77777777" w:rsidR="009151BA" w:rsidRDefault="004439A8">
      <w:pPr>
        <w:spacing w:before="80" w:after="80"/>
        <w:jc w:val="both"/>
      </w:pPr>
      <w:r>
        <w:rPr>
          <w:color w:val="2C2C3E"/>
        </w:rPr>
        <w:t>G.O.D.S builds that entity. That is the structural moat.</w:t>
      </w:r>
    </w:p>
    <w:p w14:paraId="6AAFD96F" w14:textId="77777777" w:rsidR="009151BA" w:rsidRDefault="004439A8">
      <w:r>
        <w:br w:type="page"/>
      </w:r>
    </w:p>
    <w:p w14:paraId="7735611F"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26: SOUTH AFRICAN MARKET POSITIONING</w:t>
      </w:r>
    </w:p>
    <w:p w14:paraId="55DBCE62" w14:textId="77777777" w:rsidR="009151BA" w:rsidRDefault="004439A8">
      <w:pPr>
        <w:spacing w:before="320" w:after="120"/>
      </w:pPr>
      <w:r>
        <w:rPr>
          <w:rFonts w:ascii="Georgia" w:eastAsia="Georgia" w:hAnsi="Georgia" w:cs="Georgia"/>
          <w:b/>
          <w:bCs/>
          <w:color w:val="0D2B55"/>
          <w:sz w:val="28"/>
          <w:szCs w:val="28"/>
        </w:rPr>
        <w:t>26.1 The South African Opportunity</w:t>
      </w:r>
    </w:p>
    <w:p w14:paraId="6C8963A2" w14:textId="77777777" w:rsidR="009151BA" w:rsidRDefault="004439A8">
      <w:pPr>
        <w:spacing w:before="80" w:after="80"/>
        <w:jc w:val="both"/>
      </w:pPr>
      <w:r>
        <w:rPr>
          <w:color w:val="2C2C3E"/>
        </w:rPr>
        <w:t>South Africa is the G.O.D.S proof-of-concept market. It is chosen not despite its challenges but because of them. South Africa presents, in concentrated form, every structural problem G.O.D.S is designed to address. If the system works in South Africa, it works everywhere.</w:t>
      </w:r>
    </w:p>
    <w:p w14:paraId="6DC03C7A" w14:textId="77777777" w:rsidR="009151BA" w:rsidRDefault="004439A8">
      <w:pPr>
        <w:spacing w:before="80" w:after="80"/>
        <w:jc w:val="both"/>
      </w:pPr>
      <w:r>
        <w:rPr>
          <w:color w:val="2C2C3E"/>
        </w:rPr>
        <w:t>The specific South African market opportunities are:</w:t>
      </w:r>
    </w:p>
    <w:p w14:paraId="02DD13A1" w14:textId="77777777" w:rsidR="009151BA" w:rsidRDefault="004439A8">
      <w:pPr>
        <w:spacing w:before="240" w:after="80"/>
      </w:pPr>
      <w:r>
        <w:rPr>
          <w:b/>
          <w:bCs/>
          <w:color w:val="BF9B30"/>
          <w:sz w:val="24"/>
          <w:szCs w:val="24"/>
        </w:rPr>
        <w:t>26.1.1 Correctional Services</w:t>
      </w:r>
    </w:p>
    <w:p w14:paraId="7646ABFA" w14:textId="77777777" w:rsidR="009151BA" w:rsidRDefault="004439A8">
      <w:pPr>
        <w:spacing w:before="80" w:after="80"/>
        <w:jc w:val="both"/>
      </w:pPr>
      <w:r>
        <w:rPr>
          <w:color w:val="2C2C3E"/>
        </w:rPr>
        <w:t>South Africa's Department of Correctional Services manages approximately 160,000 incarcerated individuals and processes a significant parole and community corrections population. Recidivism rates are high and the rehabilitation infrastructure is widely acknowledged as inadequate. The fiscal cost of incarceration — estimated at over R120,000 per prisoner per year — creates strong government incentive for cost-effective rehabilitation alternatives.</w:t>
      </w:r>
    </w:p>
    <w:p w14:paraId="10408146" w14:textId="77777777" w:rsidR="009151BA" w:rsidRDefault="004439A8">
      <w:pPr>
        <w:spacing w:before="80" w:after="80"/>
        <w:jc w:val="both"/>
      </w:pPr>
      <w:r>
        <w:rPr>
          <w:color w:val="2C2C3E"/>
        </w:rPr>
        <w:t>S.E.T.H.S is positioned for government contract in this space as a cost-per-outcome alternative to cost-per-bed conventional incarceration. The measurable outcome — employment retention at 12 months — provides the government with an auditable, results-based payment mechanism that conventional rehabilitation programs cannot offer.</w:t>
      </w:r>
    </w:p>
    <w:p w14:paraId="15AC10C1" w14:textId="77777777" w:rsidR="009151BA" w:rsidRDefault="004439A8">
      <w:pPr>
        <w:spacing w:before="240" w:after="80"/>
      </w:pPr>
      <w:r>
        <w:rPr>
          <w:b/>
          <w:bCs/>
          <w:color w:val="BF9B30"/>
          <w:sz w:val="24"/>
          <w:szCs w:val="24"/>
        </w:rPr>
        <w:t>26.1.2 Youth Unemployment</w:t>
      </w:r>
    </w:p>
    <w:p w14:paraId="050B8A0B" w14:textId="77777777" w:rsidR="009151BA" w:rsidRDefault="004439A8">
      <w:pPr>
        <w:spacing w:before="80" w:after="80"/>
        <w:jc w:val="both"/>
      </w:pPr>
      <w:r>
        <w:rPr>
          <w:color w:val="2C2C3E"/>
        </w:rPr>
        <w:t>South Africa's youth unemployment crisis — unemployment exceeding 60% among those aged 15-34 in some provinces — represents both G.O.D.S's most significant social challenge and its largest domestic market. Government programs targeting youth employment are chronically underfunded, poorly designed, and unable to demonstrate measurable long-term outcomes.</w:t>
      </w:r>
    </w:p>
    <w:p w14:paraId="26BB77E1" w14:textId="77777777" w:rsidR="009151BA" w:rsidRDefault="004439A8">
      <w:pPr>
        <w:spacing w:before="80" w:after="80"/>
        <w:jc w:val="both"/>
      </w:pPr>
      <w:r>
        <w:rPr>
          <w:color w:val="2C2C3E"/>
        </w:rPr>
        <w:t>S.E.T.H.S targets this population through its structured skills development and employment placement model. The combination of behavioral stabilization, skills certification, and employer-matched placement addresses the structural barriers — not just skill gaps but behavioral readiness, motivation architecture, and employer trust — that keep the most vulnerable young people from accessing employment opportunities even when those opportunities nominally exist.</w:t>
      </w:r>
    </w:p>
    <w:p w14:paraId="00F2A8D7" w14:textId="77777777" w:rsidR="009151BA" w:rsidRDefault="004439A8">
      <w:pPr>
        <w:spacing w:before="240" w:after="80"/>
      </w:pPr>
      <w:r>
        <w:rPr>
          <w:b/>
          <w:bCs/>
          <w:color w:val="BF9B30"/>
          <w:sz w:val="24"/>
          <w:szCs w:val="24"/>
        </w:rPr>
        <w:t>26.1.3 Digital Governance Infrastructure</w:t>
      </w:r>
    </w:p>
    <w:p w14:paraId="7843F91F" w14:textId="77777777" w:rsidR="009151BA" w:rsidRDefault="004439A8">
      <w:pPr>
        <w:spacing w:before="80" w:after="80"/>
        <w:jc w:val="both"/>
      </w:pPr>
      <w:r>
        <w:rPr>
          <w:color w:val="2C2C3E"/>
        </w:rPr>
        <w:t>The South African government's e-government initiatives — eCitizen systems, digital procurement, connected services — have demonstrated the gap between ambition and technical delivery capacity. Multiple high-profile government digital projects have failed due to procurement irregularities, technical underperformance, and lack of internal capacity to manage complex technology implementations.</w:t>
      </w:r>
    </w:p>
    <w:p w14:paraId="62B9233B" w14:textId="77777777" w:rsidR="009151BA" w:rsidRDefault="004439A8">
      <w:pPr>
        <w:spacing w:before="80" w:after="80"/>
        <w:jc w:val="both"/>
      </w:pPr>
      <w:r>
        <w:rPr>
          <w:color w:val="2C2C3E"/>
        </w:rPr>
        <w:t>UDOC addresses this gap as a sovereign-controlled, constitutionally compliant digital governance platform — specifically designed to enhance rather than replace government capacity. The Government Procurement Transparency Dashboard alone, if successfully deployed at national scale, would reduce estimated procurement corruption leakage of R30-60 billion annually by a measurable margin — creating fiscal returns that dwarf the implementation cost.</w:t>
      </w:r>
    </w:p>
    <w:p w14:paraId="7389754F" w14:textId="77777777" w:rsidR="009151BA" w:rsidRDefault="004439A8">
      <w:r>
        <w:br w:type="page"/>
      </w:r>
    </w:p>
    <w:p w14:paraId="7B664098" w14:textId="77777777" w:rsidR="009151BA" w:rsidRDefault="009151BA">
      <w:pPr>
        <w:spacing w:before="720"/>
      </w:pPr>
    </w:p>
    <w:p w14:paraId="1CC912D0" w14:textId="77777777" w:rsidR="009151BA" w:rsidRDefault="009151BA">
      <w:pPr>
        <w:pBdr>
          <w:bottom w:val="single" w:sz="6" w:space="1" w:color="C9A84C"/>
        </w:pBdr>
        <w:spacing w:before="240" w:after="240"/>
      </w:pPr>
    </w:p>
    <w:p w14:paraId="68E37852" w14:textId="77777777" w:rsidR="009151BA" w:rsidRDefault="004439A8">
      <w:pPr>
        <w:spacing w:before="960" w:after="120"/>
        <w:jc w:val="center"/>
      </w:pPr>
      <w:r>
        <w:rPr>
          <w:rFonts w:ascii="Georgia" w:eastAsia="Georgia" w:hAnsi="Georgia" w:cs="Georgia"/>
          <w:b/>
          <w:bCs/>
          <w:color w:val="BF9B30"/>
          <w:sz w:val="64"/>
          <w:szCs w:val="64"/>
        </w:rPr>
        <w:t>VOLUME VI</w:t>
      </w:r>
    </w:p>
    <w:p w14:paraId="798BDBEB" w14:textId="77777777" w:rsidR="009151BA" w:rsidRDefault="004439A8">
      <w:pPr>
        <w:spacing w:before="120" w:after="480"/>
        <w:jc w:val="center"/>
      </w:pPr>
      <w:r>
        <w:rPr>
          <w:b/>
          <w:bCs/>
          <w:color w:val="0D2B55"/>
          <w:sz w:val="28"/>
          <w:szCs w:val="28"/>
        </w:rPr>
        <w:t>IMPLEMENTATION ROADMAP &amp; OPERATIONAL EXECUTION</w:t>
      </w:r>
    </w:p>
    <w:p w14:paraId="0580C96D" w14:textId="77777777" w:rsidR="009151BA" w:rsidRDefault="004439A8">
      <w:r>
        <w:br w:type="page"/>
      </w:r>
    </w:p>
    <w:p w14:paraId="38BC023C" w14:textId="77777777" w:rsidR="009151BA" w:rsidRDefault="009151BA">
      <w:pPr>
        <w:pBdr>
          <w:bottom w:val="single" w:sz="6" w:space="1" w:color="C9A84C"/>
        </w:pBdr>
        <w:spacing w:before="240" w:after="240"/>
      </w:pPr>
    </w:p>
    <w:p w14:paraId="1FAE9503" w14:textId="77777777" w:rsidR="009151BA" w:rsidRDefault="004439A8">
      <w:pPr>
        <w:shd w:val="clear" w:color="auto" w:fill="0D2B55"/>
        <w:spacing w:before="720" w:after="240"/>
        <w:jc w:val="center"/>
      </w:pPr>
      <w:r>
        <w:rPr>
          <w:rFonts w:ascii="Georgia" w:eastAsia="Georgia" w:hAnsi="Georgia" w:cs="Georgia"/>
          <w:b/>
          <w:bCs/>
          <w:color w:val="FFFFFF"/>
          <w:sz w:val="40"/>
          <w:szCs w:val="40"/>
        </w:rPr>
        <w:t>PART VII — IMPLEMENTATION ROADMAP</w:t>
      </w:r>
    </w:p>
    <w:p w14:paraId="07974612" w14:textId="77777777" w:rsidR="009151BA" w:rsidRDefault="004439A8">
      <w:r>
        <w:br w:type="page"/>
      </w:r>
    </w:p>
    <w:p w14:paraId="5167D9EF"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27: PHASE 1 EXECUTION PLAN — THE EVERYDAY OPERATIONAL REALITY</w:t>
      </w:r>
    </w:p>
    <w:p w14:paraId="182084E9" w14:textId="77777777" w:rsidR="009151BA" w:rsidRDefault="004439A8">
      <w:pPr>
        <w:spacing w:before="320" w:after="120"/>
      </w:pPr>
      <w:r>
        <w:rPr>
          <w:rFonts w:ascii="Georgia" w:eastAsia="Georgia" w:hAnsi="Georgia" w:cs="Georgia"/>
          <w:b/>
          <w:bCs/>
          <w:color w:val="0D2B55"/>
          <w:sz w:val="28"/>
          <w:szCs w:val="28"/>
        </w:rPr>
        <w:t>27.1 What Day-to-Day Operations Look Like</w:t>
      </w:r>
    </w:p>
    <w:p w14:paraId="3297A561" w14:textId="77777777" w:rsidR="009151BA" w:rsidRDefault="004439A8">
      <w:pPr>
        <w:spacing w:before="80" w:after="80"/>
        <w:jc w:val="both"/>
      </w:pPr>
      <w:r>
        <w:rPr>
          <w:color w:val="2C2C3E"/>
        </w:rPr>
        <w:t>The most critical gap in most institutional plans is the distance between aspiration and daily operational reality. G.O.D.S is not an aspiration project. Every day, across every division, specific operational activities must be executed with discipline, measured against defined targets, and reported accurately to the governance structures. The following describes the operational reality of G.O.D.S in its first 18 months.</w:t>
      </w:r>
    </w:p>
    <w:p w14:paraId="7EB03FB1" w14:textId="77777777" w:rsidR="009151BA" w:rsidRDefault="004439A8">
      <w:pPr>
        <w:spacing w:before="320" w:after="120"/>
      </w:pPr>
      <w:r>
        <w:rPr>
          <w:rFonts w:ascii="Georgia" w:eastAsia="Georgia" w:hAnsi="Georgia" w:cs="Georgia"/>
          <w:b/>
          <w:bCs/>
          <w:color w:val="0D2B55"/>
          <w:sz w:val="28"/>
          <w:szCs w:val="28"/>
        </w:rPr>
        <w:t>27.2 Month 1-3: Legal and Institutional Foundation</w:t>
      </w:r>
    </w:p>
    <w:p w14:paraId="4A88781D" w14:textId="77777777" w:rsidR="009151BA" w:rsidRDefault="004439A8">
      <w:pPr>
        <w:spacing w:before="80" w:after="80"/>
        <w:jc w:val="both"/>
      </w:pPr>
      <w:r>
        <w:rPr>
          <w:color w:val="2C2C3E"/>
        </w:rPr>
        <w:t>The first 90 days are entirely about foundation. There is no revenue in the first 90 days. There is institutional architecture.</w:t>
      </w:r>
    </w:p>
    <w:p w14:paraId="7074D277" w14:textId="77777777" w:rsidR="009151BA" w:rsidRDefault="004439A8">
      <w:pPr>
        <w:spacing w:before="80" w:after="80"/>
        <w:jc w:val="both"/>
      </w:pPr>
      <w:r>
        <w:rPr>
          <w:color w:val="2C2C3E"/>
        </w:rPr>
        <w:t>Legal entity registration: G.O.D.S Holdings Pty Ltd (South Africa); G.O.D.S TS Holdings Pty Ltd; S.E.T.H.S Operations Pty Ltd; UDOC Systems Pty Ltd; G.O.D.S IP Trust (advised by constitutional attorney with experience in institutional trust structures). Cost: Estimated R50,000-150,000 in legal fees.</w:t>
      </w:r>
    </w:p>
    <w:p w14:paraId="4CBB0894" w14:textId="77777777" w:rsidR="009151BA" w:rsidRDefault="004439A8">
      <w:pPr>
        <w:spacing w:before="80" w:after="80"/>
        <w:jc w:val="both"/>
      </w:pPr>
      <w:r>
        <w:rPr>
          <w:color w:val="2C2C3E"/>
        </w:rPr>
        <w:t>Constitutional Oversight Board establishment: Identification and appointment of first three COB members (full board of seven achieved by Month 6). First COB meeting and operating protocol establishment. Independent auditor engagement. Bank account establishment with dual-signature provisions for all transactions above defined thresholds.</w:t>
      </w:r>
    </w:p>
    <w:p w14:paraId="3E44FE97" w14:textId="77777777" w:rsidR="009151BA" w:rsidRDefault="004439A8">
      <w:pPr>
        <w:spacing w:before="80" w:after="80"/>
        <w:jc w:val="both"/>
      </w:pPr>
      <w:r>
        <w:rPr>
          <w:color w:val="2C2C3E"/>
        </w:rPr>
        <w:t>Initial team assembly: The Founder, two senior managers (one operations-focused, one commercial-focused), one compliance and governance coordinator, one technology lead. Team is compensated partly in long-horizon equity and partly in market-rate salary — the equity component selected specifically to attract candidates who believe in the long-term institutional mission.</w:t>
      </w:r>
    </w:p>
    <w:p w14:paraId="77E7C51D" w14:textId="77777777" w:rsidR="009151BA" w:rsidRDefault="004439A8">
      <w:pPr>
        <w:spacing w:before="80" w:after="80"/>
        <w:jc w:val="both"/>
      </w:pPr>
      <w:r>
        <w:rPr>
          <w:color w:val="2C2C3E"/>
        </w:rPr>
        <w:t>First external engagement: Introductory meetings with Department of Correctional Services, Department of Social Development, and Department of Labour and Employment — not to close contracts, but to establish relationships and understand current program architecture and procurement timelines.</w:t>
      </w:r>
    </w:p>
    <w:p w14:paraId="1181D6B5" w14:textId="77777777" w:rsidR="009151BA" w:rsidRDefault="004439A8">
      <w:pPr>
        <w:spacing w:before="320" w:after="120"/>
      </w:pPr>
      <w:r>
        <w:rPr>
          <w:rFonts w:ascii="Georgia" w:eastAsia="Georgia" w:hAnsi="Georgia" w:cs="Georgia"/>
          <w:b/>
          <w:bCs/>
          <w:color w:val="0D2B55"/>
          <w:sz w:val="28"/>
          <w:szCs w:val="28"/>
        </w:rPr>
        <w:t>27.3 Month 3-6: Pilot Design and Partner Identification</w:t>
      </w:r>
    </w:p>
    <w:p w14:paraId="3D16AA42" w14:textId="77777777" w:rsidR="009151BA" w:rsidRDefault="004439A8">
      <w:pPr>
        <w:spacing w:before="80" w:after="80"/>
        <w:jc w:val="both"/>
      </w:pPr>
      <w:r>
        <w:rPr>
          <w:color w:val="2C2C3E"/>
        </w:rPr>
        <w:t>Months 3-6 focus on pilot program design and partner identification across two tracks: S.E.T.H.S and UDOC.</w:t>
      </w:r>
    </w:p>
    <w:p w14:paraId="298E6AEA" w14:textId="77777777" w:rsidR="009151BA" w:rsidRDefault="004439A8">
      <w:pPr>
        <w:spacing w:before="80" w:after="80"/>
        <w:jc w:val="both"/>
      </w:pPr>
      <w:r>
        <w:rPr>
          <w:color w:val="2C2C3E"/>
        </w:rPr>
        <w:t>S.E.T.H.S pilot design: Selection of first pilot geography (Gauteng, specifically the Johannesburg metropolitan area, where density of target population and employer network is highest). Identification of first SDU facility (leased, not owned, to preserve capital flexibility). Partnership with at least one existing rehabilitation organization for participant referrals. Employer partnership development — target of 10 committed employer partners for first placement cohort. Assessment tool finalization with external behavioral science review.</w:t>
      </w:r>
    </w:p>
    <w:p w14:paraId="57A84AAE" w14:textId="77777777" w:rsidR="009151BA" w:rsidRDefault="004439A8">
      <w:pPr>
        <w:spacing w:before="80" w:after="80"/>
        <w:jc w:val="both"/>
      </w:pPr>
      <w:r>
        <w:rPr>
          <w:color w:val="2C2C3E"/>
        </w:rPr>
        <w:t>UDOC MVP design: Technical architecture finalization for minimum viable enterprise AI governance platform. Development team assembly (combination of employed developers and contract specialists). First enterprise client target identification — financial services or healthcare organization in South Africa with demonstrated AI compliance pressure. Government relationship development with Department of Communications and Digital Technologies.</w:t>
      </w:r>
    </w:p>
    <w:p w14:paraId="6E45CD79" w14:textId="77777777" w:rsidR="009151BA" w:rsidRDefault="004439A8">
      <w:pPr>
        <w:spacing w:before="320" w:after="120"/>
      </w:pPr>
      <w:r>
        <w:rPr>
          <w:rFonts w:ascii="Georgia" w:eastAsia="Georgia" w:hAnsi="Georgia" w:cs="Georgia"/>
          <w:b/>
          <w:bCs/>
          <w:color w:val="0D2B55"/>
          <w:sz w:val="28"/>
          <w:szCs w:val="28"/>
        </w:rPr>
        <w:t>27.4 Month 6-12: Pilot Launch and First Revenue</w:t>
      </w:r>
    </w:p>
    <w:p w14:paraId="06E89A1D" w14:textId="77777777" w:rsidR="009151BA" w:rsidRDefault="004439A8">
      <w:pPr>
        <w:spacing w:before="80" w:after="80"/>
        <w:jc w:val="both"/>
      </w:pPr>
      <w:r>
        <w:rPr>
          <w:color w:val="2C2C3E"/>
        </w:rPr>
        <w:lastRenderedPageBreak/>
        <w:t>Month 6 is the operational launch of the S.E.T.H.S pilot. The first cohort of 25 participants enters Phase 0 eligibility assessment. Simultaneously, the UDOC MVP begins private beta with first enterprise client.</w:t>
      </w:r>
    </w:p>
    <w:p w14:paraId="246D0774" w14:textId="77777777" w:rsidR="009151BA" w:rsidRDefault="004439A8">
      <w:pPr>
        <w:spacing w:before="80" w:after="80"/>
        <w:jc w:val="both"/>
      </w:pPr>
      <w:r>
        <w:rPr>
          <w:color w:val="2C2C3E"/>
        </w:rPr>
        <w:t>S.E.T.H.S operations in this period are resource-intensive and require daily management attention. The SDU requires functional systems: structured daily schedule, behavioral check-in protocols, skills training program delivery, compliance testing where applicable, and meal, accommodation, and transport logistics. Staff ratios are maintained at Phase 0 standards (1:8 for first cohort due to new system uncertainty).</w:t>
      </w:r>
    </w:p>
    <w:p w14:paraId="05C3BA78" w14:textId="77777777" w:rsidR="009151BA" w:rsidRDefault="004439A8">
      <w:pPr>
        <w:spacing w:before="80" w:after="80"/>
        <w:jc w:val="both"/>
      </w:pPr>
      <w:r>
        <w:rPr>
          <w:color w:val="2C2C3E"/>
        </w:rPr>
        <w:t>The Founder's daily operational focus in this period splits between: direct oversight of S.E.T.H.S pilot quality; UDOC enterprise client relationship management; government relationship cultivation across three departments; Series A investor preparation (narrative development, financial model refinement, COB endorsement securing); and Media Division content development (building the institutional narrative and credibility assets required for investor and government engagement).</w:t>
      </w:r>
    </w:p>
    <w:p w14:paraId="40D55274" w14:textId="77777777" w:rsidR="009151BA" w:rsidRDefault="004439A8">
      <w:pPr>
        <w:spacing w:before="80" w:after="80"/>
        <w:jc w:val="both"/>
      </w:pPr>
      <w:r>
        <w:rPr>
          <w:color w:val="2C2C3E"/>
        </w:rPr>
        <w:t>Key operational metrics tracked weekly: S.E.T.H.S participant compliance rate (target &gt;90%); behavioral incident frequency (target &lt;5% of participant-days); UDOC enterprise client engagement score; government meeting conversion rate (relationship to formal engagement); and cash burn rate against plan (with 3-month runway alert trigger).</w:t>
      </w:r>
    </w:p>
    <w:p w14:paraId="52C90335" w14:textId="77777777" w:rsidR="009151BA" w:rsidRDefault="004439A8">
      <w:pPr>
        <w:spacing w:before="320" w:after="120"/>
      </w:pPr>
      <w:r>
        <w:rPr>
          <w:rFonts w:ascii="Georgia" w:eastAsia="Georgia" w:hAnsi="Georgia" w:cs="Georgia"/>
          <w:b/>
          <w:bCs/>
          <w:color w:val="0D2B55"/>
          <w:sz w:val="28"/>
          <w:szCs w:val="28"/>
        </w:rPr>
        <w:t>27.5 Month 12-18: First Evidence and Scaling Preparation</w:t>
      </w:r>
    </w:p>
    <w:p w14:paraId="048CE4A5" w14:textId="77777777" w:rsidR="009151BA" w:rsidRDefault="004439A8">
      <w:pPr>
        <w:spacing w:before="80" w:after="80"/>
        <w:jc w:val="both"/>
      </w:pPr>
      <w:r>
        <w:rPr>
          <w:color w:val="2C2C3E"/>
        </w:rPr>
        <w:t>By Month 12, the first S.E.T.H.S cohort should have completed Phases 0-3 and begun employment placements. The first employment outcome data is collected. UDOC first enterprise client should be on a paying contract. The Founder should be in active Series A conversations.</w:t>
      </w:r>
    </w:p>
    <w:p w14:paraId="2C2C3FFF" w14:textId="77777777" w:rsidR="009151BA" w:rsidRDefault="004439A8">
      <w:pPr>
        <w:spacing w:before="80" w:after="80"/>
        <w:jc w:val="both"/>
      </w:pPr>
      <w:r>
        <w:rPr>
          <w:color w:val="2C2C3E"/>
        </w:rPr>
        <w:t>Month 12-18 focuses on: documenting and packaging first outcome evidence for investor and government presentations; expanding S.E.T.H.S to second cohort of 50 participants; UDOC full platform development completion and second enterprise client engagement; government contract submission for first formal S.E.T.H.S government pilot program; and Media Division first content distribution and institutional awareness building.</w:t>
      </w:r>
    </w:p>
    <w:p w14:paraId="389FDA00" w14:textId="77777777" w:rsidR="009151BA" w:rsidRDefault="004439A8">
      <w:pPr>
        <w:spacing w:before="80" w:after="80"/>
        <w:jc w:val="both"/>
      </w:pPr>
      <w:r>
        <w:rPr>
          <w:color w:val="2C2C3E"/>
        </w:rPr>
        <w:t>The 18-month milestone should achieve: 50+ S.E.T.H.S participants in active programs; 10+ placements with employment data; 2+ UDOC enterprise clients on contract; government formal engagement confirmed; seed capital deployed; and Series A pipeline established.</w:t>
      </w:r>
    </w:p>
    <w:p w14:paraId="677B0CF6" w14:textId="77777777" w:rsidR="009151BA" w:rsidRDefault="004439A8">
      <w:r>
        <w:br w:type="page"/>
      </w:r>
    </w:p>
    <w:p w14:paraId="76AD26D6"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28: TALENT ACQUISITION STRATEGY</w:t>
      </w:r>
    </w:p>
    <w:p w14:paraId="6BB7C80A" w14:textId="77777777" w:rsidR="009151BA" w:rsidRDefault="004439A8">
      <w:pPr>
        <w:spacing w:before="320" w:after="120"/>
      </w:pPr>
      <w:r>
        <w:rPr>
          <w:rFonts w:ascii="Georgia" w:eastAsia="Georgia" w:hAnsi="Georgia" w:cs="Georgia"/>
          <w:b/>
          <w:bCs/>
          <w:color w:val="0D2B55"/>
          <w:sz w:val="28"/>
          <w:szCs w:val="28"/>
        </w:rPr>
        <w:t>28.1 The People Architecture</w:t>
      </w:r>
    </w:p>
    <w:p w14:paraId="048221D8" w14:textId="77777777" w:rsidR="009151BA" w:rsidRDefault="004439A8">
      <w:pPr>
        <w:spacing w:before="80" w:after="80"/>
        <w:jc w:val="both"/>
      </w:pPr>
      <w:r>
        <w:rPr>
          <w:color w:val="2C2C3E"/>
        </w:rPr>
        <w:t>G.O.D.S requires a very specific type of leader: individuals who combine institutional discipline with long-horizon commitment, commercial capability with ethical conviction, and operational expertise with genuine alignment to the constitutional mission. These individuals exist. They are rare. Finding them requires a talent strategy as deliberate as the business strategy.</w:t>
      </w:r>
    </w:p>
    <w:p w14:paraId="0F5918D7" w14:textId="77777777" w:rsidR="009151BA" w:rsidRDefault="004439A8">
      <w:pPr>
        <w:spacing w:before="80" w:after="80"/>
        <w:jc w:val="both"/>
      </w:pPr>
      <w:r>
        <w:rPr>
          <w:color w:val="2C2C3E"/>
        </w:rPr>
        <w:t>The talent acquisition approach operates on three channels: direct recruitment for senior roles (where G.O.D.S's institutional mission, equity participation, and long-horizon compensation philosophy provide differentiated appeal to candidates who value these things over immediate compensation maximization); M.A.D.I.B.A talent acceleration pipeline (for African candidates identified through the excellence catalyst program who demonstrate the capability and values required for institutional leadership); and institutional referral networks (professional relationships cultivated by the Founder and senior leadership in governance, technology, behavioral science, and public policy domains).</w:t>
      </w:r>
    </w:p>
    <w:p w14:paraId="681A9A83" w14:textId="77777777" w:rsidR="009151BA" w:rsidRDefault="004439A8">
      <w:pPr>
        <w:spacing w:before="320" w:after="120"/>
      </w:pPr>
      <w:r>
        <w:rPr>
          <w:rFonts w:ascii="Georgia" w:eastAsia="Georgia" w:hAnsi="Georgia" w:cs="Georgia"/>
          <w:b/>
          <w:bCs/>
          <w:color w:val="0D2B55"/>
          <w:sz w:val="28"/>
          <w:szCs w:val="28"/>
        </w:rPr>
        <w:t>28.2 Compensation Architecture</w:t>
      </w:r>
    </w:p>
    <w:p w14:paraId="5FA68C73" w14:textId="77777777" w:rsidR="009151BA" w:rsidRDefault="004439A8">
      <w:pPr>
        <w:spacing w:before="80" w:after="80"/>
        <w:jc w:val="both"/>
      </w:pPr>
      <w:r>
        <w:rPr>
          <w:color w:val="2C2C3E"/>
        </w:rPr>
        <w:t>G.O.D.S compensation architecture is deliberately distinctive. It cannot compete with the immediate compensation available from large financial institutions, technology companies, or management consultancies at the equivalent seniority level. It does not attempt to.</w:t>
      </w:r>
    </w:p>
    <w:p w14:paraId="1366F118" w14:textId="77777777" w:rsidR="009151BA" w:rsidRDefault="004439A8">
      <w:pPr>
        <w:spacing w:before="80" w:after="80"/>
        <w:jc w:val="both"/>
      </w:pPr>
      <w:r>
        <w:rPr>
          <w:color w:val="2C2C3E"/>
        </w:rPr>
        <w:t>G.O.D.S compensation is structured as: market-competitive base salary (not maximum, but respectable); significant long-horizon equity component (vested over 5-7 years, structured to reward institutional performance over individual short-term output); mission alignment premium (the intrinsic value of working on a genuinely consequential institutional project, which research consistently demonstrates commands meaningful salary discount from candidates who value purpose); and performance-linked bonus (annual, based on divisional performance and constitutional compliance rating, not purely financial).</w:t>
      </w:r>
    </w:p>
    <w:p w14:paraId="6F3BECF9" w14:textId="77777777" w:rsidR="009151BA" w:rsidRDefault="004439A8">
      <w:pPr>
        <w:spacing w:before="80" w:after="80"/>
        <w:jc w:val="both"/>
      </w:pPr>
      <w:r>
        <w:rPr>
          <w:color w:val="2C2C3E"/>
        </w:rPr>
        <w:t>The compensation architecture self-selects. Individuals motivated primarily by immediate financial maximization will choose other employers. Individuals motivated by long-horizon institutional contribution, genuine mission, and equity in something they believe has generational value will choose G.O.D.S. This self-selection produces the cultural coherence that the institution requires.</w:t>
      </w:r>
    </w:p>
    <w:p w14:paraId="68FF02B1" w14:textId="77777777" w:rsidR="009151BA" w:rsidRDefault="004439A8">
      <w:r>
        <w:br w:type="page"/>
      </w:r>
    </w:p>
    <w:p w14:paraId="1A17326B"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29: RISK MITIGATION &amp; ANTI-CORRUPTION SAFEGUARDS</w:t>
      </w:r>
    </w:p>
    <w:p w14:paraId="06F5FEDA" w14:textId="77777777" w:rsidR="009151BA" w:rsidRDefault="004439A8">
      <w:pPr>
        <w:spacing w:before="320" w:after="120"/>
      </w:pPr>
      <w:r>
        <w:rPr>
          <w:rFonts w:ascii="Georgia" w:eastAsia="Georgia" w:hAnsi="Georgia" w:cs="Georgia"/>
          <w:b/>
          <w:bCs/>
          <w:color w:val="0D2B55"/>
          <w:sz w:val="28"/>
          <w:szCs w:val="28"/>
        </w:rPr>
        <w:t>29.1 The Risk Architecture</w:t>
      </w:r>
    </w:p>
    <w:p w14:paraId="263EABB7" w14:textId="77777777" w:rsidR="009151BA" w:rsidRDefault="004439A8">
      <w:pPr>
        <w:spacing w:before="80" w:after="80"/>
        <w:jc w:val="both"/>
      </w:pPr>
      <w:r>
        <w:rPr>
          <w:color w:val="2C2C3E"/>
        </w:rPr>
        <w:t>G.O.D.S has identified six primary categories of institutional risk. Each has a defined mitigation architecture that is structurally embedded rather than reactively managed.</w:t>
      </w:r>
    </w:p>
    <w:p w14:paraId="4D4E6000" w14:textId="77777777" w:rsidR="009151BA" w:rsidRDefault="004439A8">
      <w:pPr>
        <w:spacing w:before="240" w:after="80"/>
      </w:pPr>
      <w:r>
        <w:rPr>
          <w:b/>
          <w:bCs/>
          <w:color w:val="BF9B30"/>
          <w:sz w:val="24"/>
          <w:szCs w:val="24"/>
        </w:rPr>
        <w:t>29.1.1 Political Resistance Risk</w:t>
      </w:r>
    </w:p>
    <w:p w14:paraId="52C5B5A4" w14:textId="77777777" w:rsidR="009151BA" w:rsidRDefault="004439A8">
      <w:pPr>
        <w:spacing w:before="80" w:after="80"/>
        <w:jc w:val="both"/>
      </w:pPr>
      <w:r>
        <w:rPr>
          <w:color w:val="2C2C3E"/>
        </w:rPr>
        <w:t>Political resistance is the most common cause of public-private partnership failure in emerging markets. G.O.D.S mitigates this through: deliberate political neutrality in all public communications and governance documentation; majority government ownership in all SPV structures (removing the "foreign interests capturing public resources" narrative); constitutional compliance certification for all operational jurisdictions; and diversification across multiple political relationships within each jurisdiction (not dependent on a single political champion whose departure would end the partnership).</w:t>
      </w:r>
    </w:p>
    <w:p w14:paraId="05D64606" w14:textId="77777777" w:rsidR="009151BA" w:rsidRDefault="004439A8">
      <w:pPr>
        <w:spacing w:before="240" w:after="80"/>
      </w:pPr>
      <w:r>
        <w:rPr>
          <w:b/>
          <w:bCs/>
          <w:color w:val="BF9B30"/>
          <w:sz w:val="24"/>
          <w:szCs w:val="24"/>
        </w:rPr>
        <w:t>29.1.2 Religious Misinterpretation Risk</w:t>
      </w:r>
    </w:p>
    <w:p w14:paraId="084907CF" w14:textId="77777777" w:rsidR="009151BA" w:rsidRDefault="004439A8">
      <w:pPr>
        <w:spacing w:before="80" w:after="80"/>
        <w:jc w:val="both"/>
      </w:pPr>
      <w:r>
        <w:rPr>
          <w:color w:val="2C2C3E"/>
        </w:rPr>
        <w:t>The G.O.D.S acronym — Good Orderly Directional Systems — incorporates an acronym that some may associate with religious authority. This creates a communication risk: misinterpretation of institutional purpose as religious organization or spiritual authority claim.</w:t>
      </w:r>
    </w:p>
    <w:p w14:paraId="74BD4971" w14:textId="77777777" w:rsidR="009151BA" w:rsidRDefault="004439A8">
      <w:pPr>
        <w:spacing w:before="80" w:after="80"/>
        <w:jc w:val="both"/>
      </w:pPr>
      <w:r>
        <w:rPr>
          <w:color w:val="2C2C3E"/>
        </w:rPr>
        <w:t>Mitigation: All institutional communications lead with the full name and commercial description. The acronym is used as a secondary identifier, not a primary brand. The Twelve Pillars explicitly address the belief systems neutrality commitment. All government partnership documentation uses formal institutional language that makes the commercial and governance nature of the entity unambiguous.</w:t>
      </w:r>
    </w:p>
    <w:p w14:paraId="1CB76B90" w14:textId="77777777" w:rsidR="009151BA" w:rsidRDefault="004439A8">
      <w:pPr>
        <w:spacing w:before="240" w:after="80"/>
      </w:pPr>
      <w:r>
        <w:rPr>
          <w:b/>
          <w:bCs/>
          <w:color w:val="BF9B30"/>
          <w:sz w:val="24"/>
          <w:szCs w:val="24"/>
        </w:rPr>
        <w:t>29.1.3 Over-Centralization Risk</w:t>
      </w:r>
    </w:p>
    <w:p w14:paraId="43A6425D" w14:textId="77777777" w:rsidR="009151BA" w:rsidRDefault="004439A8">
      <w:pPr>
        <w:spacing w:before="80" w:after="80"/>
        <w:jc w:val="both"/>
      </w:pPr>
      <w:r>
        <w:rPr>
          <w:color w:val="2C2C3E"/>
        </w:rPr>
        <w:t>The integrated nature of G.O.D.S — a single entity addressing multiple structural problems simultaneously — creates the risk of regulatory perception as a "too big to fail" monopoly or as an entity with inappropriate systemic influence.</w:t>
      </w:r>
    </w:p>
    <w:p w14:paraId="5C4CB576" w14:textId="77777777" w:rsidR="009151BA" w:rsidRDefault="004439A8">
      <w:pPr>
        <w:spacing w:before="80" w:after="80"/>
        <w:jc w:val="both"/>
      </w:pPr>
      <w:r>
        <w:rPr>
          <w:color w:val="2C2C3E"/>
        </w:rPr>
        <w:t>Mitigation: The constitutional architecture explicitly prevents any single G.O.D.S division from achieving market dominance that would preclude competition. The voluntary alignment doctrine ensures no coercive dependency. The IP licensing model (ultimately transitioning to open standards) prevents the kind of proprietary lock-in that characterizes monopolistic infrastructure. And the sovereign governance provisions in all government partnerships ensure that any government can exit G.O.D.S systems without operational disruption.</w:t>
      </w:r>
    </w:p>
    <w:p w14:paraId="05DA5B3E" w14:textId="77777777" w:rsidR="009151BA" w:rsidRDefault="004439A8">
      <w:pPr>
        <w:spacing w:before="240" w:after="80"/>
      </w:pPr>
      <w:r>
        <w:rPr>
          <w:b/>
          <w:bCs/>
          <w:color w:val="BF9B30"/>
          <w:sz w:val="24"/>
          <w:szCs w:val="24"/>
        </w:rPr>
        <w:t>29.1.4 Capital Liquidity Risk</w:t>
      </w:r>
    </w:p>
    <w:p w14:paraId="24EB182A" w14:textId="77777777" w:rsidR="009151BA" w:rsidRDefault="004439A8">
      <w:pPr>
        <w:spacing w:before="80" w:after="80"/>
        <w:jc w:val="both"/>
      </w:pPr>
      <w:r>
        <w:rPr>
          <w:color w:val="2C2C3E"/>
        </w:rPr>
        <w:t>The multi-year investment horizon of G.O.D.S creates capital liquidity risk — the possibility of running out of cash before reaching the revenue milestones that justify further investment.</w:t>
      </w:r>
    </w:p>
    <w:p w14:paraId="6A0AD766" w14:textId="77777777" w:rsidR="009151BA" w:rsidRDefault="004439A8">
      <w:pPr>
        <w:spacing w:before="80" w:after="80"/>
        <w:jc w:val="both"/>
      </w:pPr>
      <w:r>
        <w:rPr>
          <w:color w:val="2C2C3E"/>
        </w:rPr>
        <w:t>Mitigation: Conservative financial modeling with 18-month cash runway maintained at all times; rolling 3-month cash flow forecasts reported weekly to the ELC and monthly to the COB; diversified capital sources (private equity, government contracts, impact bonds, DFI grants) reducing single-source dependency; and staged expansion discipline ensuring costs scale only with confirmed revenue commitments.</w:t>
      </w:r>
    </w:p>
    <w:p w14:paraId="3CF66395" w14:textId="77777777" w:rsidR="009151BA" w:rsidRDefault="004439A8">
      <w:pPr>
        <w:spacing w:before="240" w:after="80"/>
      </w:pPr>
      <w:r>
        <w:rPr>
          <w:b/>
          <w:bCs/>
          <w:color w:val="BF9B30"/>
          <w:sz w:val="24"/>
          <w:szCs w:val="24"/>
        </w:rPr>
        <w:t>29.1.5 Data Privacy &amp; Cybersecurity Risk</w:t>
      </w:r>
    </w:p>
    <w:p w14:paraId="53572AD0" w14:textId="77777777" w:rsidR="009151BA" w:rsidRDefault="004439A8">
      <w:pPr>
        <w:spacing w:before="80" w:after="80"/>
        <w:jc w:val="both"/>
      </w:pPr>
      <w:r>
        <w:rPr>
          <w:color w:val="2C2C3E"/>
        </w:rPr>
        <w:lastRenderedPageBreak/>
        <w:t>G.O.D.S's business model involves highly sensitive personal data: behavioral history of rehabilitation participants, government procurement data, enterprise AI system registries. A data breach would be catastrophic — ending government partnerships, triggering regulatory action, and destroying institutional credibility.</w:t>
      </w:r>
    </w:p>
    <w:p w14:paraId="521245AD" w14:textId="77777777" w:rsidR="009151BA" w:rsidRDefault="004439A8">
      <w:pPr>
        <w:spacing w:before="80" w:after="80"/>
        <w:jc w:val="both"/>
      </w:pPr>
      <w:r>
        <w:rPr>
          <w:color w:val="2C2C3E"/>
        </w:rPr>
        <w:t>Mitigation: UDOC's architecture is designed with data sovereignty and security as primary design requirements (not add-ons). POPIA compliance is built into all S.E.T.H.S data systems from inception. External cybersecurity audit is conducted annually and after any significant system change. Incident response protocols are documented and regularly tested. Cyber insurance is maintained at levels commensurate with data custody responsibility.</w:t>
      </w:r>
    </w:p>
    <w:p w14:paraId="2207EF11" w14:textId="77777777" w:rsidR="009151BA" w:rsidRDefault="004439A8">
      <w:pPr>
        <w:spacing w:before="240" w:after="80"/>
      </w:pPr>
      <w:r>
        <w:rPr>
          <w:b/>
          <w:bCs/>
          <w:color w:val="BF9B30"/>
          <w:sz w:val="24"/>
          <w:szCs w:val="24"/>
        </w:rPr>
        <w:t>29.1.6 Mission Drift Risk</w:t>
      </w:r>
    </w:p>
    <w:p w14:paraId="256B2443" w14:textId="77777777" w:rsidR="009151BA" w:rsidRDefault="004439A8">
      <w:pPr>
        <w:spacing w:before="80" w:after="80"/>
        <w:jc w:val="both"/>
      </w:pPr>
      <w:r>
        <w:rPr>
          <w:color w:val="2C2C3E"/>
        </w:rPr>
        <w:t>The most insidious long-term risk for a mission-driven institution is gradual mission drift — the slow accumulation of commercial compromises that, individually defensible, collectively transform the institution from its founding purpose into something unrecognizable.</w:t>
      </w:r>
    </w:p>
    <w:p w14:paraId="1A5AE3F3" w14:textId="77777777" w:rsidR="009151BA" w:rsidRDefault="004439A8">
      <w:pPr>
        <w:spacing w:before="80" w:after="80"/>
        <w:jc w:val="both"/>
      </w:pPr>
      <w:r>
        <w:rPr>
          <w:color w:val="2C2C3E"/>
        </w:rPr>
        <w:t>Mitigation: The Twelve Constitutional Pillars are the structural defense against mission drift. The annual constitutional review by the COB is the early warning system. The public publication of the 25-year milestone assessment creates external accountability that prevents quiet drift. And the IP Trust structure — which holds the core institutional assets in custody for the constitutional mission — provides a legal backstop that makes institutional capture structurally difficult.</w:t>
      </w:r>
    </w:p>
    <w:p w14:paraId="2BE7B14D" w14:textId="77777777" w:rsidR="009151BA" w:rsidRDefault="004439A8">
      <w:r>
        <w:br w:type="page"/>
      </w:r>
    </w:p>
    <w:p w14:paraId="7289B082" w14:textId="77777777" w:rsidR="009151BA" w:rsidRDefault="009151BA">
      <w:pPr>
        <w:spacing w:before="720"/>
      </w:pPr>
    </w:p>
    <w:p w14:paraId="27456DC1" w14:textId="77777777" w:rsidR="009151BA" w:rsidRDefault="009151BA">
      <w:pPr>
        <w:pBdr>
          <w:bottom w:val="single" w:sz="6" w:space="1" w:color="C9A84C"/>
        </w:pBdr>
        <w:spacing w:before="240" w:after="240"/>
      </w:pPr>
    </w:p>
    <w:p w14:paraId="2D9048C6" w14:textId="77777777" w:rsidR="009151BA" w:rsidRDefault="004439A8">
      <w:pPr>
        <w:spacing w:before="960" w:after="120"/>
        <w:jc w:val="center"/>
      </w:pPr>
      <w:r>
        <w:rPr>
          <w:rFonts w:ascii="Georgia" w:eastAsia="Georgia" w:hAnsi="Georgia" w:cs="Georgia"/>
          <w:b/>
          <w:bCs/>
          <w:color w:val="BF9B30"/>
          <w:sz w:val="64"/>
          <w:szCs w:val="64"/>
        </w:rPr>
        <w:t>VOLUME VII</w:t>
      </w:r>
    </w:p>
    <w:p w14:paraId="1344AE99" w14:textId="77777777" w:rsidR="009151BA" w:rsidRDefault="004439A8">
      <w:pPr>
        <w:spacing w:before="120" w:after="480"/>
        <w:jc w:val="center"/>
      </w:pPr>
      <w:r>
        <w:rPr>
          <w:b/>
          <w:bCs/>
          <w:color w:val="0D2B55"/>
          <w:sz w:val="28"/>
          <w:szCs w:val="28"/>
        </w:rPr>
        <w:t>GOVERNANCE, LEGAL ARCHITECTURE &amp; INSTITUTIONAL INTEGRITY</w:t>
      </w:r>
    </w:p>
    <w:p w14:paraId="4CEACED1" w14:textId="77777777" w:rsidR="009151BA" w:rsidRDefault="004439A8">
      <w:r>
        <w:br w:type="page"/>
      </w:r>
    </w:p>
    <w:p w14:paraId="670CFA58"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30: CORPORATE HOLDING STRUCTURE &amp; LEGAL ARCHITECTURE</w:t>
      </w:r>
    </w:p>
    <w:p w14:paraId="77ECFAAD" w14:textId="77777777" w:rsidR="009151BA" w:rsidRDefault="004439A8">
      <w:pPr>
        <w:spacing w:before="320" w:after="120"/>
      </w:pPr>
      <w:r>
        <w:rPr>
          <w:rFonts w:ascii="Georgia" w:eastAsia="Georgia" w:hAnsi="Georgia" w:cs="Georgia"/>
          <w:b/>
          <w:bCs/>
          <w:color w:val="0D2B55"/>
          <w:sz w:val="28"/>
          <w:szCs w:val="28"/>
        </w:rPr>
        <w:t>30.1 The Legal Entities</w:t>
      </w:r>
    </w:p>
    <w:p w14:paraId="5959B096" w14:textId="77777777" w:rsidR="009151BA" w:rsidRDefault="004439A8">
      <w:pPr>
        <w:spacing w:before="80" w:after="80"/>
        <w:jc w:val="both"/>
      </w:pPr>
      <w:r>
        <w:rPr>
          <w:color w:val="2C2C3E"/>
        </w:rPr>
        <w:t>The G.O.D.S holding structure is organized as a layered legal architecture designed to achieve: separation of commercial liability from institutional mission; protection of intellectual property in a dedicated trust structure; government partnership compliance through majority-government SPV structures; and investor access to commercial returns without institutional capture.</w:t>
      </w:r>
    </w:p>
    <w:p w14:paraId="60D86081" w14:textId="77777777" w:rsidR="009151BA" w:rsidRDefault="004439A8">
      <w:pPr>
        <w:spacing w:before="80" w:after="80"/>
        <w:jc w:val="both"/>
      </w:pPr>
      <w:r>
        <w:rPr>
          <w:color w:val="2C2C3E"/>
        </w:rPr>
        <w:t>The primary legal entities are:</w:t>
      </w:r>
    </w:p>
    <w:p w14:paraId="67FB11EC" w14:textId="77777777" w:rsidR="009151BA" w:rsidRDefault="004439A8">
      <w:pPr>
        <w:pStyle w:val="ListParagraph"/>
        <w:numPr>
          <w:ilvl w:val="0"/>
          <w:numId w:val="3"/>
        </w:numPr>
        <w:spacing w:before="60" w:after="60"/>
      </w:pPr>
      <w:r>
        <w:rPr>
          <w:color w:val="2C2C3E"/>
        </w:rPr>
        <w:t>G.O.D.S Holdings (Pty) Ltd — The constitutional parent entity. Holds the institutional mission, the Twelve Pillars, the governance architecture, and the relationship with the IP Trust. Not a commercial trading entity. Revenue: None. Purpose: Mission custody and constitutional oversight.</w:t>
      </w:r>
    </w:p>
    <w:p w14:paraId="25EB7B81" w14:textId="77777777" w:rsidR="009151BA" w:rsidRDefault="004439A8">
      <w:pPr>
        <w:pStyle w:val="ListParagraph"/>
        <w:numPr>
          <w:ilvl w:val="0"/>
          <w:numId w:val="3"/>
        </w:numPr>
        <w:spacing w:before="60" w:after="60"/>
      </w:pPr>
      <w:r>
        <w:rPr>
          <w:color w:val="2C2C3E"/>
        </w:rPr>
        <w:t>G.O.D.S TS Holdings (Pty) Ltd — The commercial holding entity. Owns the operating subsidiaries, raises external capital, enters commercial contracts, and generates investor returns. Revenue: Consolidated divisional revenues. Purpose: Commercial engine of the G.O.D.S architecture.</w:t>
      </w:r>
    </w:p>
    <w:p w14:paraId="55EDC580" w14:textId="77777777" w:rsidR="009151BA" w:rsidRDefault="004439A8">
      <w:pPr>
        <w:pStyle w:val="ListParagraph"/>
        <w:numPr>
          <w:ilvl w:val="0"/>
          <w:numId w:val="3"/>
        </w:numPr>
        <w:spacing w:before="60" w:after="60"/>
      </w:pPr>
      <w:r>
        <w:rPr>
          <w:color w:val="2C2C3E"/>
        </w:rPr>
        <w:t>S.E.T.H.S Operations (Pty) Ltd — The human systems operating subsidiary. Government contracts, corporate workforce programs, behavioral data services. Revenue: Divisional revenue as described in Section 16.</w:t>
      </w:r>
    </w:p>
    <w:p w14:paraId="1DBE9DD6" w14:textId="77777777" w:rsidR="009151BA" w:rsidRDefault="004439A8">
      <w:pPr>
        <w:pStyle w:val="ListParagraph"/>
        <w:numPr>
          <w:ilvl w:val="0"/>
          <w:numId w:val="3"/>
        </w:numPr>
        <w:spacing w:before="60" w:after="60"/>
      </w:pPr>
      <w:r>
        <w:rPr>
          <w:color w:val="2C2C3E"/>
        </w:rPr>
        <w:t>UDOC Systems (Pty) Ltd — The technology operating subsidiary. Enterprise AI governance platform, national digital backbone. Revenue: Divisional revenue as described in Section 14.</w:t>
      </w:r>
    </w:p>
    <w:p w14:paraId="34B9E885" w14:textId="77777777" w:rsidR="009151BA" w:rsidRDefault="004439A8">
      <w:pPr>
        <w:pStyle w:val="ListParagraph"/>
        <w:numPr>
          <w:ilvl w:val="0"/>
          <w:numId w:val="3"/>
        </w:numPr>
        <w:spacing w:before="60" w:after="60"/>
      </w:pPr>
      <w:r>
        <w:rPr>
          <w:color w:val="2C2C3E"/>
        </w:rPr>
        <w:t>G.O.D.S TS Media (Pty) Ltd — The media and narrative operating subsidiary. Documentary, educational content, speaking, digital courses. Revenue: Divisional revenue as described in Division 3.</w:t>
      </w:r>
    </w:p>
    <w:p w14:paraId="5B19FE9F" w14:textId="77777777" w:rsidR="009151BA" w:rsidRDefault="004439A8">
      <w:pPr>
        <w:pStyle w:val="ListParagraph"/>
        <w:numPr>
          <w:ilvl w:val="0"/>
          <w:numId w:val="3"/>
        </w:numPr>
        <w:spacing w:before="60" w:after="60"/>
      </w:pPr>
      <w:r>
        <w:rPr>
          <w:color w:val="2C2C3E"/>
        </w:rPr>
        <w:t>M.A.D.I.B.A Capital Management (Pty) Ltd — The fund management entity. GP of the M.A.D.I.B.A capital fund. Revenue: Management fees and carried interest.</w:t>
      </w:r>
    </w:p>
    <w:p w14:paraId="0F49FE78" w14:textId="77777777" w:rsidR="009151BA" w:rsidRDefault="004439A8">
      <w:pPr>
        <w:pStyle w:val="ListParagraph"/>
        <w:numPr>
          <w:ilvl w:val="0"/>
          <w:numId w:val="3"/>
        </w:numPr>
        <w:spacing w:before="60" w:after="60"/>
      </w:pPr>
      <w:r>
        <w:rPr>
          <w:color w:val="2C2C3E"/>
        </w:rPr>
        <w:t>G.O.D.S IP Trust — The perpetual trust holding all core intellectual property. Not a corporate entity. Governed by independent trustees with fiduciary obligations to the constitutional mission. Revenue: Licensing fees from IP usage.</w:t>
      </w:r>
    </w:p>
    <w:p w14:paraId="24B3F9DE" w14:textId="77777777" w:rsidR="009151BA" w:rsidRDefault="004439A8">
      <w:pPr>
        <w:pStyle w:val="ListParagraph"/>
        <w:numPr>
          <w:ilvl w:val="0"/>
          <w:numId w:val="3"/>
        </w:numPr>
        <w:spacing w:before="60" w:after="60"/>
      </w:pPr>
      <w:r>
        <w:rPr>
          <w:color w:val="2C2C3E"/>
        </w:rPr>
        <w:t>National Digital Infrastructure SPV — The joint venture entity for government digital backbone deployment. Majority government-owned (minimum 51%), minority G.O.D.S TS Holdings. Revenue: Government contract payments, digital service licensing.</w:t>
      </w:r>
    </w:p>
    <w:p w14:paraId="27857CF0" w14:textId="77777777" w:rsidR="009151BA" w:rsidRDefault="004439A8">
      <w:pPr>
        <w:spacing w:before="320" w:after="120"/>
      </w:pPr>
      <w:r>
        <w:rPr>
          <w:rFonts w:ascii="Georgia" w:eastAsia="Georgia" w:hAnsi="Georgia" w:cs="Georgia"/>
          <w:b/>
          <w:bCs/>
          <w:color w:val="0D2B55"/>
          <w:sz w:val="28"/>
          <w:szCs w:val="28"/>
        </w:rPr>
        <w:t>30.2 Ownership and Control Architecture</w:t>
      </w:r>
    </w:p>
    <w:p w14:paraId="4716BB02" w14:textId="77777777" w:rsidR="009151BA" w:rsidRDefault="004439A8">
      <w:pPr>
        <w:spacing w:before="80" w:after="80"/>
        <w:jc w:val="both"/>
      </w:pPr>
      <w:r>
        <w:rPr>
          <w:color w:val="2C2C3E"/>
        </w:rPr>
        <w:t>The Founder holds 100% of G.O.D.S Holdings at inception. G.O.D.S Holdings holds 100% of G.O.D.S TS Holdings at inception. As external capital is raised, G.O.D.S Holdings maintains minimum 51% of G.O.D.S TS Holdings throughout the Founder's active institutional period. External investors hold preference shares in G.O.D.S TS Holdings with defined commercial rights but no constitutional override authority.</w:t>
      </w:r>
    </w:p>
    <w:p w14:paraId="4E1121EE" w14:textId="77777777" w:rsidR="009151BA" w:rsidRDefault="004439A8">
      <w:pPr>
        <w:spacing w:before="80" w:after="80"/>
        <w:jc w:val="both"/>
      </w:pPr>
      <w:r>
        <w:rPr>
          <w:color w:val="2C2C3E"/>
        </w:rPr>
        <w:t>At the 25-year milestone, the Founder's equity in G.O.D.S Holdings transitions to the IP Trust, establishing perpetual institutional custody. At this point, G.O.D.S TS Holdings is governed by the Constitutional Oversight Board and the Executive Leadership Council, with the IP Trust as the primary shareholder.</w:t>
      </w:r>
    </w:p>
    <w:p w14:paraId="024F7803" w14:textId="77777777" w:rsidR="009151BA" w:rsidRDefault="004439A8">
      <w:r>
        <w:br w:type="page"/>
      </w:r>
    </w:p>
    <w:p w14:paraId="3DBBC8AE"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31: THE IP TRUST CONSTITUTION</w:t>
      </w:r>
    </w:p>
    <w:p w14:paraId="680EA0E4" w14:textId="77777777" w:rsidR="009151BA" w:rsidRDefault="004439A8">
      <w:pPr>
        <w:spacing w:before="320" w:after="120"/>
      </w:pPr>
      <w:r>
        <w:rPr>
          <w:rFonts w:ascii="Georgia" w:eastAsia="Georgia" w:hAnsi="Georgia" w:cs="Georgia"/>
          <w:b/>
          <w:bCs/>
          <w:color w:val="0D2B55"/>
          <w:sz w:val="28"/>
          <w:szCs w:val="28"/>
        </w:rPr>
        <w:t>31.1 Purpose of the IP Trust</w:t>
      </w:r>
    </w:p>
    <w:p w14:paraId="143F27F8" w14:textId="77777777" w:rsidR="009151BA" w:rsidRDefault="004439A8">
      <w:pPr>
        <w:spacing w:before="80" w:after="80"/>
        <w:jc w:val="both"/>
      </w:pPr>
      <w:r>
        <w:rPr>
          <w:color w:val="2C2C3E"/>
        </w:rPr>
        <w:t>The G.O.D.S Intellectual Property Perpetual Trust is the single most important legal structure in the institutional architecture. It is the mechanism by which the core assets of G.O.D.S — the methodologies, the platforms, the frameworks, the data architecture, the brand — are insulated from corporate governance changes, founder succession, commercial acquisition attempts, and political seizure.</w:t>
      </w:r>
    </w:p>
    <w:p w14:paraId="55ED001A" w14:textId="77777777" w:rsidR="009151BA" w:rsidRDefault="004439A8">
      <w:pPr>
        <w:spacing w:before="80" w:after="80"/>
        <w:jc w:val="both"/>
      </w:pPr>
      <w:r>
        <w:rPr>
          <w:color w:val="2C2C3E"/>
        </w:rPr>
        <w:t>The Trust holds: all G.O.D.S registered patents; all proprietary methodology documentation for S.E.T.H.S, UDOC, and M.A.D.I.B.A; the G.O.D.S brand and trademark portfolio; the Twelve Constitutional Pillars as a protected constitutional document; the S.E.T.H.S longitudinal behavioral dataset (the most valuable long-term data asset); and the UDOC cryptographic and governance architecture specifications.</w:t>
      </w:r>
    </w:p>
    <w:p w14:paraId="0029C954" w14:textId="77777777" w:rsidR="009151BA" w:rsidRDefault="004439A8">
      <w:pPr>
        <w:spacing w:before="320" w:after="120"/>
      </w:pPr>
      <w:r>
        <w:rPr>
          <w:rFonts w:ascii="Georgia" w:eastAsia="Georgia" w:hAnsi="Georgia" w:cs="Georgia"/>
          <w:b/>
          <w:bCs/>
          <w:color w:val="0D2B55"/>
          <w:sz w:val="28"/>
          <w:szCs w:val="28"/>
        </w:rPr>
        <w:t>31.2 Trust Governance</w:t>
      </w:r>
    </w:p>
    <w:p w14:paraId="5E1D53DC" w14:textId="77777777" w:rsidR="009151BA" w:rsidRDefault="004439A8">
      <w:pPr>
        <w:spacing w:before="80" w:after="80"/>
        <w:jc w:val="both"/>
      </w:pPr>
      <w:r>
        <w:rPr>
          <w:color w:val="2C2C3E"/>
        </w:rPr>
        <w:t>The Trust is governed by three independent trustees, appointed for fixed 7-year terms by the Constitutional Oversight Board. Trustees must have demonstrated expertise in at least one of: intellectual property law, institutional governance, or trust administration. No trustee may have financial interests in any G.O.D.S commercial entity.</w:t>
      </w:r>
    </w:p>
    <w:p w14:paraId="26270F8B" w14:textId="77777777" w:rsidR="009151BA" w:rsidRDefault="004439A8">
      <w:pPr>
        <w:spacing w:before="80" w:after="80"/>
        <w:jc w:val="both"/>
      </w:pPr>
      <w:r>
        <w:rPr>
          <w:color w:val="2C2C3E"/>
        </w:rPr>
        <w:t>Trustee authority includes: granting and revoking licenses for Trust-held IP; approving IP dispositions (all of which require unanimous trustee agreement); receiving and reviewing annual IP audit reports; and reporting to the COB on Trust status and any attempted violations of Trust terms.</w:t>
      </w:r>
    </w:p>
    <w:p w14:paraId="438C0995" w14:textId="77777777" w:rsidR="009151BA" w:rsidRDefault="004439A8">
      <w:pPr>
        <w:spacing w:before="320" w:after="120"/>
      </w:pPr>
      <w:r>
        <w:rPr>
          <w:rFonts w:ascii="Georgia" w:eastAsia="Georgia" w:hAnsi="Georgia" w:cs="Georgia"/>
          <w:b/>
          <w:bCs/>
          <w:color w:val="0D2B55"/>
          <w:sz w:val="28"/>
          <w:szCs w:val="28"/>
        </w:rPr>
        <w:t>31.3 IP Sale Prohibition</w:t>
      </w:r>
    </w:p>
    <w:p w14:paraId="6E587AE8" w14:textId="77777777" w:rsidR="009151BA" w:rsidRDefault="004439A8">
      <w:pPr>
        <w:spacing w:before="80" w:after="80"/>
        <w:jc w:val="both"/>
      </w:pPr>
      <w:r>
        <w:rPr>
          <w:color w:val="2C2C3E"/>
        </w:rPr>
        <w:t>The IP Trust Constitution contains an absolute prohibition on the sale, transfer, or encumbrance of core G.O.D.S IP to any entity that does not operate under the G.O.D.S constitutional framework. This prohibition is permanent — it cannot be overridden by commercial pressure, Board decision, or shareholder vote.</w:t>
      </w:r>
    </w:p>
    <w:p w14:paraId="5370180E" w14:textId="77777777" w:rsidR="009151BA" w:rsidRDefault="004439A8">
      <w:pPr>
        <w:spacing w:before="80" w:after="80"/>
        <w:jc w:val="both"/>
      </w:pPr>
      <w:r>
        <w:rPr>
          <w:color w:val="2C2C3E"/>
        </w:rPr>
        <w:t>The prohibition exists because the most common form of institutional mission destruction is not hostile takeover but voluntary IP sale: the point at which commercial pressure becomes sufficient to justify selling the core asset to a buyer who will not honor the institutional commitments. The Trust structure prevents this path from being available regardless of how attractive the commercial offer.</w:t>
      </w:r>
    </w:p>
    <w:p w14:paraId="0E57C202" w14:textId="77777777" w:rsidR="009151BA" w:rsidRDefault="004439A8">
      <w:r>
        <w:br w:type="page"/>
      </w:r>
    </w:p>
    <w:p w14:paraId="57BA6FF0"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32: FOUNDER SUCCESSION &amp; GENERATIONAL TRANSITION ARCHITECTURE</w:t>
      </w:r>
    </w:p>
    <w:p w14:paraId="26652048" w14:textId="77777777" w:rsidR="009151BA" w:rsidRDefault="004439A8">
      <w:pPr>
        <w:spacing w:before="320" w:after="120"/>
      </w:pPr>
      <w:r>
        <w:rPr>
          <w:rFonts w:ascii="Georgia" w:eastAsia="Georgia" w:hAnsi="Georgia" w:cs="Georgia"/>
          <w:b/>
          <w:bCs/>
          <w:color w:val="0D2B55"/>
          <w:sz w:val="28"/>
          <w:szCs w:val="28"/>
        </w:rPr>
        <w:t>32.1 The Succession Imperative</w:t>
      </w:r>
    </w:p>
    <w:p w14:paraId="109438AF" w14:textId="77777777" w:rsidR="009151BA" w:rsidRDefault="004439A8">
      <w:pPr>
        <w:spacing w:before="80" w:after="80"/>
        <w:jc w:val="both"/>
      </w:pPr>
      <w:r>
        <w:rPr>
          <w:color w:val="2C2C3E"/>
        </w:rPr>
        <w:t>The most common failure mode of founder-led institutions is the absence of succession planning. When founders die or become incapacitated without a functional succession architecture, institutions either collapse, are captured by competing interests, or drift from their founding mission. G.O.D.S builds its succession architecture from inception.</w:t>
      </w:r>
    </w:p>
    <w:p w14:paraId="214F52D7" w14:textId="77777777" w:rsidR="009151BA" w:rsidRDefault="004439A8">
      <w:pPr>
        <w:spacing w:before="320" w:after="120"/>
      </w:pPr>
      <w:r>
        <w:rPr>
          <w:rFonts w:ascii="Georgia" w:eastAsia="Georgia" w:hAnsi="Georgia" w:cs="Georgia"/>
          <w:b/>
          <w:bCs/>
          <w:color w:val="0D2B55"/>
          <w:sz w:val="28"/>
          <w:szCs w:val="28"/>
        </w:rPr>
        <w:t>32.2 The Succession Framework</w:t>
      </w:r>
    </w:p>
    <w:p w14:paraId="7B29BD98" w14:textId="77777777" w:rsidR="009151BA" w:rsidRDefault="004439A8">
      <w:pPr>
        <w:spacing w:before="80" w:after="80"/>
        <w:jc w:val="both"/>
      </w:pPr>
      <w:r>
        <w:rPr>
          <w:color w:val="2C2C3E"/>
        </w:rPr>
        <w:t>The succession framework operates through three mechanisms: the Leadership Development Pipeline, the CEO Transition Protocol, and the Constitutional Continuity Provision.</w:t>
      </w:r>
    </w:p>
    <w:p w14:paraId="0B5B78F7" w14:textId="77777777" w:rsidR="009151BA" w:rsidRDefault="004439A8">
      <w:pPr>
        <w:spacing w:before="80" w:after="80"/>
        <w:jc w:val="both"/>
      </w:pPr>
      <w:r>
        <w:rPr>
          <w:color w:val="2C2C3E"/>
        </w:rPr>
        <w:t>The Leadership Development Pipeline is the systematic identification and development of potential institutional leaders within G.O.D.S and through the M.A.D.I.B.A talent acceleration program. By Year 5, G.O.D.S should have identified a minimum of three individuals with CEO succession potential — developed, assessed, and documented within the institutional record.</w:t>
      </w:r>
    </w:p>
    <w:p w14:paraId="4F3C623D" w14:textId="77777777" w:rsidR="009151BA" w:rsidRDefault="004439A8">
      <w:pPr>
        <w:spacing w:before="80" w:after="80"/>
        <w:jc w:val="both"/>
      </w:pPr>
      <w:r>
        <w:rPr>
          <w:color w:val="2C2C3E"/>
        </w:rPr>
        <w:t>The CEO Transition Protocol defines the process by which leadership authority transfers: triggered by Founder's voluntary transition, incapacitation, or COB-initiated removal; managed by the Constitutional Oversight Board; requires minimum 12-month parallel operation where possible; includes documented knowledge transfer, relationship transfer, and cultural continuity programming.</w:t>
      </w:r>
    </w:p>
    <w:p w14:paraId="5A919513" w14:textId="77777777" w:rsidR="009151BA" w:rsidRDefault="004439A8">
      <w:pPr>
        <w:spacing w:before="80" w:after="80"/>
        <w:jc w:val="both"/>
      </w:pPr>
      <w:r>
        <w:rPr>
          <w:color w:val="2C2C3E"/>
        </w:rPr>
        <w:t>The Constitutional Continuity Provision ensures that any new CEO, at any point in G.O.D.S history, is bound by the same Twelve Constitutional Pillars as the Founder. The Pillars cannot be modified by executive authority — only by a constitutional amendment process requiring COB supermajority and independent external review.</w:t>
      </w:r>
    </w:p>
    <w:p w14:paraId="1E10EEB8" w14:textId="77777777" w:rsidR="009151BA" w:rsidRDefault="004439A8">
      <w:r>
        <w:br w:type="page"/>
      </w:r>
    </w:p>
    <w:p w14:paraId="0AA2C324" w14:textId="77777777" w:rsidR="009151BA" w:rsidRDefault="009151BA">
      <w:pPr>
        <w:spacing w:before="720"/>
      </w:pPr>
    </w:p>
    <w:p w14:paraId="2124FBB2" w14:textId="77777777" w:rsidR="009151BA" w:rsidRDefault="009151BA">
      <w:pPr>
        <w:pBdr>
          <w:bottom w:val="single" w:sz="6" w:space="1" w:color="C9A84C"/>
        </w:pBdr>
        <w:spacing w:before="240" w:after="240"/>
      </w:pPr>
    </w:p>
    <w:p w14:paraId="22D8974F" w14:textId="77777777" w:rsidR="009151BA" w:rsidRDefault="004439A8">
      <w:pPr>
        <w:spacing w:before="960" w:after="120"/>
        <w:jc w:val="center"/>
      </w:pPr>
      <w:r>
        <w:rPr>
          <w:rFonts w:ascii="Georgia" w:eastAsia="Georgia" w:hAnsi="Georgia" w:cs="Georgia"/>
          <w:b/>
          <w:bCs/>
          <w:color w:val="BF9B30"/>
          <w:sz w:val="64"/>
          <w:szCs w:val="64"/>
        </w:rPr>
        <w:t>VOLUME VIII</w:t>
      </w:r>
    </w:p>
    <w:p w14:paraId="6A317BA7" w14:textId="77777777" w:rsidR="009151BA" w:rsidRDefault="004439A8">
      <w:pPr>
        <w:spacing w:before="120" w:after="480"/>
        <w:jc w:val="center"/>
      </w:pPr>
      <w:r>
        <w:rPr>
          <w:b/>
          <w:bCs/>
          <w:color w:val="0D2B55"/>
          <w:sz w:val="28"/>
          <w:szCs w:val="28"/>
        </w:rPr>
        <w:t>QUANTUM ARCHITECTURE &amp; AI GOVERNANCE FRAMEWORK</w:t>
      </w:r>
    </w:p>
    <w:p w14:paraId="07619A3A" w14:textId="77777777" w:rsidR="009151BA" w:rsidRDefault="004439A8">
      <w:r>
        <w:br w:type="page"/>
      </w:r>
    </w:p>
    <w:p w14:paraId="46664D68"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33: THE QUANTUM-READY UDOC ARCHITECTURE</w:t>
      </w:r>
    </w:p>
    <w:p w14:paraId="5DB45A4F" w14:textId="77777777" w:rsidR="009151BA" w:rsidRDefault="004439A8">
      <w:pPr>
        <w:spacing w:before="320" w:after="120"/>
      </w:pPr>
      <w:r>
        <w:rPr>
          <w:rFonts w:ascii="Georgia" w:eastAsia="Georgia" w:hAnsi="Georgia" w:cs="Georgia"/>
          <w:b/>
          <w:bCs/>
          <w:color w:val="0D2B55"/>
          <w:sz w:val="28"/>
          <w:szCs w:val="28"/>
        </w:rPr>
        <w:t>33.1 Why Quantum Matters Now</w:t>
      </w:r>
    </w:p>
    <w:p w14:paraId="6AF96622" w14:textId="77777777" w:rsidR="009151BA" w:rsidRDefault="004439A8">
      <w:pPr>
        <w:spacing w:before="80" w:after="80"/>
        <w:jc w:val="both"/>
      </w:pPr>
      <w:r>
        <w:rPr>
          <w:color w:val="2C2C3E"/>
        </w:rPr>
        <w:t>Quantum computing is not a distant theoretical concern. It is an approaching operational reality that is already shaping the strategic decisions of nation-states, intelligence agencies, and major financial institutions. The fundamental threat posed by quantum computing to current cryptographic infrastructure is the ability of sufficiently powerful quantum computers to factorize large numbers at speeds that render current RSA and elliptic curve encryption effectively useless.</w:t>
      </w:r>
    </w:p>
    <w:p w14:paraId="7CD01398" w14:textId="77777777" w:rsidR="009151BA" w:rsidRDefault="004439A8">
      <w:pPr>
        <w:spacing w:before="80" w:after="80"/>
        <w:jc w:val="both"/>
      </w:pPr>
      <w:r>
        <w:rPr>
          <w:color w:val="2C2C3E"/>
        </w:rPr>
        <w:t>This matters for G.O.D.S and its clients because: government procurement systems protected by current encryption will be vulnerable; digital identity and land registry systems will be susceptible to retroactive decryption; financial transaction records maintained in encrypted archives are potentially vulnerable to future decryption ("harvest now, decrypt later" attacks are already underway); and national security communication infrastructure that relies on current cryptography will require replacement.</w:t>
      </w:r>
    </w:p>
    <w:p w14:paraId="558CA820" w14:textId="77777777" w:rsidR="009151BA" w:rsidRDefault="004439A8">
      <w:pPr>
        <w:spacing w:before="80" w:after="80"/>
        <w:jc w:val="both"/>
      </w:pPr>
      <w:r>
        <w:rPr>
          <w:color w:val="2C2C3E"/>
        </w:rPr>
        <w:t>The organizations and governments that build quantum-ready infrastructure today are not being paranoid. They are being rational about a transition that will be expensive and disruptive when forced under crisis conditions, but manageable when planned proactively.</w:t>
      </w:r>
    </w:p>
    <w:p w14:paraId="101AC1D9" w14:textId="77777777" w:rsidR="009151BA" w:rsidRDefault="004439A8">
      <w:pPr>
        <w:spacing w:before="320" w:after="120"/>
      </w:pPr>
      <w:r>
        <w:rPr>
          <w:rFonts w:ascii="Georgia" w:eastAsia="Georgia" w:hAnsi="Georgia" w:cs="Georgia"/>
          <w:b/>
          <w:bCs/>
          <w:color w:val="0D2B55"/>
          <w:sz w:val="28"/>
          <w:szCs w:val="28"/>
        </w:rPr>
        <w:t>33.2 UDOC Quantum-Ready Architecture Design</w:t>
      </w:r>
    </w:p>
    <w:p w14:paraId="6D8B5CB9" w14:textId="77777777" w:rsidR="009151BA" w:rsidRDefault="004439A8">
      <w:pPr>
        <w:spacing w:before="80" w:after="80"/>
        <w:jc w:val="both"/>
      </w:pPr>
      <w:r>
        <w:rPr>
          <w:color w:val="2C2C3E"/>
        </w:rPr>
        <w:t>UDOC's quantum-ready architecture is built on the NIST Post-Quantum Cryptography (PQC) standardization framework — the most comprehensive and credible international standard for quantum-resistant cryptographic algorithms. NIST's PQC candidates, finalized through a multi-year international evaluation process, form the cryptographic foundation of UDOC's new deployments.</w:t>
      </w:r>
    </w:p>
    <w:p w14:paraId="16711C92" w14:textId="77777777" w:rsidR="009151BA" w:rsidRDefault="004439A8">
      <w:pPr>
        <w:spacing w:before="80" w:after="80"/>
        <w:jc w:val="both"/>
      </w:pPr>
      <w:r>
        <w:rPr>
          <w:color w:val="2C2C3E"/>
        </w:rPr>
        <w:t>The architecture layers are: the Cryptographic Foundation Layer (NIST PQC algorithms: CRYSTALS-Kyber for key encapsulation, CRYSTALS-Dilithium for digital signatures, FALCON and SPHINCS+ as secondary signature options); the Hybrid Transition Layer (enabling simultaneous operation of classical and quantum-resistant cryptography during the transition period, ensuring backward compatibility without sacrificing quantum resistance for new operations); the Key Management Layer (quantum-safe key generation, distribution, and rotation protocols with hardware security module integration); the Data Sovereignty Layer (ensuring all quantum-resistant operations for government data are performed within sovereign computational boundaries); and the Audit and Attestation Layer (cryptographically verifiable audit trails that remain tamper-evident under quantum adversarial conditions).</w:t>
      </w:r>
    </w:p>
    <w:p w14:paraId="0C61CE28" w14:textId="77777777" w:rsidR="009151BA" w:rsidRDefault="004439A8">
      <w:pPr>
        <w:spacing w:before="320" w:after="120"/>
      </w:pPr>
      <w:r>
        <w:rPr>
          <w:rFonts w:ascii="Georgia" w:eastAsia="Georgia" w:hAnsi="Georgia" w:cs="Georgia"/>
          <w:b/>
          <w:bCs/>
          <w:color w:val="0D2B55"/>
          <w:sz w:val="28"/>
          <w:szCs w:val="28"/>
        </w:rPr>
        <w:t>33.3 Quantum-Inspired Operating Systems (QIOS)</w:t>
      </w:r>
    </w:p>
    <w:p w14:paraId="1F2E8217" w14:textId="77777777" w:rsidR="009151BA" w:rsidRDefault="004439A8">
      <w:pPr>
        <w:spacing w:before="80" w:after="80"/>
        <w:jc w:val="both"/>
      </w:pPr>
      <w:r>
        <w:rPr>
          <w:color w:val="2C2C3E"/>
        </w:rPr>
        <w:t>Beyond quantum-resistant cryptography, G.O.D.S has developed a Quantum-Inspired Operating System (QIOS) concept that deploys quantum computational principles on classical hardware to optimize AI workloads, scheduling, and memory management. This is not true quantum computing — it is the application of quantum algorithmic insights (superposition-inspired scheduling, entanglement-based memory management, probabilistic I/O prioritization) to existing hardware architectures.</w:t>
      </w:r>
    </w:p>
    <w:p w14:paraId="5641709D" w14:textId="77777777" w:rsidR="009151BA" w:rsidRDefault="004439A8">
      <w:pPr>
        <w:spacing w:before="80" w:after="80"/>
        <w:jc w:val="both"/>
      </w:pPr>
      <w:r>
        <w:rPr>
          <w:color w:val="2C2C3E"/>
        </w:rPr>
        <w:t>The QIOS architecture achieves meaningful performance improvements for the specific workload profile of UDOC — highly parallel, variable-priority, AI-intensive processing — without requiring quantum hardware. It provides the performance characteristics needed for real-time government governance systems while running on standard enterprise infrastructure.</w:t>
      </w:r>
    </w:p>
    <w:p w14:paraId="278A2315" w14:textId="77777777" w:rsidR="009151BA" w:rsidRDefault="004439A8">
      <w:pPr>
        <w:spacing w:before="80" w:after="80"/>
        <w:jc w:val="both"/>
      </w:pPr>
      <w:r>
        <w:rPr>
          <w:color w:val="2C2C3E"/>
        </w:rPr>
        <w:lastRenderedPageBreak/>
        <w:t>As true quantum hardware becomes available and commercially accessible, UDOC's architecture is designed to migrate to genuine quantum acceleration without architectural reconstruction. The design investment in quantum-ready systems today prevents the need for complete system replacement when quantum hardware becomes mainstream.</w:t>
      </w:r>
    </w:p>
    <w:p w14:paraId="7970B39E" w14:textId="77777777" w:rsidR="009151BA" w:rsidRDefault="004439A8">
      <w:r>
        <w:br w:type="page"/>
      </w:r>
    </w:p>
    <w:p w14:paraId="73A7B02D"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34: AI GOVERNANCE FRAMEWORK</w:t>
      </w:r>
    </w:p>
    <w:p w14:paraId="031EB140" w14:textId="77777777" w:rsidR="009151BA" w:rsidRDefault="004439A8">
      <w:pPr>
        <w:spacing w:before="320" w:after="120"/>
      </w:pPr>
      <w:r>
        <w:rPr>
          <w:rFonts w:ascii="Georgia" w:eastAsia="Georgia" w:hAnsi="Georgia" w:cs="Georgia"/>
          <w:b/>
          <w:bCs/>
          <w:color w:val="0D2B55"/>
          <w:sz w:val="28"/>
          <w:szCs w:val="28"/>
        </w:rPr>
        <w:t>34.1 The AI Governance Mandate</w:t>
      </w:r>
    </w:p>
    <w:p w14:paraId="4B82A450" w14:textId="77777777" w:rsidR="009151BA" w:rsidRDefault="004439A8">
      <w:pPr>
        <w:spacing w:before="80" w:after="80"/>
        <w:jc w:val="both"/>
      </w:pPr>
      <w:r>
        <w:rPr>
          <w:color w:val="2C2C3E"/>
        </w:rPr>
        <w:t>G.O.D.S operates both as an AI governance infrastructure provider (through UDOC) and as an AI user across its own operations (S.E.T.H.S behavioral assessment, T.S production optimization, M.A.D.I.B.A capital modeling). This dual role creates a governance responsibility: G.O.D.S must demonstrate that its own AI deployment meets or exceeds the standards it sells to clients.</w:t>
      </w:r>
    </w:p>
    <w:p w14:paraId="6DE67684" w14:textId="77777777" w:rsidR="009151BA" w:rsidRDefault="004439A8">
      <w:pPr>
        <w:spacing w:before="320" w:after="120"/>
      </w:pPr>
      <w:r>
        <w:rPr>
          <w:rFonts w:ascii="Georgia" w:eastAsia="Georgia" w:hAnsi="Georgia" w:cs="Georgia"/>
          <w:b/>
          <w:bCs/>
          <w:color w:val="0D2B55"/>
          <w:sz w:val="28"/>
          <w:szCs w:val="28"/>
        </w:rPr>
        <w:t>34.2 The G.O.D.S AI Governance Standards</w:t>
      </w:r>
    </w:p>
    <w:p w14:paraId="3D5D948C" w14:textId="77777777" w:rsidR="009151BA" w:rsidRDefault="004439A8">
      <w:pPr>
        <w:spacing w:before="80" w:after="80"/>
        <w:jc w:val="both"/>
      </w:pPr>
      <w:r>
        <w:rPr>
          <w:color w:val="2C2C3E"/>
        </w:rPr>
        <w:t>All AI systems deployed within G.O.D.S operations must satisfy the following standards, which are also offered to UDOC clients as the G.O.D.S AI Governance Certification framework:</w:t>
      </w:r>
    </w:p>
    <w:p w14:paraId="4A189C98" w14:textId="77777777" w:rsidR="009151BA" w:rsidRDefault="004439A8">
      <w:pPr>
        <w:pStyle w:val="ListParagraph"/>
        <w:numPr>
          <w:ilvl w:val="0"/>
          <w:numId w:val="3"/>
        </w:numPr>
        <w:spacing w:before="60" w:after="60"/>
      </w:pPr>
      <w:r>
        <w:rPr>
          <w:color w:val="2C2C3E"/>
        </w:rPr>
        <w:t>System Registry and Documentation: Every AI system is registered in the UDOC enterprise registry with documentation of: training data provenance; model architecture and version history; intended use case and scope boundaries; known limitations and failure modes; and human review pathway specifications.</w:t>
      </w:r>
    </w:p>
    <w:p w14:paraId="2D3C55FA" w14:textId="77777777" w:rsidR="009151BA" w:rsidRDefault="004439A8">
      <w:pPr>
        <w:pStyle w:val="ListParagraph"/>
        <w:numPr>
          <w:ilvl w:val="0"/>
          <w:numId w:val="3"/>
        </w:numPr>
        <w:spacing w:before="60" w:after="60"/>
      </w:pPr>
      <w:r>
        <w:rPr>
          <w:color w:val="2C2C3E"/>
        </w:rPr>
        <w:t>Risk Classification: Each AI system is classified according to the UDOC Risk Tier model (aligned with EU AI Act categories): Prohibited (no deployment); High Risk (mandatory pre-deployment conformity assessment and ongoing monitoring); Limited Risk (transparency obligations); and Minimal Risk (voluntary code of conduct compliance).</w:t>
      </w:r>
    </w:p>
    <w:p w14:paraId="7EBB1ABA" w14:textId="77777777" w:rsidR="009151BA" w:rsidRDefault="004439A8">
      <w:pPr>
        <w:pStyle w:val="ListParagraph"/>
        <w:numPr>
          <w:ilvl w:val="0"/>
          <w:numId w:val="3"/>
        </w:numPr>
        <w:spacing w:before="60" w:after="60"/>
      </w:pPr>
      <w:r>
        <w:rPr>
          <w:color w:val="2C2C3E"/>
        </w:rPr>
        <w:t>Bias Monitoring and Fairness Auditing: AI systems affecting individual welfare (S.E.T.H.S behavioral assessment, credit and employment decisions) are subject to ongoing bias monitoring using defined fairness metrics. Automatic escalation triggers when bias indicators exceed defined thresholds.</w:t>
      </w:r>
    </w:p>
    <w:p w14:paraId="6AFD59A3" w14:textId="77777777" w:rsidR="009151BA" w:rsidRDefault="004439A8">
      <w:pPr>
        <w:pStyle w:val="ListParagraph"/>
        <w:numPr>
          <w:ilvl w:val="0"/>
          <w:numId w:val="3"/>
        </w:numPr>
        <w:spacing w:before="60" w:after="60"/>
      </w:pPr>
      <w:r>
        <w:rPr>
          <w:color w:val="2C2C3E"/>
        </w:rPr>
        <w:t>Human Review Pathways: All High Risk AI decisions have a documented human review pathway that is accessible to the affected individual upon request. The pathway must be functional within 48 hours of request.</w:t>
      </w:r>
    </w:p>
    <w:p w14:paraId="1464BD06" w14:textId="77777777" w:rsidR="009151BA" w:rsidRDefault="004439A8">
      <w:pPr>
        <w:pStyle w:val="ListParagraph"/>
        <w:numPr>
          <w:ilvl w:val="0"/>
          <w:numId w:val="3"/>
        </w:numPr>
        <w:spacing w:before="60" w:after="60"/>
      </w:pPr>
      <w:r>
        <w:rPr>
          <w:color w:val="2C2C3E"/>
        </w:rPr>
        <w:t>Annual Ethics Audit: Independent external ethics audit of all High Risk AI systems annually. Audit results are shared with the Constitutional Oversight Board and relevant government partners.</w:t>
      </w:r>
    </w:p>
    <w:p w14:paraId="77B45DED" w14:textId="77777777" w:rsidR="009151BA" w:rsidRDefault="004439A8">
      <w:pPr>
        <w:pStyle w:val="ListParagraph"/>
        <w:numPr>
          <w:ilvl w:val="0"/>
          <w:numId w:val="3"/>
        </w:numPr>
        <w:spacing w:before="60" w:after="60"/>
      </w:pPr>
      <w:r>
        <w:rPr>
          <w:color w:val="2C2C3E"/>
        </w:rPr>
        <w:t>Incident Response: Documented AI incident response protocol with mandatory reporting timelines for significant AI system failures to the COB (24 hours) and to relevant regulatory authorities (as required by jurisdiction).</w:t>
      </w:r>
    </w:p>
    <w:p w14:paraId="5D8449A1" w14:textId="77777777" w:rsidR="009151BA" w:rsidRDefault="004439A8">
      <w:r>
        <w:br w:type="page"/>
      </w:r>
    </w:p>
    <w:p w14:paraId="37097B22" w14:textId="77777777" w:rsidR="009151BA" w:rsidRDefault="009151BA">
      <w:pPr>
        <w:spacing w:before="720"/>
      </w:pPr>
    </w:p>
    <w:p w14:paraId="01C5926F" w14:textId="77777777" w:rsidR="009151BA" w:rsidRDefault="009151BA">
      <w:pPr>
        <w:pBdr>
          <w:bottom w:val="single" w:sz="6" w:space="1" w:color="C9A84C"/>
        </w:pBdr>
        <w:spacing w:before="240" w:after="240"/>
      </w:pPr>
    </w:p>
    <w:p w14:paraId="138F5FF4" w14:textId="77777777" w:rsidR="009151BA" w:rsidRDefault="004439A8">
      <w:pPr>
        <w:spacing w:before="960" w:after="120"/>
        <w:jc w:val="center"/>
      </w:pPr>
      <w:r>
        <w:rPr>
          <w:rFonts w:ascii="Georgia" w:eastAsia="Georgia" w:hAnsi="Georgia" w:cs="Georgia"/>
          <w:b/>
          <w:bCs/>
          <w:color w:val="BF9B30"/>
          <w:sz w:val="64"/>
          <w:szCs w:val="64"/>
        </w:rPr>
        <w:t>VOLUME IX</w:t>
      </w:r>
    </w:p>
    <w:p w14:paraId="7E60CCE2" w14:textId="77777777" w:rsidR="009151BA" w:rsidRDefault="004439A8">
      <w:pPr>
        <w:spacing w:before="120" w:after="480"/>
        <w:jc w:val="center"/>
      </w:pPr>
      <w:r>
        <w:rPr>
          <w:b/>
          <w:bCs/>
          <w:color w:val="0D2B55"/>
          <w:sz w:val="28"/>
          <w:szCs w:val="28"/>
        </w:rPr>
        <w:t>CLOSING FRAMEWORK — THE LEGACY, THE INVITATION, THE COMMITMENT</w:t>
      </w:r>
    </w:p>
    <w:p w14:paraId="62A1089D" w14:textId="77777777" w:rsidR="009151BA" w:rsidRDefault="004439A8">
      <w:r>
        <w:br w:type="page"/>
      </w:r>
    </w:p>
    <w:p w14:paraId="56D45B75"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35: THE LEGACY CLAUSE</w:t>
      </w:r>
    </w:p>
    <w:p w14:paraId="2BC56AFA" w14:textId="77777777" w:rsidR="009151BA" w:rsidRDefault="004439A8">
      <w:pPr>
        <w:spacing w:before="320" w:after="120"/>
      </w:pPr>
      <w:r>
        <w:rPr>
          <w:rFonts w:ascii="Georgia" w:eastAsia="Georgia" w:hAnsi="Georgia" w:cs="Georgia"/>
          <w:b/>
          <w:bCs/>
          <w:color w:val="0D2B55"/>
          <w:sz w:val="28"/>
          <w:szCs w:val="28"/>
        </w:rPr>
        <w:t>35.1 What We Are Passing On</w:t>
      </w:r>
    </w:p>
    <w:p w14:paraId="4FA5B9A2" w14:textId="77777777" w:rsidR="009151BA" w:rsidRDefault="004439A8">
      <w:pPr>
        <w:spacing w:before="80" w:after="80"/>
        <w:jc w:val="both"/>
      </w:pPr>
      <w:r>
        <w:rPr>
          <w:color w:val="2C2C3E"/>
        </w:rPr>
        <w:t>The Legacy Clause is not a final reflection. It is an operational instruction for every future generation that inherits this institution. It answers the question that every institutional successor will eventually ask: What were we trying to do, and why does it matter that we continue?</w:t>
      </w:r>
    </w:p>
    <w:p w14:paraId="23CF5A43" w14:textId="77777777" w:rsidR="009151BA" w:rsidRDefault="004439A8">
      <w:pPr>
        <w:spacing w:before="80" w:after="80"/>
        <w:jc w:val="both"/>
      </w:pPr>
      <w:r>
        <w:rPr>
          <w:color w:val="2C2C3E"/>
        </w:rPr>
        <w:t>This is what G.O.D.S is passing on to the generations who will inherit it:</w:t>
      </w:r>
    </w:p>
    <w:p w14:paraId="64C69115" w14:textId="77777777" w:rsidR="009151BA" w:rsidRDefault="004439A8">
      <w:pPr>
        <w:spacing w:before="80" w:after="80"/>
        <w:jc w:val="both"/>
      </w:pPr>
      <w:r>
        <w:rPr>
          <w:color w:val="2C2C3E"/>
        </w:rPr>
        <w:t>We are passing on the evidence that excluded human beings, given structured opportunity and genuine support, can become extraordinary contributors to the societies that once discarded them. We have documented this evidence with rigor, longitudinal depth, and intellectual honesty. We have acknowledged where the evidence was weaker than our hopes and stronger than our initial projections. This evidence is your foundation.</w:t>
      </w:r>
    </w:p>
    <w:p w14:paraId="30B8BD2E" w14:textId="77777777" w:rsidR="009151BA" w:rsidRDefault="004439A8">
      <w:pPr>
        <w:spacing w:before="80" w:after="80"/>
        <w:jc w:val="both"/>
      </w:pPr>
      <w:r>
        <w:rPr>
          <w:color w:val="2C2C3E"/>
        </w:rPr>
        <w:t>We are passing on the architecture of governance that prevented good intentions from becoming institutional corruption. The Twelve Pillars. The Constitutional Oversight Board. The IP Trust. The Founder removal mechanism. These structures cost us commercial opportunities and created operational friction. They also preserved the institutional integrity that made everything else possible. Do not dismantle them because they are inconvenient. They exist precisely because they are inconvenient.</w:t>
      </w:r>
    </w:p>
    <w:p w14:paraId="3A3E4C6D" w14:textId="77777777" w:rsidR="009151BA" w:rsidRDefault="004439A8">
      <w:pPr>
        <w:spacing w:before="80" w:after="80"/>
        <w:jc w:val="both"/>
      </w:pPr>
      <w:r>
        <w:rPr>
          <w:color w:val="2C2C3E"/>
        </w:rPr>
        <w:t>We are passing on the relationships — with governments who came to trust us because we demonstrated sovereign respect; with employers who came to rely on us because we delivered credible human capital; with investors who remained partners because we honored our commitments through difficult periods; and with the communities we served because we provided genuine dignity rather than performative charity.</w:t>
      </w:r>
    </w:p>
    <w:p w14:paraId="0306CCB7" w14:textId="77777777" w:rsidR="009151BA" w:rsidRDefault="004439A8">
      <w:pPr>
        <w:spacing w:before="80" w:after="80"/>
        <w:jc w:val="both"/>
      </w:pPr>
      <w:r>
        <w:rPr>
          <w:color w:val="2C2C3E"/>
        </w:rPr>
        <w:t>We are passing on the direction. Not the destination. The destination is too far away for us to see clearly. But the direction — toward reduced preventable instability, toward greater human dignity as baseline, toward coordination over fragmentation — is knowable. Follow that direction with discipline. Correct course with evidence. Never correct course with comfort.</w:t>
      </w:r>
    </w:p>
    <w:p w14:paraId="36E83729" w14:textId="77777777" w:rsidR="009151BA" w:rsidRDefault="004439A8">
      <w:pPr>
        <w:spacing w:before="320" w:after="120"/>
      </w:pPr>
      <w:r>
        <w:rPr>
          <w:rFonts w:ascii="Georgia" w:eastAsia="Georgia" w:hAnsi="Georgia" w:cs="Georgia"/>
          <w:b/>
          <w:bCs/>
          <w:color w:val="0D2B55"/>
          <w:sz w:val="28"/>
          <w:szCs w:val="28"/>
        </w:rPr>
        <w:t>35.2 The Institutional Character</w:t>
      </w:r>
    </w:p>
    <w:p w14:paraId="0598FFF5" w14:textId="77777777" w:rsidR="009151BA" w:rsidRDefault="004439A8">
      <w:pPr>
        <w:spacing w:before="80" w:after="80"/>
        <w:jc w:val="both"/>
      </w:pPr>
      <w:r>
        <w:rPr>
          <w:color w:val="2C2C3E"/>
        </w:rPr>
        <w:t>If G.O.D.S has an institutional character in 100 years, it will be this: the place that chose slow and right over fast and impressive. The institution that believed that evidence beat rhetoric, that governance beat ambition, and that dignity beat efficiency when the two were in conflict.</w:t>
      </w:r>
    </w:p>
    <w:p w14:paraId="59A01F3D" w14:textId="77777777" w:rsidR="009151BA" w:rsidRDefault="004439A8">
      <w:pPr>
        <w:spacing w:before="80" w:after="80"/>
        <w:jc w:val="both"/>
      </w:pPr>
      <w:r>
        <w:rPr>
          <w:color w:val="2C2C3E"/>
        </w:rPr>
        <w:t>That character will have cost us in the short term — every time. And it will have compounded into something genuinely irreplaceable in the long term. Trust that compounding. Do not trade it for short-term acceleration.</w:t>
      </w:r>
    </w:p>
    <w:p w14:paraId="6EDB3AB4" w14:textId="77777777" w:rsidR="009151BA" w:rsidRDefault="004439A8">
      <w:r>
        <w:br w:type="page"/>
      </w:r>
    </w:p>
    <w:p w14:paraId="6B67F988"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36: THE BOOK &amp; KNOWLEDGE APPLICATION DOCTRINE</w:t>
      </w:r>
    </w:p>
    <w:p w14:paraId="0EDCD736" w14:textId="77777777" w:rsidR="009151BA" w:rsidRDefault="004439A8">
      <w:pPr>
        <w:spacing w:before="320" w:after="120"/>
      </w:pPr>
      <w:r>
        <w:rPr>
          <w:rFonts w:ascii="Georgia" w:eastAsia="Georgia" w:hAnsi="Georgia" w:cs="Georgia"/>
          <w:b/>
          <w:bCs/>
          <w:color w:val="0D2B55"/>
          <w:sz w:val="28"/>
          <w:szCs w:val="28"/>
        </w:rPr>
        <w:t>36.1 The Knowledge Architecture</w:t>
      </w:r>
    </w:p>
    <w:p w14:paraId="4938EF62" w14:textId="77777777" w:rsidR="009151BA" w:rsidRDefault="004439A8">
      <w:pPr>
        <w:spacing w:before="80" w:after="80"/>
        <w:jc w:val="both"/>
      </w:pPr>
      <w:r>
        <w:rPr>
          <w:color w:val="2C2C3E"/>
        </w:rPr>
        <w:t>G.O.D.S maintains a formal knowledge architecture — a structured approach to capturing, preserving, transmitting, and applying institutional learning. This is not a library. It is a living epistemology: the institutional mechanism by which G.O.D.S learns from its own history and improves with each generation.</w:t>
      </w:r>
    </w:p>
    <w:p w14:paraId="2844685B" w14:textId="77777777" w:rsidR="009151BA" w:rsidRDefault="004439A8">
      <w:pPr>
        <w:spacing w:before="80" w:after="80"/>
        <w:jc w:val="both"/>
      </w:pPr>
      <w:r>
        <w:rPr>
          <w:color w:val="2C2C3E"/>
        </w:rPr>
        <w:t>The knowledge architecture includes: the G.O.D.S Institutional Record (a documented, versioned, independently maintained archive of all major institutional decisions, their rationale, their outcomes, and the learning derived); the S.E.T.H.S Longitudinal Research Corpus (the growing body of behavioral outcome data, methodology refinements, and implementation lessons from S.E.T.H.S operations globally); the UDOC Standards Library (the evolving technical standards for AI governance, data sovereignty, and quantum-ready infrastructure maintained by UDOC as the standards body); and this document — the G.O.D.S Manifesto — itself.</w:t>
      </w:r>
    </w:p>
    <w:p w14:paraId="63643828" w14:textId="77777777" w:rsidR="009151BA" w:rsidRDefault="004439A8">
      <w:pPr>
        <w:spacing w:before="80" w:after="80"/>
        <w:jc w:val="both"/>
      </w:pPr>
      <w:r>
        <w:rPr>
          <w:color w:val="2C2C3E"/>
        </w:rPr>
        <w:t>This Manifesto is not static. It is the founding document — the baseline from which all subsequent institutional evolution is measured and documented. Future leaders of G.O.D.S will update it, correct it, expand it, and mark where experience diverged from founding aspiration. The document that exists in 100 years will be substantially different from what exists today. Both documents will be part of the institutional record. Neither will be suppressed.</w:t>
      </w:r>
    </w:p>
    <w:p w14:paraId="16CB5337" w14:textId="77777777" w:rsidR="009151BA" w:rsidRDefault="004439A8">
      <w:r>
        <w:br w:type="page"/>
      </w:r>
    </w:p>
    <w:p w14:paraId="1144220D"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SECTION 37: INVITATION TO PARTICIPATION</w:t>
      </w:r>
    </w:p>
    <w:p w14:paraId="7DDB019E" w14:textId="77777777" w:rsidR="009151BA" w:rsidRDefault="004439A8">
      <w:pPr>
        <w:spacing w:before="320" w:after="120"/>
      </w:pPr>
      <w:r>
        <w:rPr>
          <w:rFonts w:ascii="Georgia" w:eastAsia="Georgia" w:hAnsi="Georgia" w:cs="Georgia"/>
          <w:b/>
          <w:bCs/>
          <w:color w:val="0D2B55"/>
          <w:sz w:val="28"/>
          <w:szCs w:val="28"/>
        </w:rPr>
        <w:t>37.1 What G.O.D.S Seeks</w:t>
      </w:r>
    </w:p>
    <w:p w14:paraId="55DA13BE" w14:textId="77777777" w:rsidR="009151BA" w:rsidRDefault="004439A8">
      <w:pPr>
        <w:spacing w:before="80" w:after="80"/>
        <w:jc w:val="both"/>
      </w:pPr>
      <w:r>
        <w:rPr>
          <w:color w:val="2C2C3E"/>
        </w:rPr>
        <w:t>G.O.D.S does not seek followers. It seeks contributors. The distinction matters.</w:t>
      </w:r>
    </w:p>
    <w:p w14:paraId="2A3437EA" w14:textId="77777777" w:rsidR="009151BA" w:rsidRDefault="004439A8">
      <w:pPr>
        <w:spacing w:before="80" w:after="80"/>
        <w:jc w:val="both"/>
      </w:pPr>
      <w:r>
        <w:rPr>
          <w:color w:val="2C2C3E"/>
        </w:rPr>
        <w:t>Followers are passive beneficiaries of an institutional direction chosen by others. Contributors are active participants in an institutional direction that succeeds or fails based on the quality of their contribution. G.O.D.S is structured for contributors.</w:t>
      </w:r>
    </w:p>
    <w:p w14:paraId="3051E852" w14:textId="77777777" w:rsidR="009151BA" w:rsidRDefault="004439A8">
      <w:pPr>
        <w:spacing w:before="80" w:after="80"/>
        <w:jc w:val="both"/>
      </w:pPr>
      <w:r>
        <w:rPr>
          <w:color w:val="2C2C3E"/>
        </w:rPr>
        <w:t>If you are a government official reading this document: G.O.D.S seeks government partners who are willing to commit to the structural work of transparency and governance improvement — not because it is politically safe, but because the evidence is clear that it is fiscally responsible and institutionally necessary. We will honor your sovereignty, protect your data, and deliver measurable outcomes. We require transparency audits, performance accountability, and the political will to sustain commitment through electoral cycles.</w:t>
      </w:r>
    </w:p>
    <w:p w14:paraId="514A633C" w14:textId="77777777" w:rsidR="009151BA" w:rsidRDefault="004439A8">
      <w:pPr>
        <w:spacing w:before="80" w:after="80"/>
        <w:jc w:val="both"/>
      </w:pPr>
      <w:r>
        <w:rPr>
          <w:color w:val="2C2C3E"/>
        </w:rPr>
        <w:t>If you are an investor reading this document: G.O.D.S seeks capital partners who understand that the highest long-term returns in the emerging economy context come from building the infrastructure of stability, not exploiting the dividends of instability. We offer significant long-term commercial returns, equity in a uniquely positioned institutional architecture, and the intrinsic return of having funded something genuinely consequential. We require patience measured in years, not quarters, and alignment with the constitutional commitments that protect the long-term value of your investment.</w:t>
      </w:r>
    </w:p>
    <w:p w14:paraId="2DCDDFA5" w14:textId="77777777" w:rsidR="009151BA" w:rsidRDefault="004439A8">
      <w:pPr>
        <w:spacing w:before="80" w:after="80"/>
        <w:jc w:val="both"/>
      </w:pPr>
      <w:r>
        <w:rPr>
          <w:color w:val="2C2C3E"/>
        </w:rPr>
        <w:t>If you are a potential employee or team member reading this document: G.O.D.S seeks people of rare capability and genuine conviction — individuals who have chosen to apply their talents to something that matters rather than merely something that pays. We offer below-maximum immediate compensation, above-maximum long-horizon equity, and the institutional environment of a genuinely mission-driven organization. We require integrity, discipline, honest self-assessment, and the willingness to be held accountable by the same standards we hold everyone else to.</w:t>
      </w:r>
    </w:p>
    <w:p w14:paraId="4E099787" w14:textId="77777777" w:rsidR="009151BA" w:rsidRDefault="004439A8">
      <w:pPr>
        <w:spacing w:before="80" w:after="80"/>
        <w:jc w:val="both"/>
      </w:pPr>
      <w:r>
        <w:rPr>
          <w:color w:val="2C2C3E"/>
        </w:rPr>
        <w:t>If you are a community, an individual in recovery, or someone excluded by the systems described in this document: G.O.D.S is, at its most fundamental level, built for you. Not to manage you or to process you through a program. But to build infrastructure that makes your contribution possible and your dignity non-negotiable. Every operational decision, every capital allocation, and every governance structure in this institution is ultimately justified by whether it serves this purpose.</w:t>
      </w:r>
    </w:p>
    <w:p w14:paraId="61070708" w14:textId="77777777" w:rsidR="009151BA" w:rsidRDefault="004439A8">
      <w:pPr>
        <w:spacing w:before="320" w:after="120"/>
      </w:pPr>
      <w:r>
        <w:rPr>
          <w:rFonts w:ascii="Georgia" w:eastAsia="Georgia" w:hAnsi="Georgia" w:cs="Georgia"/>
          <w:b/>
          <w:bCs/>
          <w:color w:val="0D2B55"/>
          <w:sz w:val="28"/>
          <w:szCs w:val="28"/>
        </w:rPr>
        <w:t>37.2 The Commitment</w:t>
      </w:r>
    </w:p>
    <w:p w14:paraId="65A5BACF" w14:textId="77777777" w:rsidR="009151BA" w:rsidRDefault="004439A8">
      <w:pPr>
        <w:spacing w:before="80" w:after="80"/>
        <w:jc w:val="both"/>
      </w:pPr>
      <w:r>
        <w:rPr>
          <w:color w:val="2C2C3E"/>
        </w:rPr>
        <w:t>G.O.D.S makes the following commitments to those who choose to participate:</w:t>
      </w:r>
    </w:p>
    <w:p w14:paraId="21FC8F89" w14:textId="77777777" w:rsidR="009151BA" w:rsidRDefault="004439A8">
      <w:pPr>
        <w:pStyle w:val="ListParagraph"/>
        <w:numPr>
          <w:ilvl w:val="0"/>
          <w:numId w:val="2"/>
        </w:numPr>
        <w:spacing w:before="60" w:after="60"/>
      </w:pPr>
      <w:r>
        <w:rPr>
          <w:color w:val="2C2C3E"/>
        </w:rPr>
        <w:t>We will be honest about what we have achieved and what we have failed to achieve. We will not manage our story for the sake of our reputation.</w:t>
      </w:r>
    </w:p>
    <w:p w14:paraId="711B49AB" w14:textId="77777777" w:rsidR="009151BA" w:rsidRDefault="004439A8">
      <w:pPr>
        <w:pStyle w:val="ListParagraph"/>
        <w:numPr>
          <w:ilvl w:val="0"/>
          <w:numId w:val="2"/>
        </w:numPr>
        <w:spacing w:before="60" w:after="60"/>
      </w:pPr>
      <w:r>
        <w:rPr>
          <w:color w:val="2C2C3E"/>
        </w:rPr>
        <w:t>We will be disciplined about governance, even when governance is costly. We will not take shortcuts that erode the institutional integrity that makes everything else valuable.</w:t>
      </w:r>
    </w:p>
    <w:p w14:paraId="3EE6093A" w14:textId="77777777" w:rsidR="009151BA" w:rsidRDefault="004439A8">
      <w:pPr>
        <w:pStyle w:val="ListParagraph"/>
        <w:numPr>
          <w:ilvl w:val="0"/>
          <w:numId w:val="2"/>
        </w:numPr>
        <w:spacing w:before="60" w:after="60"/>
      </w:pPr>
      <w:r>
        <w:rPr>
          <w:color w:val="2C2C3E"/>
        </w:rPr>
        <w:t>We will evolve based on evidence. When we discover we were wrong, we will say so and change course. When we discover we were right, we will document the evidence so future generations do not have to prove it again.</w:t>
      </w:r>
    </w:p>
    <w:p w14:paraId="19FCC353" w14:textId="77777777" w:rsidR="009151BA" w:rsidRDefault="004439A8">
      <w:pPr>
        <w:pStyle w:val="ListParagraph"/>
        <w:numPr>
          <w:ilvl w:val="0"/>
          <w:numId w:val="2"/>
        </w:numPr>
        <w:spacing w:before="60" w:after="60"/>
      </w:pPr>
      <w:r>
        <w:rPr>
          <w:color w:val="2C2C3E"/>
        </w:rPr>
        <w:t>We will protect your sovereignty. Whether you are a nation, a community, or an individual — we will not capture you. We will empower you.</w:t>
      </w:r>
    </w:p>
    <w:p w14:paraId="10DE050C" w14:textId="77777777" w:rsidR="009151BA" w:rsidRDefault="004439A8">
      <w:pPr>
        <w:pStyle w:val="ListParagraph"/>
        <w:numPr>
          <w:ilvl w:val="0"/>
          <w:numId w:val="2"/>
        </w:numPr>
        <w:spacing w:before="60" w:after="60"/>
      </w:pPr>
      <w:r>
        <w:rPr>
          <w:color w:val="2C2C3E"/>
        </w:rPr>
        <w:lastRenderedPageBreak/>
        <w:t>We will build something that lasts. Not for the glory of its builders, but for the benefit of those who inherit it.</w:t>
      </w:r>
    </w:p>
    <w:p w14:paraId="3074522F" w14:textId="77777777" w:rsidR="009151BA" w:rsidRDefault="004439A8">
      <w:r>
        <w:br w:type="page"/>
      </w:r>
    </w:p>
    <w:p w14:paraId="7981B115"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CONCLUSION: THE DIRECTION IS CLEAR</w:t>
      </w:r>
    </w:p>
    <w:p w14:paraId="7F7374ED" w14:textId="77777777" w:rsidR="009151BA" w:rsidRDefault="004439A8">
      <w:pPr>
        <w:spacing w:before="80" w:after="80"/>
        <w:jc w:val="both"/>
      </w:pPr>
      <w:r>
        <w:rPr>
          <w:color w:val="2C2C3E"/>
        </w:rPr>
        <w:t>Humanity does not lack intelligence. It does not lack resources. It does not lack ambition. It lacks coordination, governance discipline, and the structural patience to build infrastructure before extracting returns from it.</w:t>
      </w:r>
    </w:p>
    <w:p w14:paraId="0B59A382" w14:textId="77777777" w:rsidR="009151BA" w:rsidRDefault="004439A8">
      <w:pPr>
        <w:spacing w:before="80" w:after="80"/>
        <w:jc w:val="both"/>
      </w:pPr>
      <w:r>
        <w:rPr>
          <w:color w:val="2C2C3E"/>
        </w:rPr>
        <w:t>G.O.D.S is the institutional response to that lack. It is imperfect. It is early. It is, in many dimensions, aspirational rather than operational. But it is structured with sufficient rigor that its aspiration can compound, over time, into reality.</w:t>
      </w:r>
    </w:p>
    <w:p w14:paraId="08E26C00" w14:textId="77777777" w:rsidR="009151BA" w:rsidRDefault="004439A8">
      <w:pPr>
        <w:spacing w:before="80" w:after="80"/>
        <w:jc w:val="both"/>
      </w:pPr>
      <w:r>
        <w:rPr>
          <w:color w:val="2C2C3E"/>
        </w:rPr>
        <w:t>The direction is clear. The method is disciplined. The commitment is generational. The invitation is open.</w:t>
      </w:r>
    </w:p>
    <w:p w14:paraId="7155F132" w14:textId="77777777" w:rsidR="009151BA" w:rsidRDefault="004439A8">
      <w:pPr>
        <w:spacing w:before="80" w:after="80"/>
        <w:jc w:val="both"/>
      </w:pPr>
      <w:r>
        <w:rPr>
          <w:color w:val="2C2C3E"/>
        </w:rPr>
        <w:t>Good Orderly Directional Systems.</w:t>
      </w:r>
    </w:p>
    <w:p w14:paraId="09130A05" w14:textId="77777777" w:rsidR="009151BA" w:rsidRDefault="004439A8">
      <w:pPr>
        <w:spacing w:before="80" w:after="80"/>
        <w:jc w:val="both"/>
      </w:pPr>
      <w:r>
        <w:rPr>
          <w:color w:val="2C2C3E"/>
        </w:rPr>
        <w:t>Built for those who were underestimated. Built for those capable of more. Built so that future generations inherit structure instead of instability.</w:t>
      </w:r>
    </w:p>
    <w:p w14:paraId="3A742939" w14:textId="77777777" w:rsidR="009151BA" w:rsidRDefault="004439A8">
      <w:pPr>
        <w:spacing w:before="80" w:after="80"/>
        <w:jc w:val="both"/>
      </w:pPr>
      <w:r>
        <w:rPr>
          <w:color w:val="2C2C3E"/>
        </w:rPr>
        <w:t>— Sashin J. Singh, Founder</w:t>
      </w:r>
    </w:p>
    <w:p w14:paraId="155E4D85" w14:textId="77777777" w:rsidR="009151BA" w:rsidRDefault="004439A8">
      <w:r>
        <w:br w:type="page"/>
      </w:r>
    </w:p>
    <w:p w14:paraId="5DD0AAAD" w14:textId="77777777" w:rsidR="009151BA" w:rsidRDefault="009151BA">
      <w:pPr>
        <w:spacing w:before="720"/>
      </w:pPr>
    </w:p>
    <w:p w14:paraId="29309401" w14:textId="77777777" w:rsidR="009151BA" w:rsidRDefault="009151BA">
      <w:pPr>
        <w:pBdr>
          <w:bottom w:val="single" w:sz="6" w:space="1" w:color="C9A84C"/>
        </w:pBdr>
        <w:spacing w:before="240" w:after="240"/>
      </w:pPr>
    </w:p>
    <w:p w14:paraId="47AAA615" w14:textId="77777777" w:rsidR="009151BA" w:rsidRDefault="004439A8">
      <w:pPr>
        <w:spacing w:before="960" w:after="120"/>
        <w:jc w:val="center"/>
      </w:pPr>
      <w:r>
        <w:rPr>
          <w:rFonts w:ascii="Georgia" w:eastAsia="Georgia" w:hAnsi="Georgia" w:cs="Georgia"/>
          <w:b/>
          <w:bCs/>
          <w:color w:val="BF9B30"/>
          <w:sz w:val="64"/>
          <w:szCs w:val="64"/>
        </w:rPr>
        <w:t>ANNEXURES</w:t>
      </w:r>
    </w:p>
    <w:p w14:paraId="78B2448C" w14:textId="77777777" w:rsidR="009151BA" w:rsidRDefault="004439A8">
      <w:pPr>
        <w:spacing w:before="120" w:after="480"/>
        <w:jc w:val="center"/>
      </w:pPr>
      <w:r>
        <w:rPr>
          <w:b/>
          <w:bCs/>
          <w:color w:val="0D2B55"/>
          <w:sz w:val="28"/>
          <w:szCs w:val="28"/>
        </w:rPr>
        <w:t>SUPPORTING DOCUMENTS, FRAMEWORKS &amp; TECHNICAL SPECIFICATIONS</w:t>
      </w:r>
    </w:p>
    <w:p w14:paraId="69FCB5A7" w14:textId="77777777" w:rsidR="009151BA" w:rsidRDefault="004439A8">
      <w:r>
        <w:br w:type="page"/>
      </w:r>
    </w:p>
    <w:p w14:paraId="1ED1BF2E"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ANNEXURE A: CAPITAL FLOW MODELING &amp; FINANCIAL ARCHITECTURE</w:t>
      </w:r>
    </w:p>
    <w:p w14:paraId="6FA016AF" w14:textId="77777777" w:rsidR="009151BA" w:rsidRDefault="004439A8">
      <w:pPr>
        <w:spacing w:before="320" w:after="120"/>
      </w:pPr>
      <w:r>
        <w:rPr>
          <w:rFonts w:ascii="Georgia" w:eastAsia="Georgia" w:hAnsi="Georgia" w:cs="Georgia"/>
          <w:b/>
          <w:bCs/>
          <w:color w:val="0D2B55"/>
          <w:sz w:val="28"/>
          <w:szCs w:val="28"/>
        </w:rPr>
        <w:t>A.1 Capital Flow Overview</w:t>
      </w:r>
    </w:p>
    <w:p w14:paraId="6B9322A5" w14:textId="77777777" w:rsidR="009151BA" w:rsidRDefault="004439A8">
      <w:pPr>
        <w:spacing w:before="80" w:after="80"/>
        <w:jc w:val="both"/>
      </w:pPr>
      <w:r>
        <w:rPr>
          <w:color w:val="2C2C3E"/>
        </w:rPr>
        <w:t>This annexure provides detailed capital flow modeling for G.O.D.S TS Holdings across three planning scenarios: Conservative, Base, and Accelerated. All figures are in South African Rand unless otherwise noted.</w:t>
      </w:r>
    </w:p>
    <w:p w14:paraId="06A50383" w14:textId="77777777" w:rsidR="009151BA" w:rsidRDefault="004439A8">
      <w:pPr>
        <w:spacing w:before="240" w:after="80"/>
      </w:pPr>
      <w:r>
        <w:rPr>
          <w:b/>
          <w:bCs/>
          <w:color w:val="BF9B30"/>
          <w:sz w:val="24"/>
          <w:szCs w:val="24"/>
        </w:rPr>
        <w:t>A.1.1 Startup Capital Deployment Plan (Year 0-3)</w:t>
      </w:r>
    </w:p>
    <w:p w14:paraId="03847DE7" w14:textId="77777777" w:rsidR="009151BA" w:rsidRDefault="004439A8">
      <w:pPr>
        <w:spacing w:before="80" w:after="80"/>
        <w:jc w:val="both"/>
      </w:pPr>
      <w:r>
        <w:rPr>
          <w:color w:val="2C2C3E"/>
        </w:rPr>
        <w:t>Total startup capital required (seed through Series A): R25 million - R75 million. Deployment schedule: Legal and governance infrastructure (Month 1-3): R500K - R2M; S.E.T.H.S SDU fit-out and operations (Month 3-18): R3M - R10M; UDOC platform development (Month 3-18): R5M - R15M; Team salaries and operations (Year 1-3): R8M - R25M; Media Division content production (Year 1-2): R1M - R5M; Working capital reserve (18-month buffer): R7.5M - R18M.</w:t>
      </w:r>
    </w:p>
    <w:p w14:paraId="0CDEBB12" w14:textId="77777777" w:rsidR="009151BA" w:rsidRDefault="004439A8">
      <w:pPr>
        <w:spacing w:before="240" w:after="80"/>
      </w:pPr>
      <w:r>
        <w:rPr>
          <w:b/>
          <w:bCs/>
          <w:color w:val="BF9B30"/>
          <w:sz w:val="24"/>
          <w:szCs w:val="24"/>
        </w:rPr>
        <w:t>A.1.2 Revenue Ramp Projection</w:t>
      </w:r>
    </w:p>
    <w:p w14:paraId="57BB6533" w14:textId="77777777" w:rsidR="009151BA" w:rsidRDefault="004439A8">
      <w:pPr>
        <w:spacing w:before="80" w:after="80"/>
        <w:jc w:val="both"/>
      </w:pPr>
      <w:r>
        <w:rPr>
          <w:color w:val="2C2C3E"/>
        </w:rPr>
        <w:t>Year 1: R2M - R8M (seed government pilot + UDOC beta). Year 2: R8M - R30M (government pilot expansion + UDOC first enterprise contracts). Year 3: R25M - R80M (national S.E.T.H.S expansion + UDOC 5+ enterprise clients). Year 5: R100M - R350M (full S.E.T.H.S provincial rollout + UDOC government contract + M.A.D.I.B.A management fees). Year 10: R500M - R2B (all 8 divisions operational + Africa expansion initiated).</w:t>
      </w:r>
    </w:p>
    <w:p w14:paraId="4B263031" w14:textId="77777777" w:rsidR="009151BA" w:rsidRDefault="004439A8">
      <w:pPr>
        <w:spacing w:before="240" w:after="80"/>
      </w:pPr>
      <w:r>
        <w:rPr>
          <w:b/>
          <w:bCs/>
          <w:color w:val="BF9B30"/>
          <w:sz w:val="24"/>
          <w:szCs w:val="24"/>
        </w:rPr>
        <w:t>A.1.3 Break-Even Analysis</w:t>
      </w:r>
    </w:p>
    <w:p w14:paraId="13139967" w14:textId="77777777" w:rsidR="009151BA" w:rsidRDefault="004439A8">
      <w:pPr>
        <w:spacing w:before="80" w:after="80"/>
        <w:jc w:val="both"/>
      </w:pPr>
      <w:r>
        <w:rPr>
          <w:color w:val="2C2C3E"/>
        </w:rPr>
        <w:t>Operational break-even (cash positive): Year 2-3 (conservative) / Year 1-2 (accelerated), driven primarily by UDOC enterprise contracts. Full capital recovery (return to investors of initial investment): Year 4-6 (conservative) / Year 2-4 (accelerated). EBITDA positive on consolidated basis: Year 3-4 (conservative) / Year 2-3 (accelerated).</w:t>
      </w:r>
    </w:p>
    <w:p w14:paraId="71F0B079" w14:textId="77777777" w:rsidR="009151BA" w:rsidRDefault="004439A8">
      <w:pPr>
        <w:spacing w:before="320" w:after="120"/>
      </w:pPr>
      <w:r>
        <w:rPr>
          <w:rFonts w:ascii="Georgia" w:eastAsia="Georgia" w:hAnsi="Georgia" w:cs="Georgia"/>
          <w:b/>
          <w:bCs/>
          <w:color w:val="0D2B55"/>
          <w:sz w:val="28"/>
          <w:szCs w:val="28"/>
        </w:rPr>
        <w:t>A.2 Investor Return Architecture</w:t>
      </w:r>
    </w:p>
    <w:p w14:paraId="39AF0AAB" w14:textId="77777777" w:rsidR="009151BA" w:rsidRDefault="004439A8">
      <w:pPr>
        <w:spacing w:before="80" w:after="80"/>
        <w:jc w:val="both"/>
      </w:pPr>
      <w:r>
        <w:rPr>
          <w:color w:val="2C2C3E"/>
        </w:rPr>
        <w:t>Seed investors (pre-revenue, highest risk): Target IRR 40-60% over 7-10 year horizon, achieved through a combination of dividend yield from operational revenue and equity appreciation at Series B+ valuations. Series A investors: Target IRR 25-35% over 5-7 year horizon. Government SPV investors: Target return 8-15% IRR plus availability payment structure providing capital certainty.</w:t>
      </w:r>
    </w:p>
    <w:p w14:paraId="0B390D94" w14:textId="77777777" w:rsidR="009151BA" w:rsidRDefault="004439A8">
      <w:pPr>
        <w:spacing w:before="320" w:after="120"/>
      </w:pPr>
      <w:r>
        <w:rPr>
          <w:rFonts w:ascii="Georgia" w:eastAsia="Georgia" w:hAnsi="Georgia" w:cs="Georgia"/>
          <w:b/>
          <w:bCs/>
          <w:color w:val="0D2B55"/>
          <w:sz w:val="28"/>
          <w:szCs w:val="28"/>
        </w:rPr>
        <w:t>A.3 UDOC Revenue Model Detail</w:t>
      </w:r>
    </w:p>
    <w:p w14:paraId="26CA96DF" w14:textId="77777777" w:rsidR="009151BA" w:rsidRDefault="004439A8">
      <w:pPr>
        <w:spacing w:before="80" w:after="80"/>
        <w:jc w:val="both"/>
      </w:pPr>
      <w:r>
        <w:rPr>
          <w:color w:val="2C2C3E"/>
        </w:rPr>
        <w:t>Enterprise AI Governance Platform: Average Contract Value R3M - R7M per enterprise client annually. Gross Margin: 75-85% at scale (initial development phase: 50-60%). Client acquisition cost: R500K - R2M per enterprise client (declining as brand credibility grows). Target Year 5 enterprise client base: 15-30 clients generating R45M - R210M ARR.</w:t>
      </w:r>
    </w:p>
    <w:p w14:paraId="450AB404" w14:textId="77777777" w:rsidR="009151BA" w:rsidRDefault="004439A8">
      <w:pPr>
        <w:spacing w:before="80" w:after="80"/>
        <w:jc w:val="both"/>
      </w:pPr>
      <w:r>
        <w:rPr>
          <w:color w:val="2C2C3E"/>
        </w:rPr>
        <w:t>National Digital Backbone: Contract values range from R50M to R500M per national deployment, depending on scope and duration. Typically structured as multi-year availability-payment contracts providing revenue predictability. Gross margin on implementation: 30-45%. Ongoing maintenance and licensing: 60-70% gross margin.</w:t>
      </w:r>
    </w:p>
    <w:p w14:paraId="46A8D079" w14:textId="77777777" w:rsidR="009151BA" w:rsidRDefault="004439A8">
      <w:r>
        <w:br w:type="page"/>
      </w:r>
    </w:p>
    <w:p w14:paraId="555295B0"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ANNEXURE B: PATENT PORTFOLIO STRATEGY &amp; IP ARCHITECTURE</w:t>
      </w:r>
    </w:p>
    <w:p w14:paraId="5C4551B5" w14:textId="77777777" w:rsidR="009151BA" w:rsidRDefault="004439A8">
      <w:pPr>
        <w:spacing w:before="320" w:after="120"/>
      </w:pPr>
      <w:r>
        <w:rPr>
          <w:rFonts w:ascii="Georgia" w:eastAsia="Georgia" w:hAnsi="Georgia" w:cs="Georgia"/>
          <w:b/>
          <w:bCs/>
          <w:color w:val="0D2B55"/>
          <w:sz w:val="28"/>
          <w:szCs w:val="28"/>
        </w:rPr>
        <w:t>B.1 Intellectual Property Philosophy</w:t>
      </w:r>
    </w:p>
    <w:p w14:paraId="6A5C859C" w14:textId="77777777" w:rsidR="009151BA" w:rsidRDefault="004439A8">
      <w:pPr>
        <w:spacing w:before="80" w:after="80"/>
        <w:jc w:val="both"/>
      </w:pPr>
      <w:r>
        <w:rPr>
          <w:color w:val="2C2C3E"/>
        </w:rPr>
        <w:t>G.O.D.S's intellectual property strategy is designed to achieve three objectives simultaneously: protect core innovations from unauthorized use that would undermine institutional sustainability; enable broad adoption of frameworks through licensing that extends G.O.D.S's impact without requiring proprietary control; and build a portfolio asset that appreciates in value as the frameworks become more widely recognized and adopted.</w:t>
      </w:r>
    </w:p>
    <w:p w14:paraId="7A7EB159" w14:textId="77777777" w:rsidR="009151BA" w:rsidRDefault="004439A8">
      <w:pPr>
        <w:spacing w:before="320" w:after="120"/>
      </w:pPr>
      <w:r>
        <w:rPr>
          <w:rFonts w:ascii="Georgia" w:eastAsia="Georgia" w:hAnsi="Georgia" w:cs="Georgia"/>
          <w:b/>
          <w:bCs/>
          <w:color w:val="0D2B55"/>
          <w:sz w:val="28"/>
          <w:szCs w:val="28"/>
        </w:rPr>
        <w:t>B.2 Patent Portfolio Categories</w:t>
      </w:r>
    </w:p>
    <w:p w14:paraId="696690F3" w14:textId="77777777" w:rsidR="009151BA" w:rsidRDefault="004439A8">
      <w:pPr>
        <w:spacing w:before="80" w:after="80"/>
        <w:jc w:val="both"/>
      </w:pPr>
      <w:r>
        <w:rPr>
          <w:color w:val="2C2C3E"/>
        </w:rPr>
        <w:t>Category 1 — Behavioral Assessment &amp; Reintegration: Patents covering the specific algorithmic and methodological innovations in S.E.T.H.S's behavioral assessment, relapse risk prediction, and employment matching systems. These represent the core proprietary innovation of the human systems division.</w:t>
      </w:r>
    </w:p>
    <w:p w14:paraId="1ED3B097" w14:textId="77777777" w:rsidR="009151BA" w:rsidRDefault="004439A8">
      <w:pPr>
        <w:spacing w:before="80" w:after="80"/>
        <w:jc w:val="both"/>
      </w:pPr>
      <w:r>
        <w:rPr>
          <w:color w:val="2C2C3E"/>
        </w:rPr>
        <w:t>Category 2 — AI Governance Architecture: Patents covering UDOC's specific implementations of AI risk classification, bias monitoring, audit trail generation, and compliance reporting. These are the core proprietary innovations of the technology governance division.</w:t>
      </w:r>
    </w:p>
    <w:p w14:paraId="3A2A636D" w14:textId="77777777" w:rsidR="009151BA" w:rsidRDefault="004439A8">
      <w:pPr>
        <w:spacing w:before="80" w:after="80"/>
        <w:jc w:val="both"/>
      </w:pPr>
      <w:r>
        <w:rPr>
          <w:color w:val="2C2C3E"/>
        </w:rPr>
        <w:t>Category 3 — Quantum-Ready Infrastructure: Patents covering UDOC's hybrid classical-quantum cryptographic architecture, the QIOS framework, and the sovereign data architecture designs. These represent the most technically sophisticated and commercially valuable long-term patent category.</w:t>
      </w:r>
    </w:p>
    <w:p w14:paraId="07352CE2" w14:textId="77777777" w:rsidR="009151BA" w:rsidRDefault="004439A8">
      <w:pPr>
        <w:spacing w:before="80" w:after="80"/>
        <w:jc w:val="both"/>
      </w:pPr>
      <w:r>
        <w:rPr>
          <w:color w:val="2C2C3E"/>
        </w:rPr>
        <w:t>Category 4 — Public-Private Partnership Structures: Patents (where applicable) and documented trade secrets covering the specific SPV and capital structures developed by G.O.D.S for government partnership. These are primarily protected as trade secrets rather than patents due to the difficulty of patent protection for financial structures in many jurisdictions.</w:t>
      </w:r>
    </w:p>
    <w:p w14:paraId="1E079D3D" w14:textId="77777777" w:rsidR="009151BA" w:rsidRDefault="004439A8">
      <w:pPr>
        <w:spacing w:before="320" w:after="120"/>
      </w:pPr>
      <w:r>
        <w:rPr>
          <w:rFonts w:ascii="Georgia" w:eastAsia="Georgia" w:hAnsi="Georgia" w:cs="Georgia"/>
          <w:b/>
          <w:bCs/>
          <w:color w:val="0D2B55"/>
          <w:sz w:val="28"/>
          <w:szCs w:val="28"/>
        </w:rPr>
        <w:t>B.3 Licensing Strategy</w:t>
      </w:r>
    </w:p>
    <w:p w14:paraId="2527FD69" w14:textId="77777777" w:rsidR="009151BA" w:rsidRDefault="004439A8">
      <w:pPr>
        <w:spacing w:before="80" w:after="80"/>
        <w:jc w:val="both"/>
      </w:pPr>
      <w:r>
        <w:rPr>
          <w:color w:val="2C2C3E"/>
        </w:rPr>
        <w:t>Tier 1 licensing (full methodology license): Available to institutional partners operating in jurisdictions outside G.O.D.S's direct operating geography. Requires constitutional compliance certification. Annual licensing fee scaled to GDP per capita of operating jurisdiction.</w:t>
      </w:r>
    </w:p>
    <w:p w14:paraId="0A316D3B" w14:textId="77777777" w:rsidR="009151BA" w:rsidRDefault="004439A8">
      <w:pPr>
        <w:spacing w:before="80" w:after="80"/>
        <w:jc w:val="both"/>
      </w:pPr>
      <w:r>
        <w:rPr>
          <w:color w:val="2C2C3E"/>
        </w:rPr>
        <w:t>Tier 2 licensing (component license): Available to organizations implementing specific G.O.D.S components (e.g., S.E.T.H.S assessment tools only, or UDOC compliance framework only) without full system deployment. Lower cost, lower impact, does not carry G.O.D.S brand certification.</w:t>
      </w:r>
    </w:p>
    <w:p w14:paraId="253819DF" w14:textId="77777777" w:rsidR="009151BA" w:rsidRDefault="004439A8">
      <w:pPr>
        <w:spacing w:before="80" w:after="80"/>
        <w:jc w:val="both"/>
      </w:pPr>
      <w:r>
        <w:rPr>
          <w:color w:val="2C2C3E"/>
        </w:rPr>
        <w:t>Open standards track: Over time, particularly for UDOC governance frameworks, G.O.D.S will transition toward open-standard publication with paid certification and support services. This maximizes adoption impact while preserving commercial sustainability through the value-added services layer.</w:t>
      </w:r>
    </w:p>
    <w:p w14:paraId="744544A5" w14:textId="77777777" w:rsidR="009151BA" w:rsidRDefault="004439A8">
      <w:r>
        <w:br w:type="page"/>
      </w:r>
    </w:p>
    <w:p w14:paraId="20675678"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ANNEXURE C: S.E.T.H.S EXTENDED OPERATIONS MANUAL</w:t>
      </w:r>
    </w:p>
    <w:p w14:paraId="376CFC0E" w14:textId="77777777" w:rsidR="009151BA" w:rsidRDefault="004439A8">
      <w:pPr>
        <w:spacing w:before="320" w:after="120"/>
      </w:pPr>
      <w:r>
        <w:rPr>
          <w:rFonts w:ascii="Georgia" w:eastAsia="Georgia" w:hAnsi="Georgia" w:cs="Georgia"/>
          <w:b/>
          <w:bCs/>
          <w:color w:val="0D2B55"/>
          <w:sz w:val="28"/>
          <w:szCs w:val="28"/>
        </w:rPr>
        <w:t>C.1 SDU Facility Specifications</w:t>
      </w:r>
    </w:p>
    <w:p w14:paraId="6B0E8358" w14:textId="77777777" w:rsidR="009151BA" w:rsidRDefault="004439A8">
      <w:pPr>
        <w:spacing w:before="80" w:after="80"/>
        <w:jc w:val="both"/>
      </w:pPr>
      <w:r>
        <w:rPr>
          <w:color w:val="2C2C3E"/>
        </w:rPr>
        <w:t>A Structured Development Unit (SDU) is the core operational facility of S.E.T.H.S. The following specifications define the minimum operational standard for all SDU deployments.</w:t>
      </w:r>
    </w:p>
    <w:p w14:paraId="26D1B424" w14:textId="77777777" w:rsidR="009151BA" w:rsidRDefault="004439A8">
      <w:pPr>
        <w:spacing w:before="80" w:after="80"/>
        <w:jc w:val="both"/>
      </w:pPr>
      <w:r>
        <w:rPr>
          <w:color w:val="2C2C3E"/>
        </w:rPr>
        <w:t>Physical requirements: Accommodation for program participants (where residential component is included) meeting minimum South African Housing Code standards; dedicated training rooms with minimum 12sqm per participant; separate counseling rooms for individual sessions (minimum 3 rooms per 50 participants); administrative and staff workspace; secure storage for participant records and assessment materials; outdoor recreational space (minimum 200sqm per 50 participants).</w:t>
      </w:r>
    </w:p>
    <w:p w14:paraId="55F89594" w14:textId="77777777" w:rsidR="009151BA" w:rsidRDefault="004439A8">
      <w:pPr>
        <w:spacing w:before="80" w:after="80"/>
        <w:jc w:val="both"/>
      </w:pPr>
      <w:r>
        <w:rPr>
          <w:color w:val="2C2C3E"/>
        </w:rPr>
        <w:t>Technology requirements: Behavioral monitoring dashboard accessible to supervisory staff (not surveillance — attendance, routine completion, and behavioral incident reporting); UDOC-compliant data management system for participant records; biometric check-in system (fingerprint or equivalent) for accurate attendance recording; employment placement portal integration for employer matching.</w:t>
      </w:r>
    </w:p>
    <w:p w14:paraId="3C8F3A10" w14:textId="77777777" w:rsidR="009151BA" w:rsidRDefault="004439A8">
      <w:pPr>
        <w:spacing w:before="320" w:after="120"/>
      </w:pPr>
      <w:r>
        <w:rPr>
          <w:rFonts w:ascii="Georgia" w:eastAsia="Georgia" w:hAnsi="Georgia" w:cs="Georgia"/>
          <w:b/>
          <w:bCs/>
          <w:color w:val="0D2B55"/>
          <w:sz w:val="28"/>
          <w:szCs w:val="28"/>
        </w:rPr>
        <w:t>C.2 The Daily Program Structure</w:t>
      </w:r>
    </w:p>
    <w:p w14:paraId="5DB355D9" w14:textId="77777777" w:rsidR="009151BA" w:rsidRDefault="004439A8">
      <w:pPr>
        <w:spacing w:before="80" w:after="80"/>
        <w:jc w:val="both"/>
      </w:pPr>
      <w:r>
        <w:rPr>
          <w:color w:val="2C2C3E"/>
        </w:rPr>
        <w:t>Effective behavioral rehabilitation requires structure — not punitive rigidity, but consistent routine that rebuilds the executive function and self-regulation capacity that behavioral instability erodes. The S.E.T.H.S daily program structure is:</w:t>
      </w:r>
    </w:p>
    <w:p w14:paraId="43F13E19" w14:textId="77777777" w:rsidR="009151BA" w:rsidRDefault="004439A8">
      <w:pPr>
        <w:spacing w:before="80" w:after="80"/>
        <w:jc w:val="both"/>
      </w:pPr>
      <w:r>
        <w:rPr>
          <w:color w:val="2C2C3E"/>
        </w:rPr>
        <w:t>05:30 — Wake-up and personal routine (hygiene, bed-making, room maintenance). These basic acts of self-care are not trivial — they are daily practice in the discipline and dignity that the program seeks to restore.</w:t>
      </w:r>
    </w:p>
    <w:p w14:paraId="18E81DE0" w14:textId="77777777" w:rsidR="009151BA" w:rsidRDefault="004439A8">
      <w:pPr>
        <w:spacing w:before="80" w:after="80"/>
        <w:jc w:val="both"/>
      </w:pPr>
      <w:r>
        <w:rPr>
          <w:color w:val="2C2C3E"/>
        </w:rPr>
        <w:t>06:30 — Group exercise (30 minutes). Physical activity is structurally important for behavioral stability — reducing cortisol, improving mood regulation, building group cohesion. It is not optional.</w:t>
      </w:r>
    </w:p>
    <w:p w14:paraId="1BCED738" w14:textId="77777777" w:rsidR="009151BA" w:rsidRDefault="004439A8">
      <w:pPr>
        <w:spacing w:before="80" w:after="80"/>
        <w:jc w:val="both"/>
      </w:pPr>
      <w:r>
        <w:rPr>
          <w:color w:val="2C2C3E"/>
        </w:rPr>
        <w:t>07:00 — Breakfast (communal, structured, punctual). Communal meals are social skill development opportunities. Punctuality is a habit being built.</w:t>
      </w:r>
    </w:p>
    <w:p w14:paraId="692345B3" w14:textId="77777777" w:rsidR="009151BA" w:rsidRDefault="004439A8">
      <w:pPr>
        <w:spacing w:before="80" w:after="80"/>
        <w:jc w:val="both"/>
      </w:pPr>
      <w:r>
        <w:rPr>
          <w:color w:val="2C2C3E"/>
        </w:rPr>
        <w:t>07:45 — Morning check-in (15 minutes). Brief group session with supervisor. Attendance confirmed. Daily objectives stated by each participant. Behavioral contract compliance reviewed.</w:t>
      </w:r>
    </w:p>
    <w:p w14:paraId="0935D360" w14:textId="77777777" w:rsidR="009151BA" w:rsidRDefault="004439A8">
      <w:pPr>
        <w:spacing w:before="80" w:after="80"/>
        <w:jc w:val="both"/>
      </w:pPr>
      <w:r>
        <w:rPr>
          <w:color w:val="2C2C3E"/>
        </w:rPr>
        <w:t>08:00 — 12:00 — Skills training block. Vocational, technical, or academic skill development sessions aligned with employment pathway.</w:t>
      </w:r>
    </w:p>
    <w:p w14:paraId="70FABA33" w14:textId="77777777" w:rsidR="009151BA" w:rsidRDefault="004439A8">
      <w:pPr>
        <w:spacing w:before="80" w:after="80"/>
        <w:jc w:val="both"/>
      </w:pPr>
      <w:r>
        <w:rPr>
          <w:color w:val="2C2C3E"/>
        </w:rPr>
        <w:t>12:00 — 13:00 — Lunch and structured break.</w:t>
      </w:r>
    </w:p>
    <w:p w14:paraId="5DC63CCC" w14:textId="77777777" w:rsidR="009151BA" w:rsidRDefault="004439A8">
      <w:pPr>
        <w:spacing w:before="80" w:after="80"/>
        <w:jc w:val="both"/>
      </w:pPr>
      <w:r>
        <w:rPr>
          <w:color w:val="2C2C3E"/>
        </w:rPr>
        <w:t>13:00 — 17:00 — Applied practice block. Simulated work environment activities, employer site visits, mock employment scenarios, group projects.</w:t>
      </w:r>
    </w:p>
    <w:p w14:paraId="19174B22" w14:textId="77777777" w:rsidR="009151BA" w:rsidRDefault="004439A8">
      <w:pPr>
        <w:spacing w:before="80" w:after="80"/>
        <w:jc w:val="both"/>
      </w:pPr>
      <w:r>
        <w:rPr>
          <w:color w:val="2C2C3E"/>
        </w:rPr>
        <w:t>17:00 — 18:00 — Individual development time. Self-directed learning, counseling sessions, identity framework work.</w:t>
      </w:r>
    </w:p>
    <w:p w14:paraId="2DAA15D8" w14:textId="77777777" w:rsidR="009151BA" w:rsidRDefault="004439A8">
      <w:pPr>
        <w:spacing w:before="80" w:after="80"/>
        <w:jc w:val="both"/>
      </w:pPr>
      <w:r>
        <w:rPr>
          <w:color w:val="2C2C3E"/>
        </w:rPr>
        <w:t>18:00 — 19:30 — Evening meal and communal time.</w:t>
      </w:r>
    </w:p>
    <w:p w14:paraId="7114C5AD" w14:textId="77777777" w:rsidR="009151BA" w:rsidRDefault="004439A8">
      <w:pPr>
        <w:spacing w:before="80" w:after="80"/>
        <w:jc w:val="both"/>
      </w:pPr>
      <w:r>
        <w:rPr>
          <w:color w:val="2C2C3E"/>
        </w:rPr>
        <w:t>19:30 — 21:00 — Evening program (3 nights: group reflection and accountability sessions; 2 nights: recreational and social activity; 2 nights: family contact and personal administration).</w:t>
      </w:r>
    </w:p>
    <w:p w14:paraId="44F05F41" w14:textId="77777777" w:rsidR="009151BA" w:rsidRDefault="004439A8">
      <w:pPr>
        <w:spacing w:before="80" w:after="80"/>
        <w:jc w:val="both"/>
      </w:pPr>
      <w:r>
        <w:rPr>
          <w:color w:val="2C2C3E"/>
        </w:rPr>
        <w:t>21:00 — Lights out and quiet period. Sleep hygiene is a behavioral health intervention.</w:t>
      </w:r>
    </w:p>
    <w:p w14:paraId="54831F8C" w14:textId="77777777" w:rsidR="009151BA" w:rsidRDefault="004439A8">
      <w:pPr>
        <w:spacing w:before="320" w:after="120"/>
      </w:pPr>
      <w:r>
        <w:rPr>
          <w:rFonts w:ascii="Georgia" w:eastAsia="Georgia" w:hAnsi="Georgia" w:cs="Georgia"/>
          <w:b/>
          <w:bCs/>
          <w:color w:val="0D2B55"/>
          <w:sz w:val="28"/>
          <w:szCs w:val="28"/>
        </w:rPr>
        <w:lastRenderedPageBreak/>
        <w:t>C.3 Behavioral Contract Framework</w:t>
      </w:r>
    </w:p>
    <w:p w14:paraId="455E1D05" w14:textId="77777777" w:rsidR="009151BA" w:rsidRDefault="004439A8">
      <w:pPr>
        <w:spacing w:before="80" w:after="80"/>
        <w:jc w:val="both"/>
      </w:pPr>
      <w:r>
        <w:rPr>
          <w:color w:val="2C2C3E"/>
        </w:rPr>
        <w:t>Every participant in S.E.T.H.S signs a Behavioral Contract that specifies: program standards and expectations; consequence schedule for contract breaches (progressive, proportionate, documented); relapse disclosure protocols (timelines, procedures, consequences, and support provisions); exit provisions (voluntary withdrawal, performance-based removal, and re-entry criteria); and participant rights (including access to independent advocate if dispute with program management arises).</w:t>
      </w:r>
    </w:p>
    <w:p w14:paraId="468C1684" w14:textId="77777777" w:rsidR="009151BA" w:rsidRDefault="004439A8">
      <w:pPr>
        <w:spacing w:before="80" w:after="80"/>
        <w:jc w:val="both"/>
      </w:pPr>
      <w:r>
        <w:rPr>
          <w:color w:val="2C2C3E"/>
        </w:rPr>
        <w:t>The Behavioral Contract is reviewed with the participant and their nominated support person (family member, recovery sponsor, or counselor) before signing. The review is documented. Questions are answered honestly. The contract is not a trap — it is a framework for success that the participant chooses to enter.</w:t>
      </w:r>
    </w:p>
    <w:p w14:paraId="0748ADA8" w14:textId="77777777" w:rsidR="009151BA" w:rsidRDefault="004439A8">
      <w:pPr>
        <w:spacing w:before="320" w:after="120"/>
      </w:pPr>
      <w:r>
        <w:rPr>
          <w:rFonts w:ascii="Georgia" w:eastAsia="Georgia" w:hAnsi="Georgia" w:cs="Georgia"/>
          <w:b/>
          <w:bCs/>
          <w:color w:val="0D2B55"/>
          <w:sz w:val="28"/>
          <w:szCs w:val="28"/>
        </w:rPr>
        <w:t>C.4 Employer Partnership Protocol</w:t>
      </w:r>
    </w:p>
    <w:p w14:paraId="0A3AC87F" w14:textId="77777777" w:rsidR="009151BA" w:rsidRDefault="004439A8">
      <w:pPr>
        <w:spacing w:before="80" w:after="80"/>
        <w:jc w:val="both"/>
      </w:pPr>
      <w:r>
        <w:rPr>
          <w:color w:val="2C2C3E"/>
        </w:rPr>
        <w:t>S.E.T.H.S employer partners are required to complete an onboarding process that includes: organizational culture assessment (ensuring the employer environment supports rather than undermines participant stability); designated workplace integration supervisor training; accommodation date-specific employment trial provisions; performance review schedule agreement (30/60/90 day formal reviews with S.E.T.H.S presence); and emergency contact protocol for behavioral incidents in the workplace.</w:t>
      </w:r>
    </w:p>
    <w:p w14:paraId="0C2A6809" w14:textId="77777777" w:rsidR="009151BA" w:rsidRDefault="004439A8">
      <w:pPr>
        <w:spacing w:before="80" w:after="80"/>
        <w:jc w:val="both"/>
      </w:pPr>
      <w:r>
        <w:rPr>
          <w:color w:val="2C2C3E"/>
        </w:rPr>
        <w:t>Employers receive in return: pre-screened, certified candidates with documented behavioral assessment; ongoing S.E.T.H.S support during the integration period; access to the behavioral monitoring dashboard (anonymized against participant consent provisions) for performance tracking; and replacement candidate commitment in cases of placement failure within defined timelines.</w:t>
      </w:r>
    </w:p>
    <w:p w14:paraId="51E5E813" w14:textId="77777777" w:rsidR="009151BA" w:rsidRDefault="004439A8">
      <w:r>
        <w:br w:type="page"/>
      </w:r>
    </w:p>
    <w:p w14:paraId="7C0513B0"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ANNEXURE D: UDOC TECHNICAL SPECIFICATIONS</w:t>
      </w:r>
    </w:p>
    <w:p w14:paraId="69D151A1" w14:textId="77777777" w:rsidR="009151BA" w:rsidRDefault="004439A8">
      <w:pPr>
        <w:spacing w:before="320" w:after="120"/>
      </w:pPr>
      <w:r>
        <w:rPr>
          <w:rFonts w:ascii="Georgia" w:eastAsia="Georgia" w:hAnsi="Georgia" w:cs="Georgia"/>
          <w:b/>
          <w:bCs/>
          <w:color w:val="0D2B55"/>
          <w:sz w:val="28"/>
          <w:szCs w:val="28"/>
        </w:rPr>
        <w:t>D.1 Platform Architecture</w:t>
      </w:r>
    </w:p>
    <w:p w14:paraId="1E356FB9" w14:textId="77777777" w:rsidR="009151BA" w:rsidRDefault="004439A8">
      <w:pPr>
        <w:spacing w:before="80" w:after="80"/>
        <w:jc w:val="both"/>
      </w:pPr>
      <w:r>
        <w:rPr>
          <w:color w:val="2C2C3E"/>
        </w:rPr>
        <w:t>The UDOC platform is built on a microservices architecture deployed on sovereign-controlled cloud infrastructure. The core services are: Identity and Access Management (IAM) Service; AI System Registry Service; Risk Classification Engine; Workforce Impact Modeling Service; Compliance Reporting Service; Audit Trail Service; Bias Monitoring Service; and Dashboard and Visualization Service.</w:t>
      </w:r>
    </w:p>
    <w:p w14:paraId="030BC4B5" w14:textId="77777777" w:rsidR="009151BA" w:rsidRDefault="004439A8">
      <w:pPr>
        <w:spacing w:before="80" w:after="80"/>
        <w:jc w:val="both"/>
      </w:pPr>
      <w:r>
        <w:rPr>
          <w:color w:val="2C2C3E"/>
        </w:rPr>
        <w:t>The microservices architecture provides: horizontal scalability (each service scales independently based on demand); fault isolation (failure in one service does not cascade to others); independent deployment (services can be updated without platform downtime); and sovereignty flexibility (services can be deployed in separate jurisdictional clouds while remaining interoperable).</w:t>
      </w:r>
    </w:p>
    <w:p w14:paraId="75860594" w14:textId="77777777" w:rsidR="009151BA" w:rsidRDefault="004439A8">
      <w:pPr>
        <w:spacing w:before="320" w:after="120"/>
      </w:pPr>
      <w:r>
        <w:rPr>
          <w:rFonts w:ascii="Georgia" w:eastAsia="Georgia" w:hAnsi="Georgia" w:cs="Georgia"/>
          <w:b/>
          <w:bCs/>
          <w:color w:val="0D2B55"/>
          <w:sz w:val="28"/>
          <w:szCs w:val="28"/>
        </w:rPr>
        <w:t>D.2 Security Architecture</w:t>
      </w:r>
    </w:p>
    <w:p w14:paraId="3190F6F4" w14:textId="77777777" w:rsidR="009151BA" w:rsidRDefault="004439A8">
      <w:pPr>
        <w:spacing w:before="80" w:after="80"/>
        <w:jc w:val="both"/>
      </w:pPr>
      <w:r>
        <w:rPr>
          <w:color w:val="2C2C3E"/>
        </w:rPr>
        <w:t>UDOC security architecture is aligned with NIST Cybersecurity Framework and ISO 27001. Key security provisions: zero-trust network architecture (no implicit trust granted to any service or user, continuous authentication and authorization); end-to-end encryption for all data in transit using TLS 1.3 minimum (transitioning to quantum-resistant protocols); data at rest encryption using AES-256 minimum (transitioning to NIST PQC standards); hardware security modules for all cryptographic key management; multi-factor authentication mandatory for all administrative access; and penetration testing quarterly by independent external security firm.</w:t>
      </w:r>
    </w:p>
    <w:p w14:paraId="215EC6AF" w14:textId="77777777" w:rsidR="009151BA" w:rsidRDefault="004439A8">
      <w:pPr>
        <w:spacing w:before="320" w:after="120"/>
      </w:pPr>
      <w:r>
        <w:rPr>
          <w:rFonts w:ascii="Georgia" w:eastAsia="Georgia" w:hAnsi="Georgia" w:cs="Georgia"/>
          <w:b/>
          <w:bCs/>
          <w:color w:val="0D2B55"/>
          <w:sz w:val="28"/>
          <w:szCs w:val="28"/>
        </w:rPr>
        <w:t>D.3 API Architecture</w:t>
      </w:r>
    </w:p>
    <w:p w14:paraId="4BF8EB75" w14:textId="77777777" w:rsidR="009151BA" w:rsidRDefault="004439A8">
      <w:pPr>
        <w:spacing w:before="80" w:after="80"/>
        <w:jc w:val="both"/>
      </w:pPr>
      <w:r>
        <w:rPr>
          <w:color w:val="2C2C3E"/>
        </w:rPr>
        <w:t>UDOC exposes a RESTful API with comprehensive documentation enabling enterprise client integration into existing workflows. API design principles: versioning (all breaking changes deployed as new API version with minimum 12-month sunset period for prior versions); rate limiting (protecting platform stability while providing adequate throughput for enterprise use cases); authentication (OAuth 2.0 with JWT tokens, scoped to minimum required permissions); and audit logging (all API calls logged with timestamp, caller identity, and request details in tamper-evident format).</w:t>
      </w:r>
    </w:p>
    <w:p w14:paraId="276DD713" w14:textId="77777777" w:rsidR="009151BA" w:rsidRDefault="004439A8">
      <w:r>
        <w:br w:type="page"/>
      </w:r>
    </w:p>
    <w:p w14:paraId="3BE0B923"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ANNEXURE E: GOVERNMENT PROCUREMENT FRAMEWORK</w:t>
      </w:r>
    </w:p>
    <w:p w14:paraId="372B4743" w14:textId="77777777" w:rsidR="009151BA" w:rsidRDefault="004439A8">
      <w:pPr>
        <w:spacing w:before="320" w:after="120"/>
      </w:pPr>
      <w:r>
        <w:rPr>
          <w:rFonts w:ascii="Georgia" w:eastAsia="Georgia" w:hAnsi="Georgia" w:cs="Georgia"/>
          <w:b/>
          <w:bCs/>
          <w:color w:val="0D2B55"/>
          <w:sz w:val="28"/>
          <w:szCs w:val="28"/>
        </w:rPr>
        <w:t>E.1 The Government Engagement Architecture</w:t>
      </w:r>
    </w:p>
    <w:p w14:paraId="12599D20" w14:textId="77777777" w:rsidR="009151BA" w:rsidRDefault="004439A8">
      <w:pPr>
        <w:spacing w:before="80" w:after="80"/>
        <w:jc w:val="both"/>
      </w:pPr>
      <w:r>
        <w:rPr>
          <w:color w:val="2C2C3E"/>
        </w:rPr>
        <w:t>G.O.D.S has developed a structured Government Engagement Architecture — a documented process for moving from initial government relationship to contracted program delivery. This architecture is designed to navigate the specific procurement, constitutional, and political conditions of South African government engagement, with provisions for adaptation to other jurisdictions.</w:t>
      </w:r>
    </w:p>
    <w:p w14:paraId="12ED888E" w14:textId="77777777" w:rsidR="009151BA" w:rsidRDefault="004439A8">
      <w:pPr>
        <w:spacing w:before="320" w:after="120"/>
      </w:pPr>
      <w:r>
        <w:rPr>
          <w:rFonts w:ascii="Georgia" w:eastAsia="Georgia" w:hAnsi="Georgia" w:cs="Georgia"/>
          <w:b/>
          <w:bCs/>
          <w:color w:val="0D2B55"/>
          <w:sz w:val="28"/>
          <w:szCs w:val="28"/>
        </w:rPr>
        <w:t>E.2 South African Procurement Compliance</w:t>
      </w:r>
    </w:p>
    <w:p w14:paraId="3D9C5E57" w14:textId="77777777" w:rsidR="009151BA" w:rsidRDefault="004439A8">
      <w:pPr>
        <w:spacing w:before="80" w:after="80"/>
        <w:jc w:val="both"/>
      </w:pPr>
      <w:r>
        <w:rPr>
          <w:color w:val="2C2C3E"/>
        </w:rPr>
        <w:t>All G.O.D.S government procurement activities in South Africa must comply with: the Public Finance Management Act (PFMA) where applicable; the Preferential Procurement Policy Framework Act (PPPFA) and associated regulations; the Broad-Based Black Economic Empowerment (B-BBEE) framework (G.O.D.S is committed to B-BBEE compliance and to the genuine transformation objectives underlying the framework — not merely box-checking); the Supply Chain Management regulations under the PFMA; and the Government Immovable Asset Management Act (GIAMA) where applicable.</w:t>
      </w:r>
    </w:p>
    <w:p w14:paraId="32DC16A2" w14:textId="77777777" w:rsidR="009151BA" w:rsidRDefault="004439A8">
      <w:pPr>
        <w:spacing w:before="320" w:after="120"/>
      </w:pPr>
      <w:r>
        <w:rPr>
          <w:rFonts w:ascii="Georgia" w:eastAsia="Georgia" w:hAnsi="Georgia" w:cs="Georgia"/>
          <w:b/>
          <w:bCs/>
          <w:color w:val="0D2B55"/>
          <w:sz w:val="28"/>
          <w:szCs w:val="28"/>
        </w:rPr>
        <w:t>E.3 The Government Proposal Structure</w:t>
      </w:r>
    </w:p>
    <w:p w14:paraId="405D1553" w14:textId="77777777" w:rsidR="009151BA" w:rsidRDefault="004439A8">
      <w:pPr>
        <w:spacing w:before="80" w:after="80"/>
        <w:jc w:val="both"/>
      </w:pPr>
      <w:r>
        <w:rPr>
          <w:color w:val="2C2C3E"/>
        </w:rPr>
        <w:t>All G.O.D.S government proposals follow a standardized structure designed for maximum clarity and minimal grounds for procedural rejection. The standard structure includes: executive summary (maximum 3 pages, problem statement and proposed solution in plain language); constitutional and legislative compliance statement (demonstrating alignment with relevant sections of the Constitution and applicable legislation); proposed service specifications (detailed, measurable, time-bounded); pricing and payment structure (outcome-linked where possible, clear and unambiguous); performance bond and accountability mechanisms; independent audit provisions; sovereign data and IP provisions; exit provisions and transition plan; and B-BBEE compliance documentation.</w:t>
      </w:r>
    </w:p>
    <w:p w14:paraId="4E07EE23" w14:textId="77777777" w:rsidR="009151BA" w:rsidRDefault="004439A8">
      <w:pPr>
        <w:spacing w:before="80" w:after="80"/>
        <w:jc w:val="both"/>
      </w:pPr>
      <w:r>
        <w:rPr>
          <w:color w:val="2C2C3E"/>
        </w:rPr>
        <w:t>The South African Government Leverage Proposition for the National Digital Infrastructure SPV specifically demonstrates: alignment with Section 195 (Basic Values of Public Administration); compliance with Section 217 (Public Procurement); POPIA compliance; PAIA compliance; and PFMA compliance. The proposal is structured explicitly as infrastructure asset creation, not expenditure — enabling it to pass Treasury fiscal framework scrutiny.</w:t>
      </w:r>
    </w:p>
    <w:p w14:paraId="21479E84" w14:textId="77777777" w:rsidR="009151BA" w:rsidRDefault="004439A8">
      <w:r>
        <w:br w:type="page"/>
      </w:r>
    </w:p>
    <w:p w14:paraId="5398F3B6"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ANNEXURE F: DETAILED FINANCIAL PROJECTIONS (5/10/25 YEAR)</w:t>
      </w:r>
    </w:p>
    <w:p w14:paraId="2DCA6B14" w14:textId="77777777" w:rsidR="009151BA" w:rsidRDefault="004439A8">
      <w:pPr>
        <w:spacing w:before="320" w:after="120"/>
      </w:pPr>
      <w:r>
        <w:rPr>
          <w:rFonts w:ascii="Georgia" w:eastAsia="Georgia" w:hAnsi="Georgia" w:cs="Georgia"/>
          <w:b/>
          <w:bCs/>
          <w:color w:val="0D2B55"/>
          <w:sz w:val="28"/>
          <w:szCs w:val="28"/>
        </w:rPr>
        <w:t>F.1 5-Year P&amp;L Projection (Conservative Scenario)</w:t>
      </w:r>
    </w:p>
    <w:p w14:paraId="497AAF90" w14:textId="77777777" w:rsidR="009151BA" w:rsidRDefault="004439A8">
      <w:pPr>
        <w:spacing w:before="80" w:after="80"/>
        <w:jc w:val="both"/>
      </w:pPr>
      <w:r>
        <w:rPr>
          <w:color w:val="2C2C3E"/>
        </w:rPr>
        <w:t>All figures in South African Rand (millions), conservative scenario.</w:t>
      </w:r>
    </w:p>
    <w:p w14:paraId="02AE043A" w14:textId="77777777" w:rsidR="009151BA" w:rsidRDefault="004439A8">
      <w:pPr>
        <w:spacing w:before="80" w:after="80"/>
        <w:jc w:val="both"/>
      </w:pPr>
      <w:r>
        <w:rPr>
          <w:color w:val="2C2C3E"/>
        </w:rPr>
        <w:t>Revenue by Division: Year 1: S.E.T.H.S R2M, UDOC R1M, Other R0.5M, Total R3.5M. Year 2: S.E.T.H.S R8M, UDOC R5M, Media R2M, Total R15M. Year 3: S.E.T.H.S R20M, UDOC R20M, Media R5M, Government R50M, M.A.D.I.B.A fees R3M, Total R98M. Year 4: S.E.T.H.S R35M, UDOC R50M, Media R10M, Government R100M, M.A.D.I.B.A R8M, T.S R20M, Total R223M. Year 5: S.E.T.H.S R60M, UDOC R100M, Media R15M, Government R150M, M.A.D.I.B.A R15M, T.S R50M, Licensing R10M, Total R400M.</w:t>
      </w:r>
    </w:p>
    <w:p w14:paraId="68E4E189" w14:textId="77777777" w:rsidR="009151BA" w:rsidRDefault="004439A8">
      <w:pPr>
        <w:spacing w:before="320" w:after="120"/>
      </w:pPr>
      <w:r>
        <w:rPr>
          <w:rFonts w:ascii="Georgia" w:eastAsia="Georgia" w:hAnsi="Georgia" w:cs="Georgia"/>
          <w:b/>
          <w:bCs/>
          <w:color w:val="0D2B55"/>
          <w:sz w:val="28"/>
          <w:szCs w:val="28"/>
        </w:rPr>
        <w:t>F.2 10-Year Projection</w:t>
      </w:r>
    </w:p>
    <w:p w14:paraId="2FAD3504" w14:textId="77777777" w:rsidR="009151BA" w:rsidRDefault="004439A8">
      <w:pPr>
        <w:spacing w:before="80" w:after="80"/>
        <w:jc w:val="both"/>
      </w:pPr>
      <w:r>
        <w:rPr>
          <w:color w:val="2C2C3E"/>
        </w:rPr>
        <w:t>Year 10 revenue target (consolidated, all 8 divisions, South Africa + initial Africa expansion): R800M - R2B. EBITDA margin target: 28-35%. Gross margin target (consolidated): 55-65%. Staff headcount: 500-1,200 directly employed. S.E.T.H.S participants placed: 10,000+ cumulative with 12-month employment retention data.</w:t>
      </w:r>
    </w:p>
    <w:p w14:paraId="22D7A8AE" w14:textId="77777777" w:rsidR="009151BA" w:rsidRDefault="004439A8">
      <w:pPr>
        <w:spacing w:before="320" w:after="120"/>
      </w:pPr>
      <w:r>
        <w:rPr>
          <w:rFonts w:ascii="Georgia" w:eastAsia="Georgia" w:hAnsi="Georgia" w:cs="Georgia"/>
          <w:b/>
          <w:bCs/>
          <w:color w:val="0D2B55"/>
          <w:sz w:val="28"/>
          <w:szCs w:val="28"/>
        </w:rPr>
        <w:t>F.3 25-Year Projection</w:t>
      </w:r>
    </w:p>
    <w:p w14:paraId="466EE6F7" w14:textId="77777777" w:rsidR="009151BA" w:rsidRDefault="004439A8">
      <w:pPr>
        <w:spacing w:before="80" w:after="80"/>
        <w:jc w:val="both"/>
      </w:pPr>
      <w:r>
        <w:rPr>
          <w:color w:val="2C2C3E"/>
        </w:rPr>
        <w:t>Year 25 revenue target (multi-national, all divisions): R5B - R20B (dependent on Africa expansion pace and international licensing adoption). EBITDA margin: 30-40% (improved by licensing business which is highest margin at scale). Equity value target: R50B - R200B (12x revenue multiple consistent with governance infrastructure SaaS at institutional scale). S.E.T.H.S participants lifetime: 100,000+. Countries operating in: 15-25. UDOC government deployments: 10+ national governments.</w:t>
      </w:r>
    </w:p>
    <w:p w14:paraId="279F5DB6" w14:textId="77777777" w:rsidR="009151BA" w:rsidRDefault="004439A8">
      <w:pPr>
        <w:spacing w:before="320" w:after="120"/>
      </w:pPr>
      <w:r>
        <w:rPr>
          <w:rFonts w:ascii="Georgia" w:eastAsia="Georgia" w:hAnsi="Georgia" w:cs="Georgia"/>
          <w:b/>
          <w:bCs/>
          <w:color w:val="0D2B55"/>
          <w:sz w:val="28"/>
          <w:szCs w:val="28"/>
        </w:rPr>
        <w:t>F.4 Key Financial Assumptions</w:t>
      </w:r>
    </w:p>
    <w:p w14:paraId="27DAC9A3" w14:textId="77777777" w:rsidR="009151BA" w:rsidRDefault="004439A8">
      <w:pPr>
        <w:spacing w:before="80" w:after="80"/>
        <w:jc w:val="both"/>
      </w:pPr>
      <w:r>
        <w:rPr>
          <w:color w:val="2C2C3E"/>
        </w:rPr>
        <w:t>UDOC enterprise client growth: 2-3 new clients per quarter from Year 2, accelerating to 5-8 per quarter by Year 5 as regulatory pressure increases AI governance demand. S.E.T.H.S government contract value: R5M-R30M per provincial contract, with 3-5 provincial contracts by Year 5. Government digital backbone contract timing: First contract by Year 3, assuming government engagement initiated in Year 1. Startup absorption: 2-5 acquisitions per year from Year 3, adding R10M-R100M in incremental revenue per acquisition at scale. IP licensing revenue: Commences at meaningful scale from Year 5, growing to 10-15% of total revenue by Year 15.</w:t>
      </w:r>
    </w:p>
    <w:p w14:paraId="0F7646BD" w14:textId="77777777" w:rsidR="009151BA" w:rsidRDefault="004439A8">
      <w:r>
        <w:br w:type="page"/>
      </w:r>
    </w:p>
    <w:p w14:paraId="47846FF1"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ANNEXURE G: RISK REGISTER</w:t>
      </w:r>
    </w:p>
    <w:p w14:paraId="3EC73BA1" w14:textId="77777777" w:rsidR="009151BA" w:rsidRDefault="004439A8">
      <w:pPr>
        <w:spacing w:before="320" w:after="120"/>
      </w:pPr>
      <w:r>
        <w:rPr>
          <w:rFonts w:ascii="Georgia" w:eastAsia="Georgia" w:hAnsi="Georgia" w:cs="Georgia"/>
          <w:b/>
          <w:bCs/>
          <w:color w:val="0D2B55"/>
          <w:sz w:val="28"/>
          <w:szCs w:val="28"/>
        </w:rPr>
        <w:t>G.1 Risk Register Overview</w:t>
      </w:r>
    </w:p>
    <w:p w14:paraId="7C476979" w14:textId="77777777" w:rsidR="009151BA" w:rsidRDefault="004439A8">
      <w:pPr>
        <w:spacing w:before="80" w:after="80"/>
        <w:jc w:val="both"/>
      </w:pPr>
      <w:r>
        <w:rPr>
          <w:color w:val="2C2C3E"/>
        </w:rPr>
        <w:t>The G.O.D.S Risk Register is a living document maintained by the Constitutional Oversight Board and reviewed quarterly. The following represents the current risk assessment as at the Manifesto preparation date.</w:t>
      </w:r>
    </w:p>
    <w:p w14:paraId="5AA64CED" w14:textId="77777777" w:rsidR="009151BA" w:rsidRDefault="004439A8">
      <w:pPr>
        <w:spacing w:before="240" w:after="80"/>
      </w:pPr>
      <w:r>
        <w:rPr>
          <w:b/>
          <w:bCs/>
          <w:color w:val="BF9B30"/>
          <w:sz w:val="24"/>
          <w:szCs w:val="24"/>
        </w:rPr>
        <w:t>Risk Category 1: Institutional</w:t>
      </w:r>
    </w:p>
    <w:p w14:paraId="38E2179C" w14:textId="77777777" w:rsidR="009151BA" w:rsidRDefault="004439A8">
      <w:pPr>
        <w:spacing w:before="80" w:after="80"/>
        <w:jc w:val="both"/>
      </w:pPr>
      <w:r>
        <w:rPr>
          <w:color w:val="2C2C3E"/>
        </w:rPr>
        <w:t>Risk: Mission drift through commercial pressure. Likelihood: Medium (3/5). Impact: Catastrophic (5/5). Risk Score: 15/25 — HIGH. Mitigation: Twelve Constitutional Pillars, COB oversight, annual constitutional review, IP Trust insulation. Residual Risk: Low-Medium after mitigation.</w:t>
      </w:r>
    </w:p>
    <w:p w14:paraId="54B08AA5" w14:textId="77777777" w:rsidR="009151BA" w:rsidRDefault="004439A8">
      <w:pPr>
        <w:spacing w:before="80" w:after="80"/>
        <w:jc w:val="both"/>
      </w:pPr>
      <w:r>
        <w:rPr>
          <w:color w:val="2C2C3E"/>
        </w:rPr>
        <w:t>Risk: Founder incapacitation or death without succession. Likelihood: Low-Medium (2/5). Impact: High (4/5). Risk Score: 8/25 — MEDIUM. Mitigation: Documented succession framework, leadership development pipeline, COB transition authority, governance documentation completeness. Residual Risk: Low after mitigation.</w:t>
      </w:r>
    </w:p>
    <w:p w14:paraId="13C3C704" w14:textId="77777777" w:rsidR="009151BA" w:rsidRDefault="004439A8">
      <w:pPr>
        <w:spacing w:before="240" w:after="80"/>
      </w:pPr>
      <w:r>
        <w:rPr>
          <w:b/>
          <w:bCs/>
          <w:color w:val="BF9B30"/>
          <w:sz w:val="24"/>
          <w:szCs w:val="24"/>
        </w:rPr>
        <w:t>Risk Category 2: Commercial</w:t>
      </w:r>
    </w:p>
    <w:p w14:paraId="58B6AD95" w14:textId="77777777" w:rsidR="009151BA" w:rsidRDefault="004439A8">
      <w:pPr>
        <w:spacing w:before="80" w:after="80"/>
        <w:jc w:val="both"/>
      </w:pPr>
      <w:r>
        <w:rPr>
          <w:color w:val="2C2C3E"/>
        </w:rPr>
        <w:t>Risk: UDOC enterprise sales cycle longer than projected. Likelihood: Medium-High (3/5). Impact: Medium (3/5). Risk Score: 9/25 — MEDIUM. Mitigation: Conservative financial modeling with extended runway, government contract revenue as alternative path, cost structure flexibility. Residual Risk: Low-Medium.</w:t>
      </w:r>
    </w:p>
    <w:p w14:paraId="732E11C1" w14:textId="77777777" w:rsidR="009151BA" w:rsidRDefault="004439A8">
      <w:pPr>
        <w:spacing w:before="80" w:after="80"/>
        <w:jc w:val="both"/>
      </w:pPr>
      <w:r>
        <w:rPr>
          <w:color w:val="2C2C3E"/>
        </w:rPr>
        <w:t>Risk: Government contract procurement delay or cancellation. Likelihood: High (4/5). Impact: Medium (3/5). Risk Score: 12/25 — HIGH. Mitigation: Multiple government relationships across multiple departments, private sector revenue as buffer, financial modeling accounts for 12-18 month procurement delays. Residual Risk: Medium.</w:t>
      </w:r>
    </w:p>
    <w:p w14:paraId="496C1724" w14:textId="77777777" w:rsidR="009151BA" w:rsidRDefault="004439A8">
      <w:pPr>
        <w:spacing w:before="240" w:after="80"/>
      </w:pPr>
      <w:r>
        <w:rPr>
          <w:b/>
          <w:bCs/>
          <w:color w:val="BF9B30"/>
          <w:sz w:val="24"/>
          <w:szCs w:val="24"/>
        </w:rPr>
        <w:t>Risk Category 3: Operational</w:t>
      </w:r>
    </w:p>
    <w:p w14:paraId="52C0ADFF" w14:textId="77777777" w:rsidR="009151BA" w:rsidRDefault="004439A8">
      <w:pPr>
        <w:spacing w:before="80" w:after="80"/>
        <w:jc w:val="both"/>
      </w:pPr>
      <w:r>
        <w:rPr>
          <w:color w:val="2C2C3E"/>
        </w:rPr>
        <w:t>Risk: S.E.T.H.S participant incident causing reputational damage. Likelihood: Medium (3/5). Impact: High (4/5). Risk Score: 12/25 — HIGH. Mitigation: Robust incident response protocol, insurance coverage, independent investigation provision, transparent communication framework, media training for senior leadership. Residual Risk: Medium.</w:t>
      </w:r>
    </w:p>
    <w:p w14:paraId="44DFFB62" w14:textId="77777777" w:rsidR="009151BA" w:rsidRDefault="004439A8">
      <w:pPr>
        <w:spacing w:before="80" w:after="80"/>
        <w:jc w:val="both"/>
      </w:pPr>
      <w:r>
        <w:rPr>
          <w:color w:val="2C2C3E"/>
        </w:rPr>
        <w:t>Risk: Data breach in UDOC or S.E.T.H.S systems. Likelihood: Low-Medium (2/5). Impact: Catastrophic (5/5). Risk Score: 10/25 — HIGH. Mitigation: Security architecture as detailed in Annexure D, cyber insurance, incident response protocol, breach notification systems, regular penetration testing. Residual Risk: Low-Medium.</w:t>
      </w:r>
    </w:p>
    <w:p w14:paraId="5FBBC015" w14:textId="77777777" w:rsidR="009151BA" w:rsidRDefault="004439A8">
      <w:pPr>
        <w:spacing w:before="240" w:after="80"/>
      </w:pPr>
      <w:r>
        <w:rPr>
          <w:b/>
          <w:bCs/>
          <w:color w:val="BF9B30"/>
          <w:sz w:val="24"/>
          <w:szCs w:val="24"/>
        </w:rPr>
        <w:t>Risk Category 4: Regulatory &amp; Political</w:t>
      </w:r>
    </w:p>
    <w:p w14:paraId="40C4CB88" w14:textId="77777777" w:rsidR="009151BA" w:rsidRDefault="004439A8">
      <w:pPr>
        <w:spacing w:before="80" w:after="80"/>
        <w:jc w:val="both"/>
      </w:pPr>
      <w:r>
        <w:rPr>
          <w:color w:val="2C2C3E"/>
        </w:rPr>
        <w:t>Risk: Adverse regulatory change affecting UDOC enterprise market. Likelihood: Low (2/5). Impact: Medium (3/5). Risk Score: 6/25 — MEDIUM. Mitigation: Active regulatory monitoring, participation in standard-setting processes, diversification across multiple regulatory jurisdictions. Residual Risk: Low.</w:t>
      </w:r>
    </w:p>
    <w:p w14:paraId="58C0FB71" w14:textId="77777777" w:rsidR="009151BA" w:rsidRDefault="004439A8">
      <w:pPr>
        <w:spacing w:before="80" w:after="80"/>
        <w:jc w:val="both"/>
      </w:pPr>
      <w:r>
        <w:rPr>
          <w:color w:val="2C2C3E"/>
        </w:rPr>
        <w:t>Risk: Political administration change removing government champion. Likelihood: High (4/5). Impact: Medium (3/5). Risk Score: 12/25 — HIGH. Mitigation: Multiple political relationships, contractual protections independent of individual champion, documented performance record that survives political transitions, media and public visibility reducing political risk of program cancellation. Residual Risk: Low-Medium.</w:t>
      </w:r>
    </w:p>
    <w:p w14:paraId="7E7B127C" w14:textId="77777777" w:rsidR="009151BA" w:rsidRDefault="004439A8">
      <w:r>
        <w:lastRenderedPageBreak/>
        <w:br w:type="page"/>
      </w:r>
    </w:p>
    <w:p w14:paraId="52812997"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ANNEXURE H: ORGANIZATIONAL STRUCTURE</w:t>
      </w:r>
    </w:p>
    <w:p w14:paraId="40255A26" w14:textId="77777777" w:rsidR="009151BA" w:rsidRDefault="004439A8">
      <w:pPr>
        <w:spacing w:before="320" w:after="120"/>
      </w:pPr>
      <w:r>
        <w:rPr>
          <w:rFonts w:ascii="Georgia" w:eastAsia="Georgia" w:hAnsi="Georgia" w:cs="Georgia"/>
          <w:b/>
          <w:bCs/>
          <w:color w:val="0D2B55"/>
          <w:sz w:val="28"/>
          <w:szCs w:val="28"/>
        </w:rPr>
        <w:t>H.1 Phase 1 Organizational Structure (Year 0-5)</w:t>
      </w:r>
    </w:p>
    <w:p w14:paraId="74004AE7" w14:textId="77777777" w:rsidR="009151BA" w:rsidRDefault="004439A8">
      <w:pPr>
        <w:spacing w:before="80" w:after="80"/>
        <w:jc w:val="both"/>
      </w:pPr>
      <w:r>
        <w:rPr>
          <w:color w:val="2C2C3E"/>
        </w:rPr>
        <w:t>Constitutional Oversight Board (7 independent members) — supreme governance authority. CEO / Founder — strategic direction, relationship management, institutional architecture. CFO — financial management, investor relations, capital raising. Chief Operating Officer — divisional performance oversight, operational excellence. Head of S.E.T.H.S — program design, delivery oversight, government relationships, employer network management. Head of UDOC — product development, enterprise client management, government digital backbone delivery. Head of M.A.D.I.B.A — fund management, capital deployment, sovereign interface, talent acceleration. Head of Media &amp; Narrative — content strategy, media relationships, institutional credibility building. Head of Legal, Governance &amp; Compliance — constitutional compliance, contracts, regulatory relationships, IP management.</w:t>
      </w:r>
    </w:p>
    <w:p w14:paraId="4A467DB9" w14:textId="77777777" w:rsidR="009151BA" w:rsidRDefault="004439A8">
      <w:pPr>
        <w:spacing w:before="320" w:after="120"/>
      </w:pPr>
      <w:r>
        <w:rPr>
          <w:rFonts w:ascii="Georgia" w:eastAsia="Georgia" w:hAnsi="Georgia" w:cs="Georgia"/>
          <w:b/>
          <w:bCs/>
          <w:color w:val="0D2B55"/>
          <w:sz w:val="28"/>
          <w:szCs w:val="28"/>
        </w:rPr>
        <w:t>H.2 Divisional Staff Structure — S.E.T.H.S</w:t>
      </w:r>
    </w:p>
    <w:p w14:paraId="0D51FB26" w14:textId="77777777" w:rsidR="009151BA" w:rsidRDefault="004439A8">
      <w:pPr>
        <w:spacing w:before="80" w:after="80"/>
        <w:jc w:val="both"/>
      </w:pPr>
      <w:r>
        <w:rPr>
          <w:color w:val="2C2C3E"/>
        </w:rPr>
        <w:t>Per 50-participant SDU: 1 SDU Manager; 3 Behavioral Program Supervisors; 2 Skills Training Instructors (vocational domain); 1 Psychometric Assessment Coordinator; 1 Employment Relationship Manager; 1 Administrative Coordinator; 1 Health and Safety Officer (part-time); contracted counseling services (clinical psychologist, 2 days/week minimum). Total per SDU: approximately 10-12 staff at Phase 1 staffing ratios.</w:t>
      </w:r>
    </w:p>
    <w:p w14:paraId="1D1CAB96" w14:textId="77777777" w:rsidR="009151BA" w:rsidRDefault="004439A8">
      <w:pPr>
        <w:spacing w:before="320" w:after="120"/>
      </w:pPr>
      <w:r>
        <w:rPr>
          <w:rFonts w:ascii="Georgia" w:eastAsia="Georgia" w:hAnsi="Georgia" w:cs="Georgia"/>
          <w:b/>
          <w:bCs/>
          <w:color w:val="0D2B55"/>
          <w:sz w:val="28"/>
          <w:szCs w:val="28"/>
        </w:rPr>
        <w:t>H.3 Governance Committee Structure</w:t>
      </w:r>
    </w:p>
    <w:p w14:paraId="6FEF579B" w14:textId="77777777" w:rsidR="009151BA" w:rsidRDefault="004439A8">
      <w:pPr>
        <w:spacing w:before="80" w:after="80"/>
        <w:jc w:val="both"/>
      </w:pPr>
      <w:r>
        <w:rPr>
          <w:color w:val="2C2C3E"/>
        </w:rPr>
        <w:t>The COB operates through four standing committees: Audit Committee (financial oversight, external auditor relationship); Risk and Compliance Committee (risk register oversight, constitutional compliance); Nominations and Governance Committee (COB appointments, succession planning); and Strategic Advisory Committee (long-horizon mission alignment, external expert engagement).</w:t>
      </w:r>
    </w:p>
    <w:p w14:paraId="4C00C567" w14:textId="77777777" w:rsidR="009151BA" w:rsidRDefault="004439A8">
      <w:r>
        <w:br w:type="page"/>
      </w:r>
    </w:p>
    <w:p w14:paraId="54A1D011"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ANNEXURE I: GOVERNMENT SPV STRUCTURE — NATIONAL DIGITAL INFRASTRUCTURE</w:t>
      </w:r>
    </w:p>
    <w:p w14:paraId="5EB7F93C" w14:textId="77777777" w:rsidR="009151BA" w:rsidRDefault="004439A8">
      <w:pPr>
        <w:spacing w:before="320" w:after="120"/>
      </w:pPr>
      <w:r>
        <w:rPr>
          <w:rFonts w:ascii="Georgia" w:eastAsia="Georgia" w:hAnsi="Georgia" w:cs="Georgia"/>
          <w:b/>
          <w:bCs/>
          <w:color w:val="0D2B55"/>
          <w:sz w:val="28"/>
          <w:szCs w:val="28"/>
        </w:rPr>
        <w:t>I.1 SPV Legal Architecture</w:t>
      </w:r>
    </w:p>
    <w:p w14:paraId="52E16390" w14:textId="77777777" w:rsidR="009151BA" w:rsidRDefault="004439A8">
      <w:pPr>
        <w:spacing w:before="80" w:after="80"/>
        <w:jc w:val="both"/>
      </w:pPr>
      <w:r>
        <w:rPr>
          <w:color w:val="2C2C3E"/>
        </w:rPr>
        <w:t>The National Digital Infrastructure Special Purpose Vehicle (NDI-SPV) is a dedicated legal entity established for the specific purpose of deploying and operating the national digital governance infrastructure under the G.O.D.S UDOC framework, in partnership with the Republic of South Africa.</w:t>
      </w:r>
    </w:p>
    <w:p w14:paraId="2BB57351" w14:textId="77777777" w:rsidR="009151BA" w:rsidRDefault="004439A8">
      <w:pPr>
        <w:spacing w:before="80" w:after="80"/>
        <w:jc w:val="both"/>
      </w:pPr>
      <w:r>
        <w:rPr>
          <w:color w:val="2C2C3E"/>
        </w:rPr>
        <w:t>Ownership structure: Government of South Africa (51% minimum, represented through a designated government entity such as the State IT Agency or a newly established Digital Infrastructure Development Entity); G.O.D.S TS Holdings (49% maximum). Additional private equity co-investors may participate at Government invitation, provided their combined stake does not reduce government ownership below 51%.</w:t>
      </w:r>
    </w:p>
    <w:p w14:paraId="6B15A265" w14:textId="77777777" w:rsidR="009151BA" w:rsidRDefault="004439A8">
      <w:pPr>
        <w:spacing w:before="80" w:after="80"/>
        <w:jc w:val="both"/>
      </w:pPr>
      <w:r>
        <w:rPr>
          <w:color w:val="2C2C3E"/>
        </w:rPr>
        <w:t>Governance: Majority government-appointed Board; independent non-executive chairperson (jointly nominated by government and G.O.D.S, subject to Treasury approval); G.O.D.S technical director (G.O.D.S appointed); independent audit committee; South African human rights commission oversight provision for any system affecting citizen data.</w:t>
      </w:r>
    </w:p>
    <w:p w14:paraId="3803F0D5" w14:textId="77777777" w:rsidR="009151BA" w:rsidRDefault="004439A8">
      <w:pPr>
        <w:spacing w:before="320" w:after="120"/>
      </w:pPr>
      <w:r>
        <w:rPr>
          <w:rFonts w:ascii="Georgia" w:eastAsia="Georgia" w:hAnsi="Georgia" w:cs="Georgia"/>
          <w:b/>
          <w:bCs/>
          <w:color w:val="0D2B55"/>
          <w:sz w:val="28"/>
          <w:szCs w:val="28"/>
        </w:rPr>
        <w:t>I.2 Revenue and Repayment Model</w:t>
      </w:r>
    </w:p>
    <w:p w14:paraId="0A3AE3D7" w14:textId="77777777" w:rsidR="009151BA" w:rsidRDefault="004439A8">
      <w:pPr>
        <w:spacing w:before="80" w:after="80"/>
        <w:jc w:val="both"/>
      </w:pPr>
      <w:r>
        <w:rPr>
          <w:color w:val="2C2C3E"/>
        </w:rPr>
        <w:t>The NDI-SPV generates revenue from: digital compliance licensing to private sector entities (mandatory for AI systems above defined risk thresholds); enterprise UDOC service subscriptions for government departments; institutional API usage fees; cross-border data verification and authentication services; and quantifiable public sector efficiency savings (convertible to availability payments at agreed formula).</w:t>
      </w:r>
    </w:p>
    <w:p w14:paraId="10435506" w14:textId="77777777" w:rsidR="009151BA" w:rsidRDefault="004439A8">
      <w:pPr>
        <w:spacing w:before="80" w:after="80"/>
        <w:jc w:val="both"/>
      </w:pPr>
      <w:r>
        <w:rPr>
          <w:color w:val="2C2C3E"/>
        </w:rPr>
        <w:t>Private capital repayment structure: Subordinated infrastructure loan, not sovereign debt. Repayment from SPV revenues — not from Treasury. Fixed annual repayment schedule from Year 3 based on conservative revenue projections. Equity residual value for private shareholders at agreed liquidity event (Year 10-15) based on independent valuation. Performance uplift provision for revenue above base projections. Return cap (preventing unlimited private extraction from sovereign infrastructure — maximum 3x invested capital before equity buyback provisions activate).</w:t>
      </w:r>
    </w:p>
    <w:p w14:paraId="02217736" w14:textId="77777777" w:rsidR="009151BA" w:rsidRDefault="004439A8">
      <w:r>
        <w:br w:type="page"/>
      </w:r>
    </w:p>
    <w:p w14:paraId="58E716A7"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ANNEXURE J: AI GOVERNANCE CHARTER</w:t>
      </w:r>
    </w:p>
    <w:p w14:paraId="345CDBD0" w14:textId="77777777" w:rsidR="009151BA" w:rsidRDefault="004439A8">
      <w:pPr>
        <w:spacing w:before="320" w:after="120"/>
      </w:pPr>
      <w:r>
        <w:rPr>
          <w:rFonts w:ascii="Georgia" w:eastAsia="Georgia" w:hAnsi="Georgia" w:cs="Georgia"/>
          <w:b/>
          <w:bCs/>
          <w:color w:val="0D2B55"/>
          <w:sz w:val="28"/>
          <w:szCs w:val="28"/>
        </w:rPr>
        <w:t>J.1 The G.O.D.S AI Governance Charter</w:t>
      </w:r>
    </w:p>
    <w:p w14:paraId="69698E8E" w14:textId="77777777" w:rsidR="009151BA" w:rsidRDefault="004439A8">
      <w:pPr>
        <w:spacing w:before="80" w:after="80"/>
        <w:jc w:val="both"/>
      </w:pPr>
      <w:r>
        <w:rPr>
          <w:color w:val="2C2C3E"/>
        </w:rPr>
        <w:t>This Charter establishes the binding governance framework for all artificial intelligence systems deployed within or by G.O.D.S entities. It is a constitutional document — it cannot be modified by executive authority and any amendment requires COB supermajority and external ethical review.</w:t>
      </w:r>
    </w:p>
    <w:p w14:paraId="118ECF2E" w14:textId="77777777" w:rsidR="009151BA" w:rsidRDefault="004439A8">
      <w:pPr>
        <w:spacing w:before="320" w:after="120"/>
      </w:pPr>
      <w:r>
        <w:rPr>
          <w:rFonts w:ascii="Georgia" w:eastAsia="Georgia" w:hAnsi="Georgia" w:cs="Georgia"/>
          <w:b/>
          <w:bCs/>
          <w:color w:val="0D2B55"/>
          <w:sz w:val="28"/>
          <w:szCs w:val="28"/>
        </w:rPr>
        <w:t>J.2 Definitions</w:t>
      </w:r>
    </w:p>
    <w:p w14:paraId="2EAED946" w14:textId="77777777" w:rsidR="009151BA" w:rsidRDefault="004439A8">
      <w:pPr>
        <w:spacing w:before="80" w:after="80"/>
        <w:jc w:val="both"/>
      </w:pPr>
      <w:r>
        <w:rPr>
          <w:color w:val="2C2C3E"/>
        </w:rPr>
        <w:t>"AI System" means any machine-based system that can, for a given set of objectives, make predictions, recommendations, or decisions influencing real or virtual environments. "High Risk AI System" means any AI system that makes or materially influences decisions affecting the welfare, rights, opportunities, or safety of any individual. "Prohibited AI System" means any AI system designed to manipulate human behavior through subliminal techniques, exploit vulnerabilities of specific groups, enable government mass surveillance, or deploy autonomous lethal decision-making.</w:t>
      </w:r>
    </w:p>
    <w:p w14:paraId="04D229CD" w14:textId="77777777" w:rsidR="009151BA" w:rsidRDefault="004439A8">
      <w:pPr>
        <w:spacing w:before="320" w:after="120"/>
      </w:pPr>
      <w:r>
        <w:rPr>
          <w:rFonts w:ascii="Georgia" w:eastAsia="Georgia" w:hAnsi="Georgia" w:cs="Georgia"/>
          <w:b/>
          <w:bCs/>
          <w:color w:val="0D2B55"/>
          <w:sz w:val="28"/>
          <w:szCs w:val="28"/>
        </w:rPr>
        <w:t>J.3 Prohibited AI Applications</w:t>
      </w:r>
    </w:p>
    <w:p w14:paraId="0D9A4902" w14:textId="77777777" w:rsidR="009151BA" w:rsidRDefault="004439A8">
      <w:pPr>
        <w:spacing w:before="80" w:after="80"/>
        <w:jc w:val="both"/>
      </w:pPr>
      <w:r>
        <w:rPr>
          <w:color w:val="2C2C3E"/>
        </w:rPr>
        <w:t>No G.O.D.S entity may deploy, develop, invest in, or assist in the deployment of: AI systems designed for indiscriminate mass surveillance of populations without consent and independent oversight; AI systems with autonomous lethal decision authority; AI systems designed to generate political propaganda or manipulate democratic processes; AI systems that create deepfake content to deceive individuals without consent; and AI systems that deny or restrict access to essential public services based on protected characteristics.</w:t>
      </w:r>
    </w:p>
    <w:p w14:paraId="72EF99A8" w14:textId="77777777" w:rsidR="009151BA" w:rsidRDefault="004439A8">
      <w:pPr>
        <w:spacing w:before="320" w:after="120"/>
      </w:pPr>
      <w:r>
        <w:rPr>
          <w:rFonts w:ascii="Georgia" w:eastAsia="Georgia" w:hAnsi="Georgia" w:cs="Georgia"/>
          <w:b/>
          <w:bCs/>
          <w:color w:val="0D2B55"/>
          <w:sz w:val="28"/>
          <w:szCs w:val="28"/>
        </w:rPr>
        <w:t>J.4 High Risk AI Requirements</w:t>
      </w:r>
    </w:p>
    <w:p w14:paraId="6CE6AA41" w14:textId="77777777" w:rsidR="009151BA" w:rsidRDefault="004439A8">
      <w:pPr>
        <w:spacing w:before="80" w:after="80"/>
        <w:jc w:val="both"/>
      </w:pPr>
      <w:r>
        <w:rPr>
          <w:color w:val="2C2C3E"/>
        </w:rPr>
        <w:t>All High Risk AI Systems within G.O.D.S must: maintain a technical dossier including training data documentation, architecture specifications, and validation results; undergo conformity assessment before deployment; implement human oversight provisions with documented escalation paths; maintain logging of decisions for post-deployment audit; provide affected individuals with explanation of decisions on request; and undergo annual independent audit.</w:t>
      </w:r>
    </w:p>
    <w:p w14:paraId="681E72ED" w14:textId="77777777" w:rsidR="009151BA" w:rsidRDefault="004439A8">
      <w:r>
        <w:br w:type="page"/>
      </w:r>
    </w:p>
    <w:p w14:paraId="732BDCEA"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ANNEXURE K: GLOBAL PROBLEM ANALYSIS — 2026 TO 2045 HORIZON</w:t>
      </w:r>
    </w:p>
    <w:p w14:paraId="74C6EFA5" w14:textId="77777777" w:rsidR="009151BA" w:rsidRDefault="004439A8">
      <w:pPr>
        <w:spacing w:before="320" w:after="120"/>
      </w:pPr>
      <w:r>
        <w:rPr>
          <w:rFonts w:ascii="Georgia" w:eastAsia="Georgia" w:hAnsi="Georgia" w:cs="Georgia"/>
          <w:b/>
          <w:bCs/>
          <w:color w:val="0D2B55"/>
          <w:sz w:val="28"/>
          <w:szCs w:val="28"/>
        </w:rPr>
        <w:t>K.1 The Structural Stressor Analysis</w:t>
      </w:r>
    </w:p>
    <w:p w14:paraId="0EE489DA" w14:textId="77777777" w:rsidR="009151BA" w:rsidRDefault="004439A8">
      <w:pPr>
        <w:spacing w:before="80" w:after="80"/>
        <w:jc w:val="both"/>
      </w:pPr>
      <w:r>
        <w:rPr>
          <w:color w:val="2C2C3E"/>
        </w:rPr>
        <w:t>G.O.D.S maintains a formal structural stressor analysis updated at defined intervals. The current analysis identifies the following as the most significant structural threats to civilizational stability over the 2026-2045 horizon, and maps each to the G.O.D.S response architecture.</w:t>
      </w:r>
    </w:p>
    <w:p w14:paraId="70891BE0" w14:textId="77777777" w:rsidR="009151BA" w:rsidRDefault="004439A8">
      <w:pPr>
        <w:spacing w:before="240" w:after="80"/>
      </w:pPr>
      <w:r>
        <w:rPr>
          <w:b/>
          <w:bCs/>
          <w:color w:val="BF9B30"/>
          <w:sz w:val="24"/>
          <w:szCs w:val="24"/>
        </w:rPr>
        <w:t>K.1.1 Governance Erosion (Severity: Critical)</w:t>
      </w:r>
    </w:p>
    <w:p w14:paraId="56FF5C9B" w14:textId="77777777" w:rsidR="009151BA" w:rsidRDefault="004439A8">
      <w:pPr>
        <w:spacing w:before="80" w:after="80"/>
        <w:jc w:val="both"/>
      </w:pPr>
      <w:r>
        <w:rPr>
          <w:color w:val="2C2C3E"/>
        </w:rPr>
        <w:t>Trust in democratic institutions has reached generational lows across OECD democracies and is structurally weak in most emerging market contexts. The causal factors include: perceived corruption and impunity; failure to deliver services consistently; information environment manipulation; and the widening gap between the speed of democratic deliberation and the speed of technological and economic change. Without restoration of institutional trust, democratic stability cannot be maintained. G.O.D.S Response: UDOC governance transparency infrastructure; anti-corruption architecture; evidence-based institutional accountability systems.</w:t>
      </w:r>
    </w:p>
    <w:p w14:paraId="1D908672" w14:textId="77777777" w:rsidR="009151BA" w:rsidRDefault="004439A8">
      <w:pPr>
        <w:spacing w:before="240" w:after="80"/>
      </w:pPr>
      <w:r>
        <w:rPr>
          <w:b/>
          <w:bCs/>
          <w:color w:val="BF9B30"/>
          <w:sz w:val="24"/>
          <w:szCs w:val="24"/>
        </w:rPr>
        <w:t>K.1.2 AI-Driven Labor Displacement (Severity: Critical)</w:t>
      </w:r>
    </w:p>
    <w:p w14:paraId="4C82789D" w14:textId="77777777" w:rsidR="009151BA" w:rsidRDefault="004439A8">
      <w:pPr>
        <w:spacing w:before="80" w:after="80"/>
        <w:jc w:val="both"/>
      </w:pPr>
      <w:r>
        <w:rPr>
          <w:color w:val="2C2C3E"/>
        </w:rPr>
        <w:t>Conservative academic models project 10-30% role disruption within 10 years from current AI and automation capabilities. More aggressive projections suggest 40-60% of current roles will require significant transformation within 20 years. The pace of disruption will exceed the natural absorption capacity of labor markets without structural intervention. G.O.D.S Response: S.E.T.H.S workforce transition system; UDOC workforce impact modeling; AI augmentation mandate framework.</w:t>
      </w:r>
    </w:p>
    <w:p w14:paraId="4459F787" w14:textId="77777777" w:rsidR="009151BA" w:rsidRDefault="004439A8">
      <w:pPr>
        <w:spacing w:before="240" w:after="80"/>
      </w:pPr>
      <w:r>
        <w:rPr>
          <w:b/>
          <w:bCs/>
          <w:color w:val="BF9B30"/>
          <w:sz w:val="24"/>
          <w:szCs w:val="24"/>
        </w:rPr>
        <w:t>K.1.3 Climate Adaptation Failure (Severity: High)</w:t>
      </w:r>
    </w:p>
    <w:p w14:paraId="4A79BD60" w14:textId="77777777" w:rsidR="009151BA" w:rsidRDefault="004439A8">
      <w:pPr>
        <w:spacing w:before="80" w:after="80"/>
        <w:jc w:val="both"/>
      </w:pPr>
      <w:r>
        <w:rPr>
          <w:color w:val="2C2C3E"/>
        </w:rPr>
        <w:t>Climate change itself is increasingly well-understood as a structural risk. Less understood is the governance failure that will determine whether climate adaptation is orderly or chaotic. The coordination requirement for effective climate adaptation — across water systems, food production, energy, urban planning, and disaster response — exceeds the planning capacity of most national governments acting without infrastructure support. G.O.D.S Response: T.S environmental technology; UDOC national optimization engines; M.A.D.I.B.A infrastructure investment in climate-resilient sectors.</w:t>
      </w:r>
    </w:p>
    <w:p w14:paraId="3B62E2B8" w14:textId="77777777" w:rsidR="009151BA" w:rsidRDefault="004439A8">
      <w:pPr>
        <w:spacing w:before="240" w:after="80"/>
      </w:pPr>
      <w:r>
        <w:rPr>
          <w:b/>
          <w:bCs/>
          <w:color w:val="BF9B30"/>
          <w:sz w:val="24"/>
          <w:szCs w:val="24"/>
        </w:rPr>
        <w:t>K.1.4 Digital Sovereignty Fragmentation (Severity: High)</w:t>
      </w:r>
    </w:p>
    <w:p w14:paraId="5BA07453" w14:textId="77777777" w:rsidR="009151BA" w:rsidRDefault="004439A8">
      <w:pPr>
        <w:spacing w:before="80" w:after="80"/>
        <w:jc w:val="both"/>
      </w:pPr>
      <w:r>
        <w:rPr>
          <w:color w:val="2C2C3E"/>
        </w:rPr>
        <w:t>The concentration of AI and quantum computing infrastructure in the US, China, and a small number of private corporations creates a structural asymmetry in which the vast majority of the world's nations have neither the capacity nor the sovereignty to govern the digital systems on which their economies and governments depend. This is not merely a national security concern — it is a stability concern. Nations that cannot govern their own digital infrastructure cannot maintain institutional trust. G.O.D.S Response: UDOC sovereign digital infrastructure; data sovereignty architecture; regional compute pool framework.</w:t>
      </w:r>
    </w:p>
    <w:p w14:paraId="359B78EF" w14:textId="77777777" w:rsidR="009151BA" w:rsidRDefault="004439A8">
      <w:pPr>
        <w:spacing w:before="240" w:after="80"/>
      </w:pPr>
      <w:r>
        <w:rPr>
          <w:b/>
          <w:bCs/>
          <w:color w:val="BF9B30"/>
          <w:sz w:val="24"/>
          <w:szCs w:val="24"/>
        </w:rPr>
        <w:t>K.1.5 African Demographic Pressure (Severity: Context-Specific Critical)</w:t>
      </w:r>
    </w:p>
    <w:p w14:paraId="287B2811" w14:textId="77777777" w:rsidR="009151BA" w:rsidRDefault="004439A8">
      <w:pPr>
        <w:spacing w:before="80" w:after="80"/>
        <w:jc w:val="both"/>
      </w:pPr>
      <w:r>
        <w:rPr>
          <w:color w:val="2C2C3E"/>
        </w:rPr>
        <w:t xml:space="preserve">Africa's demographic structure — the youngest median age of any continent, with a youth population projected to grow from 840 million to over 1.5 billion by 2050 — represents either the greatest economic opportunity of the 21st century or the greatest stability risk, depending entirely on whether sufficient </w:t>
      </w:r>
      <w:r>
        <w:rPr>
          <w:color w:val="2C2C3E"/>
        </w:rPr>
        <w:lastRenderedPageBreak/>
        <w:t>economic infrastructure, education, and governance capacity is built to absorb and productively employ that population. Without structured intervention at scale, Africa's demographic dividend becomes a demographic crisis. G.O.D.S Response: S.E.T.H.S human capital systems at scale; M.A.D.I.B.A capital deployment in high-employment sectors; T.S infrastructure creating employment absorption capacity.</w:t>
      </w:r>
    </w:p>
    <w:p w14:paraId="17BCD358" w14:textId="77777777" w:rsidR="009151BA" w:rsidRDefault="004439A8">
      <w:r>
        <w:br w:type="page"/>
      </w:r>
    </w:p>
    <w:p w14:paraId="42048F2A" w14:textId="77777777" w:rsidR="009151BA" w:rsidRDefault="004439A8">
      <w:pPr>
        <w:pBdr>
          <w:bottom w:val="single" w:sz="8" w:space="4" w:color="BF9B30"/>
        </w:pBdr>
        <w:spacing w:before="480" w:after="160"/>
      </w:pPr>
      <w:r>
        <w:rPr>
          <w:rFonts w:ascii="Georgia" w:eastAsia="Georgia" w:hAnsi="Georgia" w:cs="Georgia"/>
          <w:b/>
          <w:bCs/>
          <w:color w:val="0D2B55"/>
          <w:sz w:val="36"/>
          <w:szCs w:val="36"/>
        </w:rPr>
        <w:lastRenderedPageBreak/>
        <w:t>DOCUMENT CERTIFICATION</w:t>
      </w:r>
    </w:p>
    <w:p w14:paraId="43F520F0" w14:textId="77777777" w:rsidR="009151BA" w:rsidRDefault="004439A8">
      <w:pPr>
        <w:spacing w:before="80" w:after="80"/>
        <w:jc w:val="both"/>
      </w:pPr>
      <w:r>
        <w:rPr>
          <w:color w:val="2C2C3E"/>
        </w:rPr>
        <w:t>This document — the G.O.D.S Manifesto: Good Orderly Directional Systems Integrated Institutional Framework — constitutes the founding institutional record of G.O.D.S.</w:t>
      </w:r>
    </w:p>
    <w:p w14:paraId="2DFD797F" w14:textId="77777777" w:rsidR="009151BA" w:rsidRDefault="004439A8">
      <w:pPr>
        <w:spacing w:before="80" w:after="80"/>
        <w:jc w:val="both"/>
      </w:pPr>
      <w:r>
        <w:rPr>
          <w:color w:val="2C2C3E"/>
        </w:rPr>
        <w:t>It is prepared by Sashin J. Singh, Founder and Architect of G.O.D.S, as the authoritative documentation of the institutional mission, constitutional framework, operating architecture, and long-horizon strategic direction of the enterprise.</w:t>
      </w:r>
    </w:p>
    <w:p w14:paraId="702ABC99" w14:textId="77777777" w:rsidR="009151BA" w:rsidRDefault="004439A8">
      <w:pPr>
        <w:spacing w:before="80" w:after="80"/>
        <w:jc w:val="both"/>
      </w:pPr>
      <w:r>
        <w:rPr>
          <w:color w:val="2C2C3E"/>
        </w:rPr>
        <w:t>This document is filed in the G.O.D.S Institutional Archive. It is subject to periodic review and amendment through the constitutional amendment process. All amendments are recorded in the version history. This version supersedes all prior versions of the G.O.D.S master business plan and related institutional documents, incorporating the full evolution of the plan from its origins in 2016 through the current institutional architecture.</w:t>
      </w:r>
    </w:p>
    <w:p w14:paraId="32923404" w14:textId="77777777" w:rsidR="009151BA" w:rsidRDefault="004439A8">
      <w:pPr>
        <w:spacing w:before="80" w:after="80"/>
        <w:jc w:val="both"/>
      </w:pPr>
      <w:r>
        <w:rPr>
          <w:color w:val="2C2C3E"/>
        </w:rPr>
        <w:t>The Twelve Constitutional Pillars contained in Section 6 of this document are constitutional in status and cannot be modified by the amendment process. They may only be suspended by unanimous COB vote in documented circumstances of clear public safety necessity, and must be reinstated within 90 days.</w:t>
      </w:r>
    </w:p>
    <w:p w14:paraId="2DE24FCD" w14:textId="77777777" w:rsidR="009151BA" w:rsidRDefault="004439A8">
      <w:pPr>
        <w:spacing w:before="80" w:after="80"/>
        <w:jc w:val="both"/>
      </w:pPr>
      <w:r>
        <w:rPr>
          <w:color w:val="2C2C3E"/>
        </w:rPr>
        <w:t>Good Orderly Directional Systems.</w:t>
      </w:r>
    </w:p>
    <w:p w14:paraId="5E1C36D9" w14:textId="77777777" w:rsidR="009151BA" w:rsidRDefault="004439A8">
      <w:pPr>
        <w:spacing w:before="80" w:after="80"/>
        <w:jc w:val="both"/>
      </w:pPr>
      <w:r>
        <w:rPr>
          <w:color w:val="2C2C3E"/>
        </w:rPr>
        <w:t>Sashin J. Singh — Founder</w:t>
      </w:r>
    </w:p>
    <w:p w14:paraId="7B7118B1" w14:textId="77777777" w:rsidR="009151BA" w:rsidRDefault="004439A8">
      <w:pPr>
        <w:spacing w:before="80" w:after="80"/>
        <w:jc w:val="both"/>
      </w:pPr>
      <w:r>
        <w:rPr>
          <w:color w:val="2C2C3E"/>
        </w:rPr>
        <w:t>Johannesburg, South Africa, 2026</w:t>
      </w:r>
    </w:p>
    <w:sectPr w:rsidR="009151BA">
      <w:headerReference w:type="default" r:id="rId7"/>
      <w:footerReference w:type="default" r:id="rId8"/>
      <w:pgSz w:w="12240" w:h="15840"/>
      <w:pgMar w:top="1440" w:right="126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6B88E" w14:textId="77777777" w:rsidR="00064A54" w:rsidRDefault="00064A54">
      <w:r>
        <w:separator/>
      </w:r>
    </w:p>
  </w:endnote>
  <w:endnote w:type="continuationSeparator" w:id="0">
    <w:p w14:paraId="26B915BC" w14:textId="77777777" w:rsidR="00064A54" w:rsidRDefault="0006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E32C7" w14:textId="77777777" w:rsidR="009151BA" w:rsidRDefault="004439A8">
    <w:pPr>
      <w:pBdr>
        <w:top w:val="single" w:sz="4" w:space="1" w:color="BF9B30"/>
      </w:pBdr>
      <w:spacing w:before="120"/>
      <w:jc w:val="center"/>
    </w:pPr>
    <w:r>
      <w:rPr>
        <w:color w:val="555577"/>
        <w:sz w:val="16"/>
        <w:szCs w:val="16"/>
      </w:rPr>
      <w:t xml:space="preserve">Page </w:t>
    </w:r>
    <w:r>
      <w:rPr>
        <w:color w:val="555577"/>
        <w:sz w:val="16"/>
        <w:szCs w:val="16"/>
      </w:rPr>
      <w:fldChar w:fldCharType="begin"/>
    </w:r>
    <w:r>
      <w:rPr>
        <w:color w:val="555577"/>
        <w:sz w:val="16"/>
        <w:szCs w:val="16"/>
      </w:rPr>
      <w:instrText>PAGE</w:instrText>
    </w:r>
    <w:r>
      <w:rPr>
        <w:color w:val="555577"/>
        <w:sz w:val="16"/>
        <w:szCs w:val="16"/>
      </w:rPr>
      <w:fldChar w:fldCharType="separate"/>
    </w:r>
    <w:r w:rsidR="00B07A12">
      <w:rPr>
        <w:noProof/>
        <w:color w:val="555577"/>
        <w:sz w:val="16"/>
        <w:szCs w:val="16"/>
      </w:rPr>
      <w:t>1</w:t>
    </w:r>
    <w:r>
      <w:rPr>
        <w:color w:val="555577"/>
        <w:sz w:val="16"/>
        <w:szCs w:val="16"/>
      </w:rPr>
      <w:fldChar w:fldCharType="end"/>
    </w:r>
    <w:r>
      <w:rPr>
        <w:color w:val="555577"/>
        <w:sz w:val="16"/>
        <w:szCs w:val="16"/>
      </w:rPr>
      <w:t xml:space="preserve"> of </w:t>
    </w:r>
    <w:r>
      <w:rPr>
        <w:color w:val="555577"/>
        <w:sz w:val="16"/>
        <w:szCs w:val="16"/>
      </w:rPr>
      <w:fldChar w:fldCharType="begin"/>
    </w:r>
    <w:r>
      <w:rPr>
        <w:color w:val="555577"/>
        <w:sz w:val="16"/>
        <w:szCs w:val="16"/>
      </w:rPr>
      <w:instrText>NUMPAGES</w:instrText>
    </w:r>
    <w:r>
      <w:rPr>
        <w:color w:val="555577"/>
        <w:sz w:val="16"/>
        <w:szCs w:val="16"/>
      </w:rPr>
      <w:fldChar w:fldCharType="separate"/>
    </w:r>
    <w:r w:rsidR="00B07A12">
      <w:rPr>
        <w:noProof/>
        <w:color w:val="555577"/>
        <w:sz w:val="16"/>
        <w:szCs w:val="16"/>
      </w:rPr>
      <w:t>2</w:t>
    </w:r>
    <w:r>
      <w:rPr>
        <w:color w:val="555577"/>
        <w:sz w:val="16"/>
        <w:szCs w:val="16"/>
      </w:rPr>
      <w:fldChar w:fldCharType="end"/>
    </w:r>
    <w:r>
      <w:rPr>
        <w:color w:val="555577"/>
        <w:sz w:val="16"/>
        <w:szCs w:val="16"/>
      </w:rPr>
      <w:t xml:space="preserve">  |  Sashin J. Singh — Founder  |  © G.O.D.S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7CA56" w14:textId="77777777" w:rsidR="00064A54" w:rsidRDefault="00064A54">
      <w:r>
        <w:separator/>
      </w:r>
    </w:p>
  </w:footnote>
  <w:footnote w:type="continuationSeparator" w:id="0">
    <w:p w14:paraId="35516A02" w14:textId="77777777" w:rsidR="00064A54" w:rsidRDefault="00064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39AD" w14:textId="77777777" w:rsidR="009151BA" w:rsidRDefault="004439A8">
    <w:pPr>
      <w:pBdr>
        <w:bottom w:val="single" w:sz="4" w:space="1" w:color="BF9B30"/>
      </w:pBdr>
      <w:spacing w:after="120"/>
    </w:pPr>
    <w:r>
      <w:rPr>
        <w:color w:val="555577"/>
        <w:sz w:val="16"/>
        <w:szCs w:val="16"/>
      </w:rPr>
      <w:t>G.O.D.S — GOOD ORDERLY DIRECTIONAL SYSTEMS  |  INSTITUTIONAL MANIFESTO  |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5953"/>
    <w:multiLevelType w:val="hybridMultilevel"/>
    <w:tmpl w:val="0902DD30"/>
    <w:lvl w:ilvl="0" w:tplc="20607A3E">
      <w:start w:val="1"/>
      <w:numFmt w:val="bullet"/>
      <w:lvlText w:val="●"/>
      <w:lvlJc w:val="left"/>
      <w:pPr>
        <w:ind w:left="720" w:hanging="360"/>
      </w:pPr>
    </w:lvl>
    <w:lvl w:ilvl="1" w:tplc="34341AEA">
      <w:start w:val="1"/>
      <w:numFmt w:val="bullet"/>
      <w:lvlText w:val="○"/>
      <w:lvlJc w:val="left"/>
      <w:pPr>
        <w:ind w:left="1440" w:hanging="360"/>
      </w:pPr>
    </w:lvl>
    <w:lvl w:ilvl="2" w:tplc="E69EF93C">
      <w:start w:val="1"/>
      <w:numFmt w:val="bullet"/>
      <w:lvlText w:val="■"/>
      <w:lvlJc w:val="left"/>
      <w:pPr>
        <w:ind w:left="2160" w:hanging="360"/>
      </w:pPr>
    </w:lvl>
    <w:lvl w:ilvl="3" w:tplc="09B0140E">
      <w:start w:val="1"/>
      <w:numFmt w:val="bullet"/>
      <w:lvlText w:val="●"/>
      <w:lvlJc w:val="left"/>
      <w:pPr>
        <w:ind w:left="2880" w:hanging="360"/>
      </w:pPr>
    </w:lvl>
    <w:lvl w:ilvl="4" w:tplc="A46ADF5A">
      <w:start w:val="1"/>
      <w:numFmt w:val="bullet"/>
      <w:lvlText w:val="○"/>
      <w:lvlJc w:val="left"/>
      <w:pPr>
        <w:ind w:left="3600" w:hanging="360"/>
      </w:pPr>
    </w:lvl>
    <w:lvl w:ilvl="5" w:tplc="048E3E86">
      <w:start w:val="1"/>
      <w:numFmt w:val="bullet"/>
      <w:lvlText w:val="■"/>
      <w:lvlJc w:val="left"/>
      <w:pPr>
        <w:ind w:left="4320" w:hanging="360"/>
      </w:pPr>
    </w:lvl>
    <w:lvl w:ilvl="6" w:tplc="E40C245E">
      <w:start w:val="1"/>
      <w:numFmt w:val="bullet"/>
      <w:lvlText w:val="●"/>
      <w:lvlJc w:val="left"/>
      <w:pPr>
        <w:ind w:left="5040" w:hanging="360"/>
      </w:pPr>
    </w:lvl>
    <w:lvl w:ilvl="7" w:tplc="7504953E">
      <w:start w:val="1"/>
      <w:numFmt w:val="bullet"/>
      <w:lvlText w:val="●"/>
      <w:lvlJc w:val="left"/>
      <w:pPr>
        <w:ind w:left="5760" w:hanging="360"/>
      </w:pPr>
    </w:lvl>
    <w:lvl w:ilvl="8" w:tplc="E4868122">
      <w:start w:val="1"/>
      <w:numFmt w:val="bullet"/>
      <w:lvlText w:val="●"/>
      <w:lvlJc w:val="left"/>
      <w:pPr>
        <w:ind w:left="6480" w:hanging="360"/>
      </w:pPr>
    </w:lvl>
  </w:abstractNum>
  <w:abstractNum w:abstractNumId="1" w15:restartNumberingAfterBreak="0">
    <w:nsid w:val="78773AA7"/>
    <w:multiLevelType w:val="hybridMultilevel"/>
    <w:tmpl w:val="CB086E0E"/>
    <w:lvl w:ilvl="0" w:tplc="8276856A">
      <w:start w:val="1"/>
      <w:numFmt w:val="decimal"/>
      <w:lvlText w:val="%1."/>
      <w:lvlJc w:val="left"/>
      <w:pPr>
        <w:ind w:left="720" w:hanging="360"/>
      </w:pPr>
    </w:lvl>
    <w:lvl w:ilvl="1" w:tplc="A90CCDCE">
      <w:numFmt w:val="decimal"/>
      <w:lvlText w:val=""/>
      <w:lvlJc w:val="left"/>
    </w:lvl>
    <w:lvl w:ilvl="2" w:tplc="FF5C0DC0">
      <w:numFmt w:val="decimal"/>
      <w:lvlText w:val=""/>
      <w:lvlJc w:val="left"/>
    </w:lvl>
    <w:lvl w:ilvl="3" w:tplc="C43E2FDC">
      <w:numFmt w:val="decimal"/>
      <w:lvlText w:val=""/>
      <w:lvlJc w:val="left"/>
    </w:lvl>
    <w:lvl w:ilvl="4" w:tplc="97B205BA">
      <w:numFmt w:val="decimal"/>
      <w:lvlText w:val=""/>
      <w:lvlJc w:val="left"/>
    </w:lvl>
    <w:lvl w:ilvl="5" w:tplc="EAA8C56E">
      <w:numFmt w:val="decimal"/>
      <w:lvlText w:val=""/>
      <w:lvlJc w:val="left"/>
    </w:lvl>
    <w:lvl w:ilvl="6" w:tplc="9E464C00">
      <w:numFmt w:val="decimal"/>
      <w:lvlText w:val=""/>
      <w:lvlJc w:val="left"/>
    </w:lvl>
    <w:lvl w:ilvl="7" w:tplc="0A466C1E">
      <w:numFmt w:val="decimal"/>
      <w:lvlText w:val=""/>
      <w:lvlJc w:val="left"/>
    </w:lvl>
    <w:lvl w:ilvl="8" w:tplc="4CF0E19E">
      <w:numFmt w:val="decimal"/>
      <w:lvlText w:val=""/>
      <w:lvlJc w:val="left"/>
    </w:lvl>
  </w:abstractNum>
  <w:abstractNum w:abstractNumId="2" w15:restartNumberingAfterBreak="0">
    <w:nsid w:val="7F1E7088"/>
    <w:multiLevelType w:val="hybridMultilevel"/>
    <w:tmpl w:val="B28E83FC"/>
    <w:lvl w:ilvl="0" w:tplc="DACC49B2">
      <w:start w:val="1"/>
      <w:numFmt w:val="bullet"/>
      <w:lvlText w:val="•"/>
      <w:lvlJc w:val="left"/>
      <w:pPr>
        <w:ind w:left="720" w:hanging="360"/>
      </w:pPr>
    </w:lvl>
    <w:lvl w:ilvl="1" w:tplc="B6A44C5C">
      <w:numFmt w:val="decimal"/>
      <w:lvlText w:val=""/>
      <w:lvlJc w:val="left"/>
    </w:lvl>
    <w:lvl w:ilvl="2" w:tplc="E45882CC">
      <w:numFmt w:val="decimal"/>
      <w:lvlText w:val=""/>
      <w:lvlJc w:val="left"/>
    </w:lvl>
    <w:lvl w:ilvl="3" w:tplc="4CF610A0">
      <w:numFmt w:val="decimal"/>
      <w:lvlText w:val=""/>
      <w:lvlJc w:val="left"/>
    </w:lvl>
    <w:lvl w:ilvl="4" w:tplc="2E92DDD4">
      <w:numFmt w:val="decimal"/>
      <w:lvlText w:val=""/>
      <w:lvlJc w:val="left"/>
    </w:lvl>
    <w:lvl w:ilvl="5" w:tplc="87DEE4B2">
      <w:numFmt w:val="decimal"/>
      <w:lvlText w:val=""/>
      <w:lvlJc w:val="left"/>
    </w:lvl>
    <w:lvl w:ilvl="6" w:tplc="3508BD4A">
      <w:numFmt w:val="decimal"/>
      <w:lvlText w:val=""/>
      <w:lvlJc w:val="left"/>
    </w:lvl>
    <w:lvl w:ilvl="7" w:tplc="30EE7940">
      <w:numFmt w:val="decimal"/>
      <w:lvlText w:val=""/>
      <w:lvlJc w:val="left"/>
    </w:lvl>
    <w:lvl w:ilvl="8" w:tplc="F71ECB74">
      <w:numFmt w:val="decimal"/>
      <w:lvlText w:val=""/>
      <w:lvlJc w:val="left"/>
    </w:lvl>
  </w:abstractNum>
  <w:num w:numId="1" w16cid:durableId="1037049657">
    <w:abstractNumId w:val="0"/>
    <w:lvlOverride w:ilvl="0">
      <w:startOverride w:val="1"/>
    </w:lvlOverride>
  </w:num>
  <w:num w:numId="2" w16cid:durableId="229770765">
    <w:abstractNumId w:val="2"/>
    <w:lvlOverride w:ilvl="0">
      <w:startOverride w:val="1"/>
    </w:lvlOverride>
  </w:num>
  <w:num w:numId="3" w16cid:durableId="155250061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BA"/>
    <w:rsid w:val="00064A54"/>
    <w:rsid w:val="004439A8"/>
    <w:rsid w:val="009151BA"/>
    <w:rsid w:val="00B07A12"/>
    <w:rsid w:val="00B5578A"/>
    <w:rsid w:val="00E711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ADE23"/>
  <w15:docId w15:val="{731B1C5A-0197-45B8-8D2E-2E285FAC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101</Pages>
  <Words>29418</Words>
  <Characters>167689</Characters>
  <Application>Microsoft Office Word</Application>
  <DocSecurity>0</DocSecurity>
  <Lines>1397</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Sashin Singh</cp:lastModifiedBy>
  <cp:revision>1</cp:revision>
  <dcterms:created xsi:type="dcterms:W3CDTF">2026-03-09T11:37:00Z</dcterms:created>
  <dcterms:modified xsi:type="dcterms:W3CDTF">2026-03-10T08:03:00Z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4a7c6aa3-bb00-40bb-a889-ad805de76e0b</vt:lpwstr>
  </property>
</Properties>
</file>