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80"/>
      </w:pPr>
      <w:r>
        <w:t xml:space="preserve"/>
      </w:r>
    </w:p>
    <w:p>
      <w:pPr>
        <w:pStyle w:val="Title"/>
        <w:spacing w:after="240" w:before="480"/>
        <w:jc w:val="center"/>
      </w:pPr>
      <w:r>
        <w:rPr>
          <w:rFonts w:ascii="Georgia" w:cs="Georgia" w:eastAsia="Georgia" w:hAnsi="Georgia"/>
          <w:b/>
          <w:bCs/>
          <w:color w:val="C9A84C"/>
          <w:sz w:val="64"/>
          <w:szCs w:val="64"/>
        </w:rPr>
        <w:t xml:space="preserve">G.O.D.S</w:t>
      </w:r>
    </w:p>
    <w:p>
      <w:pPr>
        <w:spacing w:after="120"/>
        <w:jc w:val="center"/>
      </w:pPr>
      <w:r>
        <w:rPr>
          <w:rFonts w:ascii="Arial" w:cs="Arial" w:eastAsia="Arial" w:hAnsi="Arial"/>
          <w:color w:val="7A7A8A"/>
          <w:spacing w:val="80"/>
          <w:sz w:val="24"/>
          <w:szCs w:val="24"/>
        </w:rPr>
        <w:t xml:space="preserve">GOOD ORDERLY DIRECTIONAL SYSTEMS</w:t>
      </w:r>
    </w:p>
    <w:p>
      <w:pPr>
        <w:spacing w:after="120"/>
      </w:pPr>
      <w:r>
        <w:t xml:space="preserve"/>
      </w:r>
    </w:p>
    <w:p>
      <w:pPr>
        <w:pBdr>
          <w:bottom w:val="single" w:color="C9A84C" w:sz="8" w:space="2"/>
        </w:pBdr>
        <w:spacing w:after="80"/>
      </w:pPr>
      <w:r>
        <w:t xml:space="preserve"/>
      </w:r>
    </w:p>
    <w:p>
      <w:pPr>
        <w:spacing w:after="80"/>
      </w:pPr>
      <w:r>
        <w:t xml:space="preserve"/>
      </w:r>
    </w:p>
    <w:p>
      <w:pPr>
        <w:spacing w:after="120"/>
        <w:jc w:val="center"/>
      </w:pPr>
      <w:r>
        <w:rPr>
          <w:rFonts w:ascii="Georgia" w:cs="Georgia" w:eastAsia="Georgia" w:hAnsi="Georgia"/>
          <w:color w:val="0C1A2E"/>
          <w:sz w:val="30"/>
          <w:szCs w:val="30"/>
        </w:rPr>
        <w:t xml:space="preserve">System Manifesto &amp; Institutional Framework</w:t>
      </w:r>
    </w:p>
    <w:p>
      <w:pPr>
        <w:spacing w:after="60"/>
        <w:jc w:val="center"/>
      </w:pPr>
      <w:r>
        <w:rPr>
          <w:rFonts w:ascii="Arial" w:cs="Arial" w:eastAsia="Arial" w:hAnsi="Arial"/>
          <w:color w:val="7A7A8A"/>
          <w:sz w:val="20"/>
          <w:szCs w:val="20"/>
        </w:rPr>
        <w:t xml:space="preserve">Version 5  ·  2026  ·  Confidential</w:t>
      </w:r>
    </w:p>
    <w:p>
      <w:pPr>
        <w:spacing w:after="120"/>
      </w:pPr>
      <w:r>
        <w:t xml:space="preserve"/>
      </w:r>
    </w:p>
    <w:p>
      <w:pPr>
        <w:spacing w:after="80" w:line="288"/>
        <w:jc w:val="center"/>
      </w:pPr>
      <w:r>
        <w:rPr>
          <w:rFonts w:ascii="Georgia" w:cs="Georgia" w:eastAsia="Georgia" w:hAnsi="Georgia"/>
          <w:i/>
          <w:iCs/>
          <w:color w:val="0C1A2E"/>
          <w:sz w:val="24"/>
          <w:szCs w:val="24"/>
        </w:rPr>
        <w:t xml:space="preserve">Transition infrastructure for the AI era — combining workforce reintegration,
sovereign digital governance, and production infrastructure
in markets where institutional and labour-system adaptation
is lagging technological change.</w:t>
      </w:r>
    </w:p>
    <w:p>
      <w:pPr>
        <w:spacing w:after="120"/>
      </w:pPr>
      <w:r>
        <w:t xml:space="preserve"/>
      </w:r>
    </w:p>
    <w:p>
      <w:pPr>
        <w:spacing w:after="60"/>
        <w:jc w:val="center"/>
      </w:pPr>
      <w:r>
        <w:rPr>
          <w:rFonts w:ascii="Georgia" w:cs="Georgia" w:eastAsia="Georgia" w:hAnsi="Georgia"/>
          <w:i/>
          <w:iCs/>
          <w:color w:val="8B6914"/>
          <w:sz w:val="26"/>
          <w:szCs w:val="26"/>
        </w:rPr>
        <w:t xml:space="preserve">“Built for generations — not quarters.”</w:t>
      </w:r>
    </w:p>
    <w:p>
      <w:pPr>
        <w:spacing w:after="200"/>
      </w:pPr>
      <w:r>
        <w:t xml:space="preserve"/>
      </w:r>
    </w:p>
    <w:p>
      <w:pPr>
        <w:spacing w:after="40"/>
        <w:jc w:val="center"/>
      </w:pPr>
      <w:r>
        <w:rPr>
          <w:rFonts w:ascii="Arial" w:cs="Arial" w:eastAsia="Arial" w:hAnsi="Arial"/>
          <w:color w:val="7A7A8A"/>
          <w:sz w:val="20"/>
          <w:szCs w:val="20"/>
        </w:rPr>
        <w:t xml:space="preserve">Sashin J. Singh  ·  Founder &amp; Architect</w:t>
      </w:r>
    </w:p>
    <w:p>
      <w:pPr>
        <w:spacing w:after="40"/>
        <w:jc w:val="center"/>
      </w:pPr>
      <w:r>
        <w:rPr>
          <w:rFonts w:ascii="Arial" w:cs="Arial" w:eastAsia="Arial" w:hAnsi="Arial"/>
          <w:color w:val="7A7A8A"/>
          <w:sz w:val="20"/>
          <w:szCs w:val="20"/>
        </w:rPr>
        <w:t xml:space="preserve">G.O.D.S Holdings (Pty) Ltd  ·  Johannesburg, South Africa</w:t>
      </w:r>
    </w:p>
    <w:p>
      <w:r>
        <w:br w:type="page"/>
      </w:r>
    </w:p>
    <w:p>
      <w:pPr>
        <w:pStyle w:val="Heading1"/>
        <w:pBdr>
          <w:bottom w:val="single" w:color="C9A84C" w:sz="8" w:space="3"/>
        </w:pBdr>
        <w:spacing w:before="480" w:after="160"/>
      </w:pPr>
      <w:r>
        <w:rPr>
          <w:rFonts w:ascii="Georgia" w:cs="Georgia" w:eastAsia="Georgia" w:hAnsi="Georgia"/>
          <w:b/>
          <w:bCs/>
          <w:color w:val="060E1C"/>
          <w:sz w:val="40"/>
          <w:szCs w:val="40"/>
        </w:rPr>
        <w:t xml:space="preserve">Contents</w:t>
      </w:r>
    </w:p>
    <w:p>
      <w:pPr>
        <w:tabs>
          <w:tab w:val="right" w:pos="9026" w:leader="dot"/>
        </w:tabs>
        <w:spacing w:after="80"/>
      </w:pPr>
      <w:r>
        <w:rPr>
          <w:rFonts w:ascii="Georgia" w:cs="Georgia" w:eastAsia="Georgia" w:hAnsi="Georgia"/>
          <w:color w:val="1C1C2E"/>
          <w:sz w:val="22"/>
          <w:szCs w:val="22"/>
        </w:rPr>
        <w:t xml:space="preserve">Preface: Founder Statement</w:t>
      </w:r>
      <w:r>
        <w:rPr>
          <w:rFonts w:ascii="Georgia" w:cs="Georgia" w:eastAsia="Georgia" w:hAnsi="Georgia"/>
          <w:color w:val="8B6914"/>
          <w:sz w:val="22"/>
          <w:szCs w:val="22"/>
        </w:rPr>
        <w:t xml:space="preserve">	3</w:t>
      </w:r>
    </w:p>
    <w:p>
      <w:pPr>
        <w:tabs>
          <w:tab w:val="right" w:pos="9026" w:leader="dot"/>
        </w:tabs>
        <w:spacing w:after="80"/>
      </w:pPr>
      <w:r>
        <w:rPr>
          <w:rFonts w:ascii="Georgia" w:cs="Georgia" w:eastAsia="Georgia" w:hAnsi="Georgia"/>
          <w:color w:val="1C1C2E"/>
          <w:sz w:val="22"/>
          <w:szCs w:val="22"/>
        </w:rPr>
        <w:t xml:space="preserve">Section 1: The Civilization Infrastructure Deficit</w:t>
      </w:r>
      <w:r>
        <w:rPr>
          <w:rFonts w:ascii="Georgia" w:cs="Georgia" w:eastAsia="Georgia" w:hAnsi="Georgia"/>
          <w:color w:val="8B6914"/>
          <w:sz w:val="22"/>
          <w:szCs w:val="22"/>
        </w:rPr>
        <w:t xml:space="preserve">	4</w:t>
      </w:r>
    </w:p>
    <w:p>
      <w:pPr>
        <w:tabs>
          <w:tab w:val="right" w:pos="9026" w:leader="dot"/>
        </w:tabs>
        <w:spacing w:after="80"/>
      </w:pPr>
      <w:r>
        <w:rPr>
          <w:rFonts w:ascii="Georgia" w:cs="Georgia" w:eastAsia="Georgia" w:hAnsi="Georgia"/>
          <w:color w:val="1C1C2E"/>
          <w:sz w:val="22"/>
          <w:szCs w:val="22"/>
        </w:rPr>
        <w:t xml:space="preserve">Section 2: Ten Structural Shifts Defining the AI Era</w:t>
      </w:r>
      <w:r>
        <w:rPr>
          <w:rFonts w:ascii="Georgia" w:cs="Georgia" w:eastAsia="Georgia" w:hAnsi="Georgia"/>
          <w:color w:val="8B6914"/>
          <w:sz w:val="22"/>
          <w:szCs w:val="22"/>
        </w:rPr>
        <w:t xml:space="preserve">	5</w:t>
      </w:r>
    </w:p>
    <w:p>
      <w:pPr>
        <w:tabs>
          <w:tab w:val="right" w:pos="9026" w:leader="dot"/>
        </w:tabs>
        <w:spacing w:after="80"/>
      </w:pPr>
      <w:r>
        <w:rPr>
          <w:rFonts w:ascii="Georgia" w:cs="Georgia" w:eastAsia="Georgia" w:hAnsi="Georgia"/>
          <w:color w:val="1C1C2E"/>
          <w:sz w:val="22"/>
          <w:szCs w:val="22"/>
        </w:rPr>
        <w:t xml:space="preserve">Section 3: Company Overview &amp; The Compounding Loop</w:t>
      </w:r>
      <w:r>
        <w:rPr>
          <w:rFonts w:ascii="Georgia" w:cs="Georgia" w:eastAsia="Georgia" w:hAnsi="Georgia"/>
          <w:color w:val="8B6914"/>
          <w:sz w:val="22"/>
          <w:szCs w:val="22"/>
        </w:rPr>
        <w:t xml:space="preserve">	9</w:t>
      </w:r>
    </w:p>
    <w:p>
      <w:pPr>
        <w:tabs>
          <w:tab w:val="right" w:pos="9026" w:leader="dot"/>
        </w:tabs>
        <w:spacing w:after="80"/>
      </w:pPr>
      <w:r>
        <w:rPr>
          <w:rFonts w:ascii="Georgia" w:cs="Georgia" w:eastAsia="Georgia" w:hAnsi="Georgia"/>
          <w:color w:val="1C1C2E"/>
          <w:sz w:val="22"/>
          <w:szCs w:val="22"/>
        </w:rPr>
        <w:t xml:space="preserve">Section 4: The Four Systems</w:t>
      </w:r>
      <w:r>
        <w:rPr>
          <w:rFonts w:ascii="Georgia" w:cs="Georgia" w:eastAsia="Georgia" w:hAnsi="Georgia"/>
          <w:color w:val="8B6914"/>
          <w:sz w:val="22"/>
          <w:szCs w:val="22"/>
        </w:rPr>
        <w:t xml:space="preserve">	11</w:t>
      </w:r>
    </w:p>
    <w:p>
      <w:pPr>
        <w:tabs>
          <w:tab w:val="right" w:pos="9026" w:leader="dot"/>
        </w:tabs>
        <w:spacing w:after="80"/>
      </w:pPr>
      <w:r>
        <w:rPr>
          <w:rFonts w:ascii="Georgia" w:cs="Georgia" w:eastAsia="Georgia" w:hAnsi="Georgia"/>
          <w:color w:val="1C1C2E"/>
          <w:sz w:val="22"/>
          <w:szCs w:val="22"/>
        </w:rPr>
        <w:t xml:space="preserve">Section 5: UDOC — The Central Nervous System</w:t>
      </w:r>
      <w:r>
        <w:rPr>
          <w:rFonts w:ascii="Georgia" w:cs="Georgia" w:eastAsia="Georgia" w:hAnsi="Georgia"/>
          <w:color w:val="8B6914"/>
          <w:sz w:val="22"/>
          <w:szCs w:val="22"/>
        </w:rPr>
        <w:t xml:space="preserve">	15</w:t>
      </w:r>
    </w:p>
    <w:p>
      <w:pPr>
        <w:tabs>
          <w:tab w:val="right" w:pos="9026" w:leader="dot"/>
        </w:tabs>
        <w:spacing w:after="80"/>
      </w:pPr>
      <w:r>
        <w:rPr>
          <w:rFonts w:ascii="Georgia" w:cs="Georgia" w:eastAsia="Georgia" w:hAnsi="Georgia"/>
          <w:color w:val="1C1C2E"/>
          <w:sz w:val="22"/>
          <w:szCs w:val="22"/>
        </w:rPr>
        <w:t xml:space="preserve">Section 6: The Activation Sequence</w:t>
      </w:r>
      <w:r>
        <w:rPr>
          <w:rFonts w:ascii="Georgia" w:cs="Georgia" w:eastAsia="Georgia" w:hAnsi="Georgia"/>
          <w:color w:val="8B6914"/>
          <w:sz w:val="22"/>
          <w:szCs w:val="22"/>
        </w:rPr>
        <w:t xml:space="preserve">	18</w:t>
      </w:r>
    </w:p>
    <w:p>
      <w:pPr>
        <w:tabs>
          <w:tab w:val="right" w:pos="9026" w:leader="dot"/>
        </w:tabs>
        <w:spacing w:after="80"/>
      </w:pPr>
      <w:r>
        <w:rPr>
          <w:rFonts w:ascii="Georgia" w:cs="Georgia" w:eastAsia="Georgia" w:hAnsi="Georgia"/>
          <w:color w:val="1C1C2E"/>
          <w:sz w:val="22"/>
          <w:szCs w:val="22"/>
        </w:rPr>
        <w:t xml:space="preserve">Section 7: South Africa as Proof-of-Concept Market</w:t>
      </w:r>
      <w:r>
        <w:rPr>
          <w:rFonts w:ascii="Georgia" w:cs="Georgia" w:eastAsia="Georgia" w:hAnsi="Georgia"/>
          <w:color w:val="8B6914"/>
          <w:sz w:val="22"/>
          <w:szCs w:val="22"/>
        </w:rPr>
        <w:t xml:space="preserve">	20</w:t>
      </w:r>
    </w:p>
    <w:p>
      <w:pPr>
        <w:tabs>
          <w:tab w:val="right" w:pos="9026" w:leader="dot"/>
        </w:tabs>
        <w:spacing w:after="80"/>
      </w:pPr>
      <w:r>
        <w:rPr>
          <w:rFonts w:ascii="Georgia" w:cs="Georgia" w:eastAsia="Georgia" w:hAnsi="Georgia"/>
          <w:color w:val="1C1C2E"/>
          <w:sz w:val="22"/>
          <w:szCs w:val="22"/>
        </w:rPr>
        <w:t xml:space="preserve">Section 8: The Governance Framework — Twelve Constitutional Pillars</w:t>
      </w:r>
      <w:r>
        <w:rPr>
          <w:rFonts w:ascii="Georgia" w:cs="Georgia" w:eastAsia="Georgia" w:hAnsi="Georgia"/>
          <w:color w:val="8B6914"/>
          <w:sz w:val="22"/>
          <w:szCs w:val="22"/>
        </w:rPr>
        <w:t xml:space="preserve">	22</w:t>
      </w:r>
    </w:p>
    <w:p>
      <w:pPr>
        <w:tabs>
          <w:tab w:val="right" w:pos="9026" w:leader="dot"/>
        </w:tabs>
        <w:spacing w:after="80"/>
      </w:pPr>
      <w:r>
        <w:rPr>
          <w:rFonts w:ascii="Georgia" w:cs="Georgia" w:eastAsia="Georgia" w:hAnsi="Georgia"/>
          <w:color w:val="1C1C2E"/>
          <w:sz w:val="22"/>
          <w:szCs w:val="22"/>
        </w:rPr>
        <w:t xml:space="preserve">Section 9: The Constitutional Oversight Board</w:t>
      </w:r>
      <w:r>
        <w:rPr>
          <w:rFonts w:ascii="Georgia" w:cs="Georgia" w:eastAsia="Georgia" w:hAnsi="Georgia"/>
          <w:color w:val="8B6914"/>
          <w:sz w:val="22"/>
          <w:szCs w:val="22"/>
        </w:rPr>
        <w:t xml:space="preserve">	26</w:t>
      </w:r>
    </w:p>
    <w:p>
      <w:pPr>
        <w:tabs>
          <w:tab w:val="right" w:pos="9026" w:leader="dot"/>
        </w:tabs>
        <w:spacing w:after="80"/>
      </w:pPr>
      <w:r>
        <w:rPr>
          <w:rFonts w:ascii="Georgia" w:cs="Georgia" w:eastAsia="Georgia" w:hAnsi="Georgia"/>
          <w:color w:val="1C1C2E"/>
          <w:sz w:val="22"/>
          <w:szCs w:val="22"/>
        </w:rPr>
        <w:t xml:space="preserve">Section 10: Holding Structure &amp; Institutional Architecture</w:t>
      </w:r>
      <w:r>
        <w:rPr>
          <w:rFonts w:ascii="Georgia" w:cs="Georgia" w:eastAsia="Georgia" w:hAnsi="Georgia"/>
          <w:color w:val="8B6914"/>
          <w:sz w:val="22"/>
          <w:szCs w:val="22"/>
        </w:rPr>
        <w:t xml:space="preserve">	27</w:t>
      </w:r>
    </w:p>
    <w:p>
      <w:pPr>
        <w:tabs>
          <w:tab w:val="right" w:pos="9026" w:leader="dot"/>
        </w:tabs>
        <w:spacing w:after="80"/>
      </w:pPr>
      <w:r>
        <w:rPr>
          <w:rFonts w:ascii="Georgia" w:cs="Georgia" w:eastAsia="Georgia" w:hAnsi="Georgia"/>
          <w:color w:val="1C1C2E"/>
          <w:sz w:val="22"/>
          <w:szCs w:val="22"/>
        </w:rPr>
        <w:t xml:space="preserve">Section 11: Financial Architecture &amp; Capital Structure</w:t>
      </w:r>
      <w:r>
        <w:rPr>
          <w:rFonts w:ascii="Georgia" w:cs="Georgia" w:eastAsia="Georgia" w:hAnsi="Georgia"/>
          <w:color w:val="8B6914"/>
          <w:sz w:val="22"/>
          <w:szCs w:val="22"/>
        </w:rPr>
        <w:t xml:space="preserve">	28</w:t>
      </w:r>
    </w:p>
    <w:p>
      <w:pPr>
        <w:tabs>
          <w:tab w:val="right" w:pos="9026" w:leader="dot"/>
        </w:tabs>
        <w:spacing w:after="80"/>
      </w:pPr>
      <w:r>
        <w:rPr>
          <w:rFonts w:ascii="Georgia" w:cs="Georgia" w:eastAsia="Georgia" w:hAnsi="Georgia"/>
          <w:color w:val="1C1C2E"/>
          <w:sz w:val="22"/>
          <w:szCs w:val="22"/>
        </w:rPr>
        <w:t xml:space="preserve">Section 12: The 250-Year Mandate</w:t>
      </w:r>
      <w:r>
        <w:rPr>
          <w:rFonts w:ascii="Georgia" w:cs="Georgia" w:eastAsia="Georgia" w:hAnsi="Georgia"/>
          <w:color w:val="8B6914"/>
          <w:sz w:val="22"/>
          <w:szCs w:val="22"/>
        </w:rPr>
        <w:t xml:space="preserve">	31</w:t>
      </w:r>
    </w:p>
    <w:p>
      <w:r>
        <w:br w:type="page"/>
      </w:r>
    </w:p>
    <w:p>
      <w:pPr>
        <w:pStyle w:val="Heading1"/>
        <w:pBdr>
          <w:bottom w:val="single" w:color="C9A84C" w:sz="8" w:space="3"/>
        </w:pBdr>
        <w:spacing w:before="480" w:after="160"/>
      </w:pPr>
      <w:r>
        <w:rPr>
          <w:rFonts w:ascii="Georgia" w:cs="Georgia" w:eastAsia="Georgia" w:hAnsi="Georgia"/>
          <w:b/>
          <w:bCs/>
          <w:color w:val="060E1C"/>
          <w:sz w:val="40"/>
          <w:szCs w:val="40"/>
        </w:rPr>
        <w:t xml:space="preserve">Preface: Why This System Exists</w:t>
      </w:r>
    </w:p>
    <w:p>
      <w:pPr>
        <w:spacing w:after="40"/>
      </w:pPr>
      <w:r>
        <w:rPr>
          <w:rFonts w:ascii="Arial" w:cs="Arial" w:eastAsia="Arial" w:hAnsi="Arial"/>
          <w:b/>
          <w:bCs/>
          <w:color w:val="8B6914"/>
          <w:spacing w:val="60"/>
          <w:sz w:val="16"/>
          <w:szCs w:val="16"/>
        </w:rPr>
        <w:t xml:space="preserve">FOUNDER STATEMENT — SASHIN J. SINGH</w:t>
      </w:r>
    </w:p>
    <w:p>
      <w:pPr>
        <w:spacing w:after="80"/>
      </w:pPr>
      <w:r>
        <w:t xml:space="preserve"/>
      </w:r>
    </w:p>
    <w:p>
      <w:pPr>
        <w:spacing w:after="120" w:line="276" w:lineRule="auto"/>
        <w:jc w:val="both"/>
      </w:pPr>
      <w:r>
        <w:rPr>
          <w:rFonts w:ascii="Georgia" w:cs="Georgia" w:eastAsia="Georgia" w:hAnsi="Georgia"/>
          <w:color w:val="1C1C2E"/>
          <w:sz w:val="22"/>
          <w:szCs w:val="22"/>
        </w:rPr>
        <w:t xml:space="preserve">I did not design this system from a boardroom.</w:t>
      </w:r>
    </w:p>
    <w:p>
      <w:pPr>
        <w:spacing w:after="120" w:line="276" w:lineRule="auto"/>
        <w:jc w:val="both"/>
      </w:pPr>
      <w:r>
        <w:rPr>
          <w:rFonts w:ascii="Georgia" w:cs="Georgia" w:eastAsia="Georgia" w:hAnsi="Georgia"/>
          <w:color w:val="1C1C2E"/>
          <w:sz w:val="22"/>
          <w:szCs w:val="22"/>
        </w:rPr>
        <w:t xml:space="preserve">I built it from the experience of being someone the existing system did not know what to do with — someone whose capability was real, but whose pathway was broken.</w:t>
      </w:r>
    </w:p>
    <w:p>
      <w:pPr>
        <w:spacing w:after="120" w:line="276" w:lineRule="auto"/>
        <w:jc w:val="both"/>
      </w:pPr>
      <w:r>
        <w:rPr>
          <w:rFonts w:ascii="Georgia" w:cs="Georgia" w:eastAsia="Georgia" w:hAnsi="Georgia"/>
          <w:color w:val="1C1C2E"/>
          <w:sz w:val="22"/>
          <w:szCs w:val="22"/>
        </w:rPr>
        <w:t xml:space="preserve">G.O.D.S exists because I could not find a system that treated the problem structurally. Not charitably. Not philosophically. Structurally. Every division in this architecture solves a problem I encountered directly, or watched others encounter without recourse. That is not inspiration. That is design specification.</w:t>
      </w:r>
    </w:p>
    <w:p>
      <w:pPr>
        <w:pBdr>
          <w:top w:val="single" w:color="8B6914" w:sz="4" w:space="2"/>
          <w:left w:val="single" w:color="C9A84C" w:sz="12" w:space="8"/>
          <w:bottom w:val="single" w:color="8B6914" w:sz="4" w:space="2"/>
        </w:pBdr>
        <w:shd w:fill="FBF4E0" w:val="clear"/>
        <w:spacing w:before="120" w:after="120" w:line="276" w:lineRule="auto"/>
        <w:ind w:left="360" w:right="360"/>
        <w:jc w:val="both"/>
      </w:pPr>
      <w:r>
        <w:rPr>
          <w:rFonts w:ascii="Georgia" w:cs="Georgia" w:eastAsia="Georgia" w:hAnsi="Georgia"/>
          <w:i/>
          <w:iCs/>
          <w:color w:val="0C1A2E"/>
          <w:sz w:val="22"/>
          <w:szCs w:val="22"/>
        </w:rPr>
        <w:t xml:space="preserve">The most powerful part of this system is not technology. It is this: restoring economic dignity through structured contribution. That is the real engine. Everything else is infrastructure around it.</w:t>
      </w:r>
    </w:p>
    <w:p>
      <w:pPr>
        <w:spacing w:after="120" w:line="276" w:lineRule="auto"/>
        <w:jc w:val="both"/>
      </w:pPr>
      <w:r>
        <w:rPr>
          <w:rFonts w:ascii="Georgia" w:cs="Georgia" w:eastAsia="Georgia" w:hAnsi="Georgia"/>
          <w:color w:val="1C1C2E"/>
          <w:sz w:val="22"/>
          <w:szCs w:val="22"/>
        </w:rPr>
        <w:t xml:space="preserve">This plan originated in 2016 under the working name “Seth Empires.” What began as a framework for one institution evolved through a decade of analysis into something architecturally different: not a company with a social program attached, but a civilization infrastructure platform with four integrated systems that reinforce each other in a continuous compounding loop.</w:t>
      </w:r>
    </w:p>
    <w:p>
      <w:pPr>
        <w:pStyle w:val="Heading2"/>
        <w:spacing w:before="320" w:after="120"/>
      </w:pPr>
      <w:r>
        <w:rPr>
          <w:rFonts w:ascii="Georgia" w:cs="Georgia" w:eastAsia="Georgia" w:hAnsi="Georgia"/>
          <w:b/>
          <w:bCs/>
          <w:color w:val="0C1A2E"/>
          <w:sz w:val="30"/>
          <w:szCs w:val="30"/>
        </w:rPr>
        <w:t xml:space="preserve">Why Now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2016 – 2024</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Architecture developed. Systems designed. Constitutional framework established. Ten years of iteration on the model before the first external document was produced.</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2026 Conditions</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Three structural conditions have converged that did not exist when the design began. AI governance is now a government budget line. Digital sovereignty is a political priority in every emerging economy. Africa’s demographic pressure window requires workforce infrastructure now — not in ten years.</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The Window</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The world is not waiting for a vision. It is already reorganizing around the pressures described in this document. G.O.D.S is not early. It is — precisely now — on time.</w:t>
            </w:r>
          </w:p>
        </w:tc>
      </w:tr>
    </w:tbl>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1</w:t>
      </w:r>
    </w:p>
    <w:p>
      <w:pPr>
        <w:spacing w:after="20"/>
        <w:jc w:val="center"/>
      </w:pPr>
      <w:r>
        <w:rPr>
          <w:rFonts w:ascii="Georgia" w:cs="Georgia" w:eastAsia="Georgia" w:hAnsi="Georgia"/>
          <w:b/>
          <w:bCs/>
          <w:color w:val="060E1C"/>
          <w:sz w:val="40"/>
          <w:szCs w:val="40"/>
        </w:rPr>
        <w:t xml:space="preserve">The Civilization Infrastructure Deficit</w:t>
      </w:r>
    </w:p>
    <w:p>
      <w:pPr>
        <w:pBdr>
          <w:bottom w:val="single" w:color="C9A84C" w:sz="8" w:space="2"/>
        </w:pBdr>
        <w:spacing w:after="80"/>
      </w:pPr>
      <w:r>
        <w:t xml:space="preserve"/>
      </w:r>
    </w:p>
    <w:p>
      <w:pPr>
        <w:spacing w:after="160"/>
      </w:pPr>
      <w:r>
        <w:t xml:space="preserve"/>
      </w:r>
    </w:p>
    <w:p>
      <w:pPr>
        <w:spacing w:after="120" w:line="276" w:lineRule="auto"/>
        <w:jc w:val="both"/>
      </w:pPr>
      <w:r>
        <w:rPr>
          <w:rFonts w:ascii="Georgia" w:cs="Georgia" w:eastAsia="Georgia" w:hAnsi="Georgia"/>
          <w:color w:val="1C1C2E"/>
          <w:sz w:val="22"/>
          <w:szCs w:val="22"/>
        </w:rPr>
        <w:t xml:space="preserve">The challenges facing the world today may appear diverse — spanning artificial intelligence disruption, workforce displacement, infrastructure shortages, capital allocation failures, and declining institutional trust. They share a common origin.</w:t>
      </w:r>
    </w:p>
    <w:p>
      <w:pPr>
        <w:spacing w:after="120" w:line="276" w:lineRule="auto"/>
        <w:jc w:val="both"/>
      </w:pPr>
      <w:r>
        <w:rPr>
          <w:rFonts w:ascii="Georgia" w:cs="Georgia" w:eastAsia="Georgia" w:hAnsi="Georgia"/>
          <w:color w:val="1C1C2E"/>
          <w:sz w:val="22"/>
          <w:szCs w:val="22"/>
        </w:rPr>
        <w:t xml:space="preserve">They are symptoms of a single, deeper systemic issue: </w:t>
      </w:r>
      <w:r>
        <w:rPr>
          <w:rFonts w:ascii="Georgia" w:cs="Georgia" w:eastAsia="Georgia" w:hAnsi="Georgia"/>
          <w:b/>
          <w:bCs/>
          <w:color w:val="1C1C2E"/>
          <w:sz w:val="22"/>
          <w:szCs w:val="22"/>
        </w:rPr>
        <w:t xml:space="preserve">civilization has developed powerful technologies faster than it has developed the institutional infrastructure required to integrate them.</w:t>
      </w:r>
      <w:r>
        <w:rPr>
          <w:rFonts w:ascii="Georgia" w:cs="Georgia" w:eastAsia="Georgia" w:hAnsi="Georgia"/>
          <w:color w:val="1C1C2E"/>
          <w:sz w:val="22"/>
          <w:szCs w:val="22"/>
        </w:rPr>
        <w:t xml:space="preserve"/>
      </w:r>
    </w:p>
    <w:p>
      <w:pPr>
        <w:pStyle w:val="Heading2"/>
        <w:spacing w:before="320" w:after="120"/>
      </w:pPr>
      <w:r>
        <w:rPr>
          <w:rFonts w:ascii="Georgia" w:cs="Georgia" w:eastAsia="Georgia" w:hAnsi="Georgia"/>
          <w:b/>
          <w:bCs/>
          <w:color w:val="0C1A2E"/>
          <w:sz w:val="30"/>
          <w:szCs w:val="30"/>
        </w:rPr>
        <w:t xml:space="preserve">The Technology–Institution Gap</w:t>
      </w:r>
    </w:p>
    <w:p>
      <w:pPr>
        <w:spacing w:after="120" w:line="276" w:lineRule="auto"/>
        <w:jc w:val="both"/>
      </w:pPr>
      <w:r>
        <w:rPr>
          <w:rFonts w:ascii="Georgia" w:cs="Georgia" w:eastAsia="Georgia" w:hAnsi="Georgia"/>
          <w:color w:val="1C1C2E"/>
          <w:sz w:val="22"/>
          <w:szCs w:val="22"/>
        </w:rPr>
        <w:t xml:space="preserve">Throughout history, major technological shifts have required new institutional structures to stabilize their impact. The industrial revolution required modern banking systems, public infrastructure financing, labour regulation, and modern corporate governance. The digital revolution required global telecommunications infrastructure, modern financial networks, and data governance frameworks.</w:t>
      </w:r>
    </w:p>
    <w:p>
      <w:pPr>
        <w:spacing w:after="120" w:line="276" w:lineRule="auto"/>
        <w:jc w:val="both"/>
      </w:pPr>
      <w:r>
        <w:rPr>
          <w:rFonts w:ascii="Georgia" w:cs="Georgia" w:eastAsia="Georgia" w:hAnsi="Georgia"/>
          <w:color w:val="1C1C2E"/>
          <w:sz w:val="22"/>
          <w:szCs w:val="22"/>
        </w:rPr>
        <w:t xml:space="preserve">Artificial intelligence represents a technological shift of comparable magnitude. The institutional infrastructure required to manage its consequences remains underdeveloped. As a result, several critical systems are now under strain simultaneously.</w:t>
      </w:r>
    </w:p>
    <w:p>
      <w:pPr>
        <w:spacing w:after="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3400"/>
        <w:gridCol w:w="2826"/>
      </w:tblGrid>
      <w:tr>
        <w:trPr>
          <w:tblHeader/>
        </w:trPr>
        <w:tc>
          <w:tcPr>
            <w:tcW w:type="dxa" w:w="28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System Under Strain</w:t>
            </w:r>
          </w:p>
        </w:tc>
        <w:tc>
          <w:tcPr>
            <w:tcW w:type="dxa" w:w="34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The AI-Era Failure Mode</w:t>
            </w:r>
          </w:p>
        </w:tc>
        <w:tc>
          <w:tcPr>
            <w:tcW w:type="dxa" w:w="2826"/>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G.O.D.S Response</w:t>
            </w:r>
          </w:p>
        </w:tc>
      </w:tr>
      <w:tr>
        <w:tc>
          <w:tcPr>
            <w:tcW w:type="dxa" w:w="2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Labour Markets</w:t>
            </w:r>
          </w:p>
        </w:tc>
        <w:tc>
          <w:tcPr>
            <w:tcW w:type="dxa" w:w="34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Displacement accelerates without structured transition systems. Entry-level and mid-skill roles — the traditional foundation of economic mobility — are increasingly automated.</w:t>
            </w:r>
          </w:p>
        </w:tc>
        <w:tc>
          <w:tcPr>
            <w:tcW w:type="dxa" w:w="2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S.E.T.H.S — workforce reintegration engine</w:t>
            </w:r>
          </w:p>
        </w:tc>
      </w:tr>
      <w:tr>
        <w:tc>
          <w:tcPr>
            <w:tcW w:type="dxa" w:w="2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Digital Governance</w:t>
            </w:r>
          </w:p>
        </w:tc>
        <w:tc>
          <w:tcPr>
            <w:tcW w:type="dxa" w:w="34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Governments depend on cloud and AI infrastructure outside their jurisdictional control. National data sovereignty is effectively surrendered to foreign commercial entities.</w:t>
            </w:r>
          </w:p>
        </w:tc>
        <w:tc>
          <w:tcPr>
            <w:tcW w:type="dxa" w:w="2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UDOC — sovereign digital governance infrastructure</w:t>
            </w:r>
          </w:p>
        </w:tc>
      </w:tr>
      <w:tr>
        <w:tc>
          <w:tcPr>
            <w:tcW w:type="dxa" w:w="2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Physical Infrastructure</w:t>
            </w:r>
          </w:p>
        </w:tc>
        <w:tc>
          <w:tcPr>
            <w:tcW w:type="dxa" w:w="34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AI acceleration increases demand for power, logistics, water, and housing faster than investment cycles can respond. Infrastructure scarcity becomes an AI bottleneck.</w:t>
            </w:r>
          </w:p>
        </w:tc>
        <w:tc>
          <w:tcPr>
            <w:tcW w:type="dxa" w:w="2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T.S — production and engineering infrastructure</w:t>
            </w:r>
          </w:p>
        </w:tc>
      </w:tr>
      <w:tr>
        <w:tc>
          <w:tcPr>
            <w:tcW w:type="dxa" w:w="2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Capital Coordination</w:t>
            </w:r>
          </w:p>
        </w:tc>
        <w:tc>
          <w:tcPr>
            <w:tcW w:type="dxa" w:w="34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Sovereign debt constrains public investment precisely when it is most needed. Capital accumulates in financial markets while productive infrastructure goes unbuilt.</w:t>
            </w:r>
          </w:p>
        </w:tc>
        <w:tc>
          <w:tcPr>
            <w:tcW w:type="dxa" w:w="2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M.A.D.I.B.A — capital and partnership coordination</w:t>
            </w:r>
          </w:p>
        </w:tc>
      </w:tr>
      <w:tr>
        <w:tc>
          <w:tcPr>
            <w:tcW w:type="dxa" w:w="2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Institutional Trust</w:t>
            </w:r>
          </w:p>
        </w:tc>
        <w:tc>
          <w:tcPr>
            <w:tcW w:type="dxa" w:w="34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Citizens perceive systems serve the few. Institutions that cannot demonstrate auditable, transparent governance lose their mandate to operate at scale.</w:t>
            </w:r>
          </w:p>
        </w:tc>
        <w:tc>
          <w:tcPr>
            <w:tcW w:type="dxa" w:w="2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COB + Twelve Constitutional Pillars</w:t>
            </w:r>
          </w:p>
        </w:tc>
      </w:tr>
    </w:tbl>
    <w:p>
      <w:pPr>
        <w:spacing w:after="80"/>
      </w:pPr>
      <w:r>
        <w:t xml:space="preserve"/>
      </w:r>
    </w:p>
    <w:p>
      <w:pPr>
        <w:pBdr>
          <w:top w:val="single" w:color="8B6914" w:sz="4" w:space="2"/>
          <w:left w:val="single" w:color="C9A84C" w:sz="12" w:space="8"/>
          <w:bottom w:val="single" w:color="8B6914" w:sz="4" w:space="2"/>
        </w:pBdr>
        <w:shd w:fill="FBF4E0" w:val="clear"/>
        <w:spacing w:before="120" w:after="120" w:line="276" w:lineRule="auto"/>
        <w:ind w:left="360" w:right="360"/>
        <w:jc w:val="both"/>
      </w:pPr>
      <w:r>
        <w:rPr>
          <w:rFonts w:ascii="Georgia" w:cs="Georgia" w:eastAsia="Georgia" w:hAnsi="Georgia"/>
          <w:i/>
          <w:iCs/>
          <w:color w:val="0C1A2E"/>
          <w:sz w:val="22"/>
          <w:szCs w:val="22"/>
        </w:rPr>
        <w:t xml:space="preserve">The goal of G.O.D.S is not to redesign civilization. Civilization already contains powerful institutions. The challenge is that these institutions often operate without sufficient coordination. G.O.D.S therefore acts as a systems platform — providing infrastructure through which existing institutions can collaborate more effectively in managing technological and economic transformation.</w:t>
      </w:r>
    </w:p>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2</w:t>
      </w:r>
    </w:p>
    <w:p>
      <w:pPr>
        <w:spacing w:after="20"/>
        <w:jc w:val="center"/>
      </w:pPr>
      <w:r>
        <w:rPr>
          <w:rFonts w:ascii="Georgia" w:cs="Georgia" w:eastAsia="Georgia" w:hAnsi="Georgia"/>
          <w:b/>
          <w:bCs/>
          <w:color w:val="060E1C"/>
          <w:sz w:val="40"/>
          <w:szCs w:val="40"/>
        </w:rPr>
        <w:t xml:space="preserve">Ten Structural Shifts Defining the AI Era</w:t>
      </w:r>
    </w:p>
    <w:p>
      <w:pPr>
        <w:pBdr>
          <w:bottom w:val="single" w:color="C9A84C" w:sz="8" w:space="2"/>
        </w:pBdr>
        <w:spacing w:after="80"/>
      </w:pPr>
      <w:r>
        <w:t xml:space="preserve"/>
      </w:r>
    </w:p>
    <w:p>
      <w:pPr>
        <w:spacing w:after="160"/>
      </w:pPr>
      <w:r>
        <w:t xml:space="preserve"/>
      </w:r>
    </w:p>
    <w:p>
      <w:pPr>
        <w:spacing w:after="120" w:line="276" w:lineRule="auto"/>
        <w:jc w:val="both"/>
      </w:pPr>
      <w:r>
        <w:rPr>
          <w:rFonts w:ascii="Georgia" w:cs="Georgia" w:eastAsia="Georgia" w:hAnsi="Georgia"/>
          <w:color w:val="1C1C2E"/>
          <w:sz w:val="22"/>
          <w:szCs w:val="22"/>
        </w:rPr>
        <w:t xml:space="preserve">G.O.D.S is not a response to “everything wrong with the world.” It is a response to a specific, documented cluster of structural shifts that are already underway and being accelerated by artificial intelligence. Understanding these shifts is essential to understanding why this system exists now — not earlier, and not later.</w:t>
      </w:r>
    </w:p>
    <w:p>
      <w:pPr>
        <w:spacing w:after="80"/>
      </w:pPr>
      <w:r>
        <w:t xml:space="preserve"/>
      </w:r>
    </w:p>
    <w:p>
      <w:pPr>
        <w:pStyle w:val="Heading2"/>
        <w:spacing w:before="320" w:after="120"/>
      </w:pPr>
      <w:r>
        <w:rPr>
          <w:rFonts w:ascii="Georgia" w:cs="Georgia" w:eastAsia="Georgia" w:hAnsi="Georgia"/>
          <w:b/>
          <w:bCs/>
          <w:color w:val="0C1A2E"/>
          <w:sz w:val="30"/>
          <w:szCs w:val="30"/>
        </w:rPr>
        <w:t xml:space="preserve">1. The AI Workforce Transition</w:t>
      </w:r>
    </w:p>
    <w:p>
      <w:pPr>
        <w:spacing w:after="120" w:line="276" w:lineRule="auto"/>
        <w:jc w:val="both"/>
      </w:pPr>
      <w:r>
        <w:rPr>
          <w:rFonts w:ascii="Georgia" w:cs="Georgia" w:eastAsia="Georgia" w:hAnsi="Georgia"/>
          <w:color w:val="1C1C2E"/>
          <w:sz w:val="22"/>
          <w:szCs w:val="22"/>
        </w:rPr>
        <w:t xml:space="preserve">Artificial intelligence is rapidly altering the nature of work. Unlike previous technological shifts that primarily affected manual labour, AI is transforming both cognitive and administrative occupations. Entry-level and mid-skill roles — traditionally the foundation of economic mobility — are increasingly vulnerable to automation. The IMF’s baseline estimates roughly 40% of global employment is exposed to AI transformation, rising to 60% in advanced economies. The ILO’s 2025 work documents that nearly one in four workers may see their roles fundamentally transformed by generative AI.</w:t>
      </w:r>
    </w:p>
    <w:p>
      <w:pPr>
        <w:spacing w:after="80" w:line="260"/>
        <w:ind w:left="360"/>
      </w:pPr>
      <w:r>
        <w:rPr>
          <w:rFonts w:ascii="Arial" w:cs="Arial" w:eastAsia="Arial" w:hAnsi="Arial"/>
          <w:b/>
          <w:bCs/>
          <w:color w:val="8B6914"/>
          <w:sz w:val="20"/>
          <w:szCs w:val="20"/>
        </w:rPr>
        <w:t xml:space="preserve">Implications: </w:t>
      </w:r>
      <w:r>
        <w:rPr>
          <w:rFonts w:ascii="Georgia" w:cs="Georgia" w:eastAsia="Georgia" w:hAnsi="Georgia"/>
          <w:i/>
          <w:iCs/>
          <w:color w:val="0C1A2E"/>
          <w:sz w:val="20"/>
          <w:szCs w:val="20"/>
        </w:rPr>
        <w:t xml:space="preserve">The challenge is not only job loss — it is transition failure. Most economies lack systems capable of rapidly retraining, reintegrating, and redeploying displaced workers into productive roles. Without such systems, the productivity gains of AI risk concentrating wealth while destabilising labour markets.</w:t>
      </w:r>
    </w:p>
    <w:p>
      <w:pPr>
        <w:spacing w:after="120"/>
      </w:pPr>
      <w:r>
        <w:rPr>
          <w:rFonts w:ascii="Arial" w:cs="Arial" w:eastAsia="Arial" w:hAnsi="Arial"/>
          <w:b/>
          <w:bCs/>
          <w:color w:val="7A7A8A"/>
          <w:sz w:val="18"/>
          <w:szCs w:val="18"/>
        </w:rPr>
        <w:t xml:space="preserve">G.O.D.S Response: </w:t>
      </w:r>
      <w:r>
        <w:rPr>
          <w:rFonts w:ascii="Arial" w:cs="Arial" w:eastAsia="Arial" w:hAnsi="Arial"/>
          <w:b/>
          <w:bCs/>
          <w:color w:val="2E7D5E"/>
          <w:sz w:val="18"/>
          <w:szCs w:val="18"/>
        </w:rPr>
        <w:t xml:space="preserve">S.E.T.H.S</w:t>
      </w:r>
    </w:p>
    <w:p>
      <w:pPr>
        <w:spacing w:after="40"/>
      </w:pPr>
      <w:r>
        <w:t xml:space="preserve"/>
      </w:r>
    </w:p>
    <w:p>
      <w:pPr>
        <w:pStyle w:val="Heading2"/>
        <w:spacing w:before="320" w:after="120"/>
      </w:pPr>
      <w:r>
        <w:rPr>
          <w:rFonts w:ascii="Georgia" w:cs="Georgia" w:eastAsia="Georgia" w:hAnsi="Georgia"/>
          <w:b/>
          <w:bCs/>
          <w:color w:val="0C1A2E"/>
          <w:sz w:val="30"/>
          <w:szCs w:val="30"/>
        </w:rPr>
        <w:t xml:space="preserve">2. The Digital Sovereignty Crisis</w:t>
      </w:r>
    </w:p>
    <w:p>
      <w:pPr>
        <w:spacing w:after="120" w:line="276" w:lineRule="auto"/>
        <w:jc w:val="both"/>
      </w:pPr>
      <w:r>
        <w:rPr>
          <w:rFonts w:ascii="Georgia" w:cs="Georgia" w:eastAsia="Georgia" w:hAnsi="Georgia"/>
          <w:color w:val="1C1C2E"/>
          <w:sz w:val="22"/>
          <w:szCs w:val="22"/>
        </w:rPr>
        <w:t xml:space="preserve">Modern economies increasingly depend on cloud computing, data platforms, and artificial intelligence systems. However, much of this infrastructure is operated by a small number of global technology companies. Governments, public institutions, and financial systems often rely on infrastructure that operates outside their jurisdictional control. Africa has less than 1% of global data-centre capacity, even as usage rises fast and governments want more control over cybersecurity, regulation, and data location.</w:t>
      </w:r>
    </w:p>
    <w:p>
      <w:pPr>
        <w:spacing w:after="80" w:line="260"/>
        <w:ind w:left="360"/>
      </w:pPr>
      <w:r>
        <w:rPr>
          <w:rFonts w:ascii="Arial" w:cs="Arial" w:eastAsia="Arial" w:hAnsi="Arial"/>
          <w:b/>
          <w:bCs/>
          <w:color w:val="8B6914"/>
          <w:sz w:val="20"/>
          <w:szCs w:val="20"/>
        </w:rPr>
        <w:t xml:space="preserve">Implications: </w:t>
      </w:r>
      <w:r>
        <w:rPr>
          <w:rFonts w:ascii="Georgia" w:cs="Georgia" w:eastAsia="Georgia" w:hAnsi="Georgia"/>
          <w:i/>
          <w:iCs/>
          <w:color w:val="0C1A2E"/>
          <w:sz w:val="20"/>
          <w:szCs w:val="20"/>
        </w:rPr>
        <w:t xml:space="preserve">BRICS nations, African governments, Middle Eastern governments, and parts of Europe are actively seeking sovereign alternatives. This is not a future concern — it is a current government budget line, funded through national security appropriations.</w:t>
      </w:r>
    </w:p>
    <w:p>
      <w:pPr>
        <w:spacing w:after="120"/>
      </w:pPr>
      <w:r>
        <w:rPr>
          <w:rFonts w:ascii="Arial" w:cs="Arial" w:eastAsia="Arial" w:hAnsi="Arial"/>
          <w:b/>
          <w:bCs/>
          <w:color w:val="7A7A8A"/>
          <w:sz w:val="18"/>
          <w:szCs w:val="18"/>
        </w:rPr>
        <w:t xml:space="preserve">G.O.D.S Response: </w:t>
      </w:r>
      <w:r>
        <w:rPr>
          <w:rFonts w:ascii="Arial" w:cs="Arial" w:eastAsia="Arial" w:hAnsi="Arial"/>
          <w:b/>
          <w:bCs/>
          <w:color w:val="7D502E"/>
          <w:sz w:val="18"/>
          <w:szCs w:val="18"/>
        </w:rPr>
        <w:t xml:space="preserve">UDOC</w:t>
      </w:r>
    </w:p>
    <w:p>
      <w:pPr>
        <w:spacing w:after="40"/>
      </w:pPr>
      <w:r>
        <w:t xml:space="preserve"/>
      </w:r>
    </w:p>
    <w:p>
      <w:pPr>
        <w:pStyle w:val="Heading2"/>
        <w:spacing w:before="320" w:after="120"/>
      </w:pPr>
      <w:r>
        <w:rPr>
          <w:rFonts w:ascii="Georgia" w:cs="Georgia" w:eastAsia="Georgia" w:hAnsi="Georgia"/>
          <w:b/>
          <w:bCs/>
          <w:color w:val="0C1A2E"/>
          <w:sz w:val="30"/>
          <w:szCs w:val="30"/>
        </w:rPr>
        <w:t xml:space="preserve">3. The Infrastructure Investment Gap</w:t>
      </w:r>
    </w:p>
    <w:p>
      <w:pPr>
        <w:spacing w:after="120" w:line="276" w:lineRule="auto"/>
        <w:jc w:val="both"/>
      </w:pPr>
      <w:r>
        <w:rPr>
          <w:rFonts w:ascii="Georgia" w:cs="Georgia" w:eastAsia="Georgia" w:hAnsi="Georgia"/>
          <w:color w:val="1C1C2E"/>
          <w:sz w:val="22"/>
          <w:szCs w:val="22"/>
        </w:rPr>
        <w:t xml:space="preserve">Global infrastructure demand is rising sharply as populations grow and technological systems expand. Energy grids, transportation networks, water systems, digital infrastructure, and housing supply are under pressure in both developed and emerging economies. At the same time, many governments face fiscal constraints that limit their ability to finance large-scale infrastructure expansion directly.</w:t>
      </w:r>
    </w:p>
    <w:p>
      <w:pPr>
        <w:spacing w:after="80" w:line="260"/>
        <w:ind w:left="360"/>
      </w:pPr>
      <w:r>
        <w:rPr>
          <w:rFonts w:ascii="Arial" w:cs="Arial" w:eastAsia="Arial" w:hAnsi="Arial"/>
          <w:b/>
          <w:bCs/>
          <w:color w:val="8B6914"/>
          <w:sz w:val="20"/>
          <w:szCs w:val="20"/>
        </w:rPr>
        <w:t xml:space="preserve">Implications: </w:t>
      </w:r>
      <w:r>
        <w:rPr>
          <w:rFonts w:ascii="Georgia" w:cs="Georgia" w:eastAsia="Georgia" w:hAnsi="Georgia"/>
          <w:i/>
          <w:iCs/>
          <w:color w:val="0C1A2E"/>
          <w:sz w:val="20"/>
          <w:szCs w:val="20"/>
        </w:rPr>
        <w:t xml:space="preserve">The World Bank’s backing of a $100 million African data-centre deal was notable precisely because the market is underbuilt and still needs de-risking capital. New institutional models capable of building and operating infrastructure efficiently while coordinating public and private capital are not optional — they are urgent.</w:t>
      </w:r>
    </w:p>
    <w:p>
      <w:pPr>
        <w:spacing w:after="120"/>
      </w:pPr>
      <w:r>
        <w:rPr>
          <w:rFonts w:ascii="Arial" w:cs="Arial" w:eastAsia="Arial" w:hAnsi="Arial"/>
          <w:b/>
          <w:bCs/>
          <w:color w:val="7A7A8A"/>
          <w:sz w:val="18"/>
          <w:szCs w:val="18"/>
        </w:rPr>
        <w:t xml:space="preserve">G.O.D.S Response: </w:t>
      </w:r>
      <w:r>
        <w:rPr>
          <w:rFonts w:ascii="Arial" w:cs="Arial" w:eastAsia="Arial" w:hAnsi="Arial"/>
          <w:b/>
          <w:bCs/>
          <w:color w:val="5E2E7D"/>
          <w:sz w:val="18"/>
          <w:szCs w:val="18"/>
        </w:rPr>
        <w:t xml:space="preserve">T.S</w:t>
      </w:r>
    </w:p>
    <w:p>
      <w:pPr>
        <w:spacing w:after="40"/>
      </w:pPr>
      <w:r>
        <w:t xml:space="preserve"/>
      </w:r>
    </w:p>
    <w:p>
      <w:pPr>
        <w:pStyle w:val="Heading2"/>
        <w:spacing w:before="320" w:after="120"/>
      </w:pPr>
      <w:r>
        <w:rPr>
          <w:rFonts w:ascii="Georgia" w:cs="Georgia" w:eastAsia="Georgia" w:hAnsi="Georgia"/>
          <w:b/>
          <w:bCs/>
          <w:color w:val="0C1A2E"/>
          <w:sz w:val="30"/>
          <w:szCs w:val="30"/>
        </w:rPr>
        <w:t xml:space="preserve">4. Institutional Trust Deficit</w:t>
      </w:r>
    </w:p>
    <w:p>
      <w:pPr>
        <w:spacing w:after="120" w:line="276" w:lineRule="auto"/>
        <w:jc w:val="both"/>
      </w:pPr>
      <w:r>
        <w:rPr>
          <w:rFonts w:ascii="Georgia" w:cs="Georgia" w:eastAsia="Georgia" w:hAnsi="Georgia"/>
          <w:color w:val="1C1C2E"/>
          <w:sz w:val="22"/>
          <w:szCs w:val="22"/>
        </w:rPr>
        <w:t xml:space="preserve">Across much of the world, public trust in institutions is declining. Edelman’s 2025 research documents a broad “crisis of grievance” — many respondents believe institutions serve the few, not the many, and report deep confusion about what information is credible. South Africa shows very high grievance levels, even relative to comparable economies.</w:t>
      </w:r>
    </w:p>
    <w:p>
      <w:pPr>
        <w:spacing w:after="80" w:line="260"/>
        <w:ind w:left="360"/>
      </w:pPr>
      <w:r>
        <w:rPr>
          <w:rFonts w:ascii="Arial" w:cs="Arial" w:eastAsia="Arial" w:hAnsi="Arial"/>
          <w:b/>
          <w:bCs/>
          <w:color w:val="8B6914"/>
          <w:sz w:val="20"/>
          <w:szCs w:val="20"/>
        </w:rPr>
        <w:t xml:space="preserve">Implications: </w:t>
      </w:r>
      <w:r>
        <w:rPr>
          <w:rFonts w:ascii="Georgia" w:cs="Georgia" w:eastAsia="Georgia" w:hAnsi="Georgia"/>
          <w:i/>
          <w:iCs/>
          <w:color w:val="0C1A2E"/>
          <w:sz w:val="20"/>
          <w:szCs w:val="20"/>
        </w:rPr>
        <w:t xml:space="preserve">Systems that demonstrate transparent governance, measurable outcomes, and constitutional constraints therefore become structurally valuable. This is not a moral opportunity — it is a market opportunity. Auditable institutional behaviour is a competitive advantage.</w:t>
      </w:r>
    </w:p>
    <w:p>
      <w:pPr>
        <w:spacing w:after="120"/>
      </w:pPr>
      <w:r>
        <w:rPr>
          <w:rFonts w:ascii="Arial" w:cs="Arial" w:eastAsia="Arial" w:hAnsi="Arial"/>
          <w:b/>
          <w:bCs/>
          <w:color w:val="7A7A8A"/>
          <w:sz w:val="18"/>
          <w:szCs w:val="18"/>
        </w:rPr>
        <w:t xml:space="preserve">G.O.D.S Response: </w:t>
      </w:r>
      <w:r>
        <w:rPr>
          <w:rFonts w:ascii="Arial" w:cs="Arial" w:eastAsia="Arial" w:hAnsi="Arial"/>
          <w:b/>
          <w:bCs/>
          <w:color w:val="8B6914"/>
          <w:sz w:val="18"/>
          <w:szCs w:val="18"/>
        </w:rPr>
        <w:t xml:space="preserve">COB + Pillars</w:t>
      </w:r>
    </w:p>
    <w:p>
      <w:pPr>
        <w:spacing w:after="40"/>
      </w:pPr>
      <w:r>
        <w:t xml:space="preserve"/>
      </w:r>
    </w:p>
    <w:p>
      <w:pPr>
        <w:pStyle w:val="Heading2"/>
        <w:spacing w:before="320" w:after="120"/>
      </w:pPr>
      <w:r>
        <w:rPr>
          <w:rFonts w:ascii="Georgia" w:cs="Georgia" w:eastAsia="Georgia" w:hAnsi="Georgia"/>
          <w:b/>
          <w:bCs/>
          <w:color w:val="0C1A2E"/>
          <w:sz w:val="30"/>
          <w:szCs w:val="30"/>
        </w:rPr>
        <w:t xml:space="preserve">5. The AI Energy Demand Shock</w:t>
      </w:r>
    </w:p>
    <w:p>
      <w:pPr>
        <w:spacing w:after="120" w:line="276" w:lineRule="auto"/>
        <w:jc w:val="both"/>
      </w:pPr>
      <w:r>
        <w:rPr>
          <w:rFonts w:ascii="Georgia" w:cs="Georgia" w:eastAsia="Georgia" w:hAnsi="Georgia"/>
          <w:color w:val="1C1C2E"/>
          <w:sz w:val="22"/>
          <w:szCs w:val="22"/>
        </w:rPr>
        <w:t xml:space="preserve">Artificial intelligence systems require enormous computational resources. Data centres supporting AI workloads are already becoming major consumers of electricity, placing pressure on power grids and energy infrastructure worldwide. The IEA now expects global data-centre electricity demand to more than double to approximately 945 TWh by 2030, with AI the primary driver. Data centres already consumed roughly 415 TWh in 2024.</w:t>
      </w:r>
    </w:p>
    <w:p>
      <w:pPr>
        <w:spacing w:after="80" w:line="260"/>
        <w:ind w:left="360"/>
      </w:pPr>
      <w:r>
        <w:rPr>
          <w:rFonts w:ascii="Arial" w:cs="Arial" w:eastAsia="Arial" w:hAnsi="Arial"/>
          <w:b/>
          <w:bCs/>
          <w:color w:val="8B6914"/>
          <w:sz w:val="20"/>
          <w:szCs w:val="20"/>
        </w:rPr>
        <w:t xml:space="preserve">Implications: </w:t>
      </w:r>
      <w:r>
        <w:rPr>
          <w:rFonts w:ascii="Georgia" w:cs="Georgia" w:eastAsia="Georgia" w:hAnsi="Georgia"/>
          <w:i/>
          <w:iCs/>
          <w:color w:val="0C1A2E"/>
          <w:sz w:val="20"/>
          <w:szCs w:val="20"/>
        </w:rPr>
        <w:t xml:space="preserve">The AI revolution is not only a software transformation — it is an energy infrastructure challenge. Power, cooling, and grid stability become AI bottlenecks. Physical infrastructure investment is not separate from the AI story. It is central to it.</w:t>
      </w:r>
    </w:p>
    <w:p>
      <w:pPr>
        <w:spacing w:after="120"/>
      </w:pPr>
      <w:r>
        <w:rPr>
          <w:rFonts w:ascii="Arial" w:cs="Arial" w:eastAsia="Arial" w:hAnsi="Arial"/>
          <w:b/>
          <w:bCs/>
          <w:color w:val="7A7A8A"/>
          <w:sz w:val="18"/>
          <w:szCs w:val="18"/>
        </w:rPr>
        <w:t xml:space="preserve">G.O.D.S Response: </w:t>
      </w:r>
      <w:r>
        <w:rPr>
          <w:rFonts w:ascii="Arial" w:cs="Arial" w:eastAsia="Arial" w:hAnsi="Arial"/>
          <w:b/>
          <w:bCs/>
          <w:color w:val="5E2E7D"/>
          <w:sz w:val="18"/>
          <w:szCs w:val="18"/>
        </w:rPr>
        <w:t xml:space="preserve">T.S</w:t>
      </w:r>
    </w:p>
    <w:p>
      <w:pPr>
        <w:spacing w:after="40"/>
      </w:pPr>
      <w:r>
        <w:t xml:space="preserve"/>
      </w:r>
    </w:p>
    <w:p>
      <w:pPr>
        <w:pStyle w:val="Heading2"/>
        <w:spacing w:before="320" w:after="120"/>
      </w:pPr>
      <w:r>
        <w:rPr>
          <w:rFonts w:ascii="Georgia" w:cs="Georgia" w:eastAsia="Georgia" w:hAnsi="Georgia"/>
          <w:b/>
          <w:bCs/>
          <w:color w:val="0C1A2E"/>
          <w:sz w:val="30"/>
          <w:szCs w:val="30"/>
        </w:rPr>
        <w:t xml:space="preserve">6. Fragmentation of the Global Order</w:t>
      </w:r>
    </w:p>
    <w:p>
      <w:pPr>
        <w:spacing w:after="120" w:line="276" w:lineRule="auto"/>
        <w:jc w:val="both"/>
      </w:pPr>
      <w:r>
        <w:rPr>
          <w:rFonts w:ascii="Georgia" w:cs="Georgia" w:eastAsia="Georgia" w:hAnsi="Georgia"/>
          <w:color w:val="1C1C2E"/>
          <w:sz w:val="22"/>
          <w:szCs w:val="22"/>
        </w:rPr>
        <w:t xml:space="preserve">The global economy is increasingly shaped by geopolitical competition, shifting alliances, and supply chain realignment. UNCTAD documents that trade still reached a record in 2025, but also stresses that geopolitical fragmentation, friendshoring, and nearshoring are reshaping flows. The world is not deglobalising cleanly — it is reorganising under political pressure.</w:t>
      </w:r>
    </w:p>
    <w:p>
      <w:pPr>
        <w:spacing w:after="80" w:line="260"/>
        <w:ind w:left="360"/>
      </w:pPr>
      <w:r>
        <w:rPr>
          <w:rFonts w:ascii="Arial" w:cs="Arial" w:eastAsia="Arial" w:hAnsi="Arial"/>
          <w:b/>
          <w:bCs/>
          <w:color w:val="8B6914"/>
          <w:sz w:val="20"/>
          <w:szCs w:val="20"/>
        </w:rPr>
        <w:t xml:space="preserve">Implications: </w:t>
      </w:r>
      <w:r>
        <w:rPr>
          <w:rFonts w:ascii="Georgia" w:cs="Georgia" w:eastAsia="Georgia" w:hAnsi="Georgia"/>
          <w:i/>
          <w:iCs/>
          <w:color w:val="0C1A2E"/>
          <w:sz w:val="20"/>
          <w:szCs w:val="20"/>
        </w:rPr>
        <w:t xml:space="preserve">Neutral infrastructure platforms capable of operating across geopolitical boundaries while respecting national sovereignty become uniquely valuable. G.O.D.S is designed as such a platform — coordinating infrastructure, workforce development, and governance systems without requiring political alignment.</w:t>
      </w:r>
    </w:p>
    <w:p>
      <w:pPr>
        <w:spacing w:after="120"/>
      </w:pPr>
      <w:r>
        <w:rPr>
          <w:rFonts w:ascii="Arial" w:cs="Arial" w:eastAsia="Arial" w:hAnsi="Arial"/>
          <w:b/>
          <w:bCs/>
          <w:color w:val="7A7A8A"/>
          <w:sz w:val="18"/>
          <w:szCs w:val="18"/>
        </w:rPr>
        <w:t xml:space="preserve">G.O.D.S Response: </w:t>
      </w:r>
      <w:r>
        <w:rPr>
          <w:rFonts w:ascii="Arial" w:cs="Arial" w:eastAsia="Arial" w:hAnsi="Arial"/>
          <w:b/>
          <w:bCs/>
          <w:color w:val="2E5E7D"/>
          <w:sz w:val="18"/>
          <w:szCs w:val="18"/>
        </w:rPr>
        <w:t xml:space="preserve">M.A.D.I.B.A</w:t>
      </w:r>
    </w:p>
    <w:p>
      <w:pPr>
        <w:spacing w:after="40"/>
      </w:pPr>
      <w:r>
        <w:t xml:space="preserve"/>
      </w:r>
    </w:p>
    <w:p>
      <w:pPr>
        <w:pStyle w:val="Heading2"/>
        <w:spacing w:before="320" w:after="120"/>
      </w:pPr>
      <w:r>
        <w:rPr>
          <w:rFonts w:ascii="Georgia" w:cs="Georgia" w:eastAsia="Georgia" w:hAnsi="Georgia"/>
          <w:b/>
          <w:bCs/>
          <w:color w:val="0C1A2E"/>
          <w:sz w:val="30"/>
          <w:szCs w:val="30"/>
        </w:rPr>
        <w:t xml:space="preserve">7. Demographic Transformation</w:t>
      </w:r>
    </w:p>
    <w:p>
      <w:pPr>
        <w:spacing w:after="120" w:line="276" w:lineRule="auto"/>
        <w:jc w:val="both"/>
      </w:pPr>
      <w:r>
        <w:rPr>
          <w:rFonts w:ascii="Georgia" w:cs="Georgia" w:eastAsia="Georgia" w:hAnsi="Georgia"/>
          <w:color w:val="1C1C2E"/>
          <w:sz w:val="22"/>
          <w:szCs w:val="22"/>
        </w:rPr>
        <w:t xml:space="preserve">The world’s demographic balance is shifting rapidly. Africa will experience significant population growth over the coming decades — more than one billion additional workforce entrants this century — while many developed economies face ageing populations and labour shortages. This demographic divergence creates both risk and opportunity simultaneously.</w:t>
      </w:r>
    </w:p>
    <w:p>
      <w:pPr>
        <w:spacing w:after="80" w:line="260"/>
        <w:ind w:left="360"/>
      </w:pPr>
      <w:r>
        <w:rPr>
          <w:rFonts w:ascii="Arial" w:cs="Arial" w:eastAsia="Arial" w:hAnsi="Arial"/>
          <w:b/>
          <w:bCs/>
          <w:color w:val="8B6914"/>
          <w:sz w:val="20"/>
          <w:szCs w:val="20"/>
        </w:rPr>
        <w:t xml:space="preserve">Implications: </w:t>
      </w:r>
      <w:r>
        <w:rPr>
          <w:rFonts w:ascii="Georgia" w:cs="Georgia" w:eastAsia="Georgia" w:hAnsi="Georgia"/>
          <w:i/>
          <w:iCs/>
          <w:color w:val="0C1A2E"/>
          <w:sz w:val="20"/>
          <w:szCs w:val="20"/>
        </w:rPr>
        <w:t xml:space="preserve">Without adequate economic systems, large youth populations may struggle to find productive employment, producing unemployment, migration pressure, and political instability. With the right systems, they represent one of the largest potential engines of global productivity in the 21st century. The difference between these two outcomes is transition infrastructure.</w:t>
      </w:r>
    </w:p>
    <w:p>
      <w:pPr>
        <w:spacing w:after="120"/>
      </w:pPr>
      <w:r>
        <w:rPr>
          <w:rFonts w:ascii="Arial" w:cs="Arial" w:eastAsia="Arial" w:hAnsi="Arial"/>
          <w:b/>
          <w:bCs/>
          <w:color w:val="7A7A8A"/>
          <w:sz w:val="18"/>
          <w:szCs w:val="18"/>
        </w:rPr>
        <w:t xml:space="preserve">G.O.D.S Response: </w:t>
      </w:r>
      <w:r>
        <w:rPr>
          <w:rFonts w:ascii="Arial" w:cs="Arial" w:eastAsia="Arial" w:hAnsi="Arial"/>
          <w:b/>
          <w:bCs/>
          <w:color w:val="2E7D5E"/>
          <w:sz w:val="18"/>
          <w:szCs w:val="18"/>
        </w:rPr>
        <w:t xml:space="preserve">S.E.T.H.S + M.A.D.I.B.A</w:t>
      </w:r>
    </w:p>
    <w:p>
      <w:pPr>
        <w:spacing w:after="40"/>
      </w:pPr>
      <w:r>
        <w:t xml:space="preserve"/>
      </w:r>
    </w:p>
    <w:p>
      <w:pPr>
        <w:pStyle w:val="Heading2"/>
        <w:spacing w:before="320" w:after="120"/>
      </w:pPr>
      <w:r>
        <w:rPr>
          <w:rFonts w:ascii="Georgia" w:cs="Georgia" w:eastAsia="Georgia" w:hAnsi="Georgia"/>
          <w:b/>
          <w:bCs/>
          <w:color w:val="0C1A2E"/>
          <w:sz w:val="30"/>
          <w:szCs w:val="30"/>
        </w:rPr>
        <w:t xml:space="preserve">8. The Capital Allocation Challenge</w:t>
      </w:r>
    </w:p>
    <w:p>
      <w:pPr>
        <w:spacing w:after="120" w:line="276" w:lineRule="auto"/>
        <w:jc w:val="both"/>
      </w:pPr>
      <w:r>
        <w:rPr>
          <w:rFonts w:ascii="Georgia" w:cs="Georgia" w:eastAsia="Georgia" w:hAnsi="Georgia"/>
          <w:color w:val="1C1C2E"/>
          <w:sz w:val="22"/>
          <w:szCs w:val="22"/>
        </w:rPr>
        <w:t xml:space="preserve">Global capital markets contain vast pools of investment capital, yet much of this capital struggles to find stable long-term infrastructure opportunities. The OECD documents sovereign borrowing in OECD countries reached a record $17 trillion in 2025, projected $18 trillion in 2026, while outstanding sovereign bond debt hit $61 trillion. The challenge is not a shortage of capital — it is a shortage of institutional structures capable of deploying capital efficiently into productive infrastructure.</w:t>
      </w:r>
    </w:p>
    <w:p>
      <w:pPr>
        <w:spacing w:after="80" w:line="260"/>
        <w:ind w:left="360"/>
      </w:pPr>
      <w:r>
        <w:rPr>
          <w:rFonts w:ascii="Arial" w:cs="Arial" w:eastAsia="Arial" w:hAnsi="Arial"/>
          <w:b/>
          <w:bCs/>
          <w:color w:val="8B6914"/>
          <w:sz w:val="20"/>
          <w:szCs w:val="20"/>
        </w:rPr>
        <w:t xml:space="preserve">Implications: </w:t>
      </w:r>
      <w:r>
        <w:rPr>
          <w:rFonts w:ascii="Georgia" w:cs="Georgia" w:eastAsia="Georgia" w:hAnsi="Georgia"/>
          <w:i/>
          <w:iCs/>
          <w:color w:val="0C1A2E"/>
          <w:sz w:val="20"/>
          <w:szCs w:val="20"/>
        </w:rPr>
        <w:t xml:space="preserve">Governments need new infrastructure precisely when they have least fiscal room. New institutional vehicles that allow infrastructure investment without adding to sovereign debt ratios are not aspirational — they are structurally necessary for governance continuity.</w:t>
      </w:r>
    </w:p>
    <w:p>
      <w:pPr>
        <w:spacing w:after="120"/>
      </w:pPr>
      <w:r>
        <w:rPr>
          <w:rFonts w:ascii="Arial" w:cs="Arial" w:eastAsia="Arial" w:hAnsi="Arial"/>
          <w:b/>
          <w:bCs/>
          <w:color w:val="7A7A8A"/>
          <w:sz w:val="18"/>
          <w:szCs w:val="18"/>
        </w:rPr>
        <w:t xml:space="preserve">G.O.D.S Response: </w:t>
      </w:r>
      <w:r>
        <w:rPr>
          <w:rFonts w:ascii="Arial" w:cs="Arial" w:eastAsia="Arial" w:hAnsi="Arial"/>
          <w:b/>
          <w:bCs/>
          <w:color w:val="2E5E7D"/>
          <w:sz w:val="18"/>
          <w:szCs w:val="18"/>
        </w:rPr>
        <w:t xml:space="preserve">M.A.D.I.B.A</w:t>
      </w:r>
    </w:p>
    <w:p>
      <w:pPr>
        <w:spacing w:after="40"/>
      </w:pPr>
      <w:r>
        <w:t xml:space="preserve"/>
      </w:r>
    </w:p>
    <w:p>
      <w:pPr>
        <w:pStyle w:val="Heading2"/>
        <w:spacing w:before="320" w:after="120"/>
      </w:pPr>
      <w:r>
        <w:rPr>
          <w:rFonts w:ascii="Georgia" w:cs="Georgia" w:eastAsia="Georgia" w:hAnsi="Georgia"/>
          <w:b/>
          <w:bCs/>
          <w:color w:val="0C1A2E"/>
          <w:sz w:val="30"/>
          <w:szCs w:val="30"/>
        </w:rPr>
        <w:t xml:space="preserve">9. The Governance Gap in the Age of AI</w:t>
      </w:r>
    </w:p>
    <w:p>
      <w:pPr>
        <w:spacing w:after="120" w:line="276" w:lineRule="auto"/>
        <w:jc w:val="both"/>
      </w:pPr>
      <w:r>
        <w:rPr>
          <w:rFonts w:ascii="Georgia" w:cs="Georgia" w:eastAsia="Georgia" w:hAnsi="Georgia"/>
          <w:color w:val="1C1C2E"/>
          <w:sz w:val="22"/>
          <w:szCs w:val="22"/>
        </w:rPr>
        <w:t xml:space="preserve">Artificial intelligence is advancing faster than regulatory frameworks can adapt. Governments must simultaneously encourage innovation while ensuring transparency, accountability, and public safety. Traditional regulatory models struggle to keep pace with rapidly evolving technologies. What is required is adaptive governance infrastructure capable of monitoring systems in real time and translating constitutional principles into operational oversight.</w:t>
      </w:r>
    </w:p>
    <w:p>
      <w:pPr>
        <w:spacing w:after="80" w:line="260"/>
        <w:ind w:left="360"/>
      </w:pPr>
      <w:r>
        <w:rPr>
          <w:rFonts w:ascii="Arial" w:cs="Arial" w:eastAsia="Arial" w:hAnsi="Arial"/>
          <w:b/>
          <w:bCs/>
          <w:color w:val="8B6914"/>
          <w:sz w:val="20"/>
          <w:szCs w:val="20"/>
        </w:rPr>
        <w:t xml:space="preserve">Implications: </w:t>
      </w:r>
      <w:r>
        <w:rPr>
          <w:rFonts w:ascii="Georgia" w:cs="Georgia" w:eastAsia="Georgia" w:hAnsi="Georgia"/>
          <w:i/>
          <w:iCs/>
          <w:color w:val="0C1A2E"/>
          <w:sz w:val="20"/>
          <w:szCs w:val="20"/>
        </w:rPr>
        <w:t xml:space="preserve">This is not a future problem to be solved by a future institution. It is a current procurement requirement for governments in the EU, BRICS, Africa, and the Middle East right now. National security budgets move faster than any other category of government spending.</w:t>
      </w:r>
    </w:p>
    <w:p>
      <w:pPr>
        <w:spacing w:after="120"/>
      </w:pPr>
      <w:r>
        <w:rPr>
          <w:rFonts w:ascii="Arial" w:cs="Arial" w:eastAsia="Arial" w:hAnsi="Arial"/>
          <w:b/>
          <w:bCs/>
          <w:color w:val="7A7A8A"/>
          <w:sz w:val="18"/>
          <w:szCs w:val="18"/>
        </w:rPr>
        <w:t xml:space="preserve">G.O.D.S Response: </w:t>
      </w:r>
      <w:r>
        <w:rPr>
          <w:rFonts w:ascii="Arial" w:cs="Arial" w:eastAsia="Arial" w:hAnsi="Arial"/>
          <w:b/>
          <w:bCs/>
          <w:color w:val="7D502E"/>
          <w:sz w:val="18"/>
          <w:szCs w:val="18"/>
        </w:rPr>
        <w:t xml:space="preserve">UDOC</w:t>
      </w:r>
    </w:p>
    <w:p>
      <w:pPr>
        <w:spacing w:after="40"/>
      </w:pPr>
      <w:r>
        <w:t xml:space="preserve"/>
      </w:r>
    </w:p>
    <w:p>
      <w:pPr>
        <w:pStyle w:val="Heading2"/>
        <w:spacing w:before="320" w:after="120"/>
      </w:pPr>
      <w:r>
        <w:rPr>
          <w:rFonts w:ascii="Georgia" w:cs="Georgia" w:eastAsia="Georgia" w:hAnsi="Georgia"/>
          <w:b/>
          <w:bCs/>
          <w:color w:val="0C1A2E"/>
          <w:sz w:val="30"/>
          <w:szCs w:val="30"/>
        </w:rPr>
        <w:t xml:space="preserve">10. The Core Structural Misalignment</w:t>
      </w:r>
    </w:p>
    <w:p>
      <w:pPr>
        <w:spacing w:after="120" w:line="276" w:lineRule="auto"/>
        <w:jc w:val="both"/>
      </w:pPr>
      <w:r>
        <w:rPr>
          <w:rFonts w:ascii="Georgia" w:cs="Georgia" w:eastAsia="Georgia" w:hAnsi="Georgia"/>
          <w:color w:val="1C1C2E"/>
          <w:sz w:val="22"/>
          <w:szCs w:val="22"/>
        </w:rPr>
        <w:t xml:space="preserve">At the deepest level, the challenge facing civilization today can be summarised simply: technology evolves exponentially. Human systems evolve incrementally. This widening gap produces instability across labour markets, governance systems, infrastructure networks, and financial systems. The world does not lack technology. It lacks systems that integrate technology with society.</w:t>
      </w:r>
    </w:p>
    <w:p>
      <w:pPr>
        <w:spacing w:after="80" w:line="260"/>
        <w:ind w:left="360"/>
      </w:pPr>
      <w:r>
        <w:rPr>
          <w:rFonts w:ascii="Arial" w:cs="Arial" w:eastAsia="Arial" w:hAnsi="Arial"/>
          <w:b/>
          <w:bCs/>
          <w:color w:val="8B6914"/>
          <w:sz w:val="20"/>
          <w:szCs w:val="20"/>
        </w:rPr>
        <w:t xml:space="preserve">Implications: </w:t>
      </w:r>
      <w:r>
        <w:rPr>
          <w:rFonts w:ascii="Georgia" w:cs="Georgia" w:eastAsia="Georgia" w:hAnsi="Georgia"/>
          <w:i/>
          <w:iCs/>
          <w:color w:val="0C1A2E"/>
          <w:sz w:val="20"/>
          <w:szCs w:val="20"/>
        </w:rPr>
        <w:t xml:space="preserve">The central challenge of the 21st century is not simply technological development — it is institutional adaptation. G.O.D.S exists to address this challenge by building integrated systems that align technological progress with human development, governance, and economic infrastructure.</w:t>
      </w:r>
    </w:p>
    <w:p>
      <w:pPr>
        <w:spacing w:after="120"/>
      </w:pPr>
      <w:r>
        <w:rPr>
          <w:rFonts w:ascii="Arial" w:cs="Arial" w:eastAsia="Arial" w:hAnsi="Arial"/>
          <w:b/>
          <w:bCs/>
          <w:color w:val="7A7A8A"/>
          <w:sz w:val="18"/>
          <w:szCs w:val="18"/>
        </w:rPr>
        <w:t xml:space="preserve">G.O.D.S Response: </w:t>
      </w:r>
      <w:r>
        <w:rPr>
          <w:rFonts w:ascii="Arial" w:cs="Arial" w:eastAsia="Arial" w:hAnsi="Arial"/>
          <w:b/>
          <w:bCs/>
          <w:color w:val="152840"/>
          <w:sz w:val="18"/>
          <w:szCs w:val="18"/>
        </w:rPr>
        <w:t xml:space="preserve">Full System</w:t>
      </w:r>
    </w:p>
    <w:p>
      <w:pPr>
        <w:spacing w:after="40"/>
      </w:pPr>
      <w:r>
        <w:t xml:space="preserve"/>
      </w:r>
    </w:p>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3</w:t>
      </w:r>
    </w:p>
    <w:p>
      <w:pPr>
        <w:spacing w:after="20"/>
        <w:jc w:val="center"/>
      </w:pPr>
      <w:r>
        <w:rPr>
          <w:rFonts w:ascii="Georgia" w:cs="Georgia" w:eastAsia="Georgia" w:hAnsi="Georgia"/>
          <w:b/>
          <w:bCs/>
          <w:color w:val="060E1C"/>
          <w:sz w:val="40"/>
          <w:szCs w:val="40"/>
        </w:rPr>
        <w:t xml:space="preserve">Company Overview &amp; The Compounding Loop</w:t>
      </w:r>
    </w:p>
    <w:p>
      <w:pPr>
        <w:pBdr>
          <w:bottom w:val="single" w:color="C9A84C" w:sz="8" w:space="2"/>
        </w:pBdr>
        <w:spacing w:after="80"/>
      </w:pPr>
      <w:r>
        <w:t xml:space="preserve"/>
      </w:r>
    </w:p>
    <w:p>
      <w:pPr>
        <w:spacing w:after="1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Full Name</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G.O.D.S — Good Orderly Directional Systems</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Classification</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Global Systems Company — Civilization Infrastructure Platform for the AI Era</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Holding Structure</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G.O.D.S Holdings (Pty) Ltd (constitutional parent, mission custody) → G.O.D.S TS Holdings (Pty) Ltd (commercial engine, 8-division revenue conglomerate) + IP Trust (perpetual, non-sellable)</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Tagline</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“Built for generations — not quarters.”</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Mandate</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250 years</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Positioning</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Transition infrastructure for the AI era: combining workforce reintegration, sovereign digital governance, and production infrastructure in markets where institutional adaptation is lagging technological change.</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Comparables</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Palantir (governance technology) · BlackRock Infrastructure (capital deployment) · IFC (sovereign interface) · Siemens 1890s (ecosystem infrastructure creation)</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Headquarters</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Johannesburg, South Africa — primary proof-of-concept market and SADC regional gateway</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Founder</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Sashin J. Singh — Architect of all four systems. Design origin: 2016.</w:t>
            </w:r>
          </w:p>
        </w:tc>
      </w:tr>
    </w:tbl>
    <w:p>
      <w:pPr>
        <w:spacing w:after="120"/>
      </w:pPr>
      <w:r>
        <w:t xml:space="preserve"/>
      </w:r>
    </w:p>
    <w:p>
      <w:pPr>
        <w:pStyle w:val="Heading2"/>
        <w:spacing w:before="320" w:after="120"/>
      </w:pPr>
      <w:r>
        <w:rPr>
          <w:rFonts w:ascii="Georgia" w:cs="Georgia" w:eastAsia="Georgia" w:hAnsi="Georgia"/>
          <w:b/>
          <w:bCs/>
          <w:color w:val="0C1A2E"/>
          <w:sz w:val="30"/>
          <w:szCs w:val="30"/>
        </w:rPr>
        <w:t xml:space="preserve">The Compounding Loop</w:t>
      </w:r>
    </w:p>
    <w:p>
      <w:pPr>
        <w:spacing w:after="120" w:line="276" w:lineRule="auto"/>
        <w:jc w:val="both"/>
      </w:pPr>
      <w:r>
        <w:rPr>
          <w:rFonts w:ascii="Georgia" w:cs="Georgia" w:eastAsia="Georgia" w:hAnsi="Georgia"/>
          <w:color w:val="1C1C2E"/>
          <w:sz w:val="22"/>
          <w:szCs w:val="22"/>
        </w:rPr>
        <w:t xml:space="preserve">G.O.D.S is not a product company. It is a compounding loop. Each division performs a specific function within the broader architecture, and each reinforces the others through a continuous operational cycle. The system’s real strength emerges not from any individual division, but from the interaction between all four.</w:t>
      </w:r>
    </w:p>
    <w:p>
      <w:pPr>
        <w:pBdr>
          <w:top w:val="single" w:color="8B6914" w:sz="4" w:space="2"/>
          <w:left w:val="single" w:color="C9A84C" w:sz="12" w:space="8"/>
          <w:bottom w:val="single" w:color="8B6914" w:sz="4" w:space="2"/>
        </w:pBdr>
        <w:shd w:fill="FBF4E0" w:val="clear"/>
        <w:spacing w:before="120" w:after="120" w:line="276" w:lineRule="auto"/>
        <w:ind w:left="360" w:right="360"/>
        <w:jc w:val="both"/>
      </w:pPr>
      <w:r>
        <w:rPr>
          <w:rFonts w:ascii="Georgia" w:cs="Georgia" w:eastAsia="Georgia" w:hAnsi="Georgia"/>
          <w:i/>
          <w:iCs/>
          <w:color w:val="0C1A2E"/>
          <w:sz w:val="22"/>
          <w:szCs w:val="22"/>
        </w:rPr>
        <w:t xml:space="preserve">Most companies operate like this: product → sell product → profit. G.O.D.S operates like this: human capital → production → governance data → capital → back to human capital. That loop compounds. Each cycle produces four simultaneous outputs: workforce growth, infrastructure growth, governance capability, and capital attraction.</w:t>
      </w:r>
    </w:p>
    <w:p>
      <w:pPr>
        <w:spacing w:after="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1600"/>
        <w:gridCol w:w="3200"/>
        <w:gridCol w:w="3426"/>
      </w:tblGrid>
      <w:tr>
        <w:trPr>
          <w:tblHeader/>
        </w:trPr>
        <w:tc>
          <w:tcPr>
            <w:tcW w:type="dxa" w:w="8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Loop Stage</w:t>
            </w:r>
          </w:p>
        </w:tc>
        <w:tc>
          <w:tcPr>
            <w:tcW w:type="dxa" w:w="16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Division</w:t>
            </w:r>
          </w:p>
        </w:tc>
        <w:tc>
          <w:tcPr>
            <w:tcW w:type="dxa" w:w="32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What It Produces</w:t>
            </w:r>
          </w:p>
        </w:tc>
        <w:tc>
          <w:tcPr>
            <w:tcW w:type="dxa" w:w="3426"/>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What It Feeds Forward</w:t>
            </w:r>
          </w:p>
        </w:tc>
      </w:tr>
      <w:tr>
        <w:tc>
          <w:tcPr>
            <w:tcW w:type="dxa" w:w="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1</w:t>
            </w:r>
          </w:p>
        </w:tc>
        <w:tc>
          <w:tcPr>
            <w:tcW w:type="dxa" w:w="16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S.E.T.H.S</w:t>
            </w:r>
          </w:p>
        </w:tc>
        <w:tc>
          <w:tcPr>
            <w:tcW w:type="dxa" w:w="32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Certified, placed workforce from previously excluded populations</w:t>
            </w:r>
          </w:p>
        </w:tc>
        <w:tc>
          <w:tcPr>
            <w:tcW w:type="dxa" w:w="34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Labour supply for T.S — cheaper, verified, government-approved</w:t>
            </w:r>
          </w:p>
        </w:tc>
      </w:tr>
      <w:tr>
        <w:tc>
          <w:tcPr>
            <w:tcW w:type="dxa" w:w="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2</w:t>
            </w:r>
          </w:p>
        </w:tc>
        <w:tc>
          <w:tcPr>
            <w:tcW w:type="dxa" w:w="16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T.S</w:t>
            </w:r>
          </w:p>
        </w:tc>
        <w:tc>
          <w:tcPr>
            <w:tcW w:type="dxa" w:w="32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Infrastructure production: energy, housing, logistics, agri-tech, water</w:t>
            </w:r>
          </w:p>
        </w:tc>
        <w:tc>
          <w:tcPr>
            <w:tcW w:type="dxa" w:w="34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Revenue, assets, performance data for UDOC governance layer</w:t>
            </w:r>
          </w:p>
        </w:tc>
      </w:tr>
      <w:tr>
        <w:tc>
          <w:tcPr>
            <w:tcW w:type="dxa" w:w="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3</w:t>
            </w:r>
          </w:p>
        </w:tc>
        <w:tc>
          <w:tcPr>
            <w:tcW w:type="dxa" w:w="16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UDOC</w:t>
            </w:r>
          </w:p>
        </w:tc>
        <w:tc>
          <w:tcPr>
            <w:tcW w:type="dxa" w:w="32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Verified data assets: workforce outcomes, AI decisions, compliance records</w:t>
            </w:r>
          </w:p>
        </w:tc>
        <w:tc>
          <w:tcPr>
            <w:tcW w:type="dxa" w:w="34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Trust infrastructure enabling M.A.D.I.B.A capital structures</w:t>
            </w:r>
          </w:p>
        </w:tc>
      </w:tr>
      <w:tr>
        <w:tc>
          <w:tcPr>
            <w:tcW w:type="dxa" w:w="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4</w:t>
            </w:r>
          </w:p>
        </w:tc>
        <w:tc>
          <w:tcPr>
            <w:tcW w:type="dxa" w:w="16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M.A.D.I.B.A</w:t>
            </w:r>
          </w:p>
        </w:tc>
        <w:tc>
          <w:tcPr>
            <w:tcW w:type="dxa" w:w="32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Capital structures, sovereign partnerships, international mandates</w:t>
            </w:r>
          </w:p>
        </w:tc>
        <w:tc>
          <w:tcPr>
            <w:tcW w:type="dxa" w:w="34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Investment back into S.E.T.H.S expansion and T.S growth</w:t>
            </w:r>
          </w:p>
        </w:tc>
      </w:tr>
    </w:tbl>
    <w:p>
      <w:pPr>
        <w:spacing w:after="80"/>
      </w:pPr>
      <w:r>
        <w:t xml:space="preserve"/>
      </w:r>
    </w:p>
    <w:p>
      <w:pPr>
        <w:pStyle w:val="Heading3"/>
        <w:spacing w:before="240" w:after="80"/>
      </w:pPr>
      <w:r>
        <w:rPr>
          <w:rFonts w:ascii="Arial" w:cs="Arial" w:eastAsia="Arial" w:hAnsi="Arial"/>
          <w:b/>
          <w:bCs/>
          <w:color w:val="8B6914"/>
          <w:sz w:val="24"/>
          <w:szCs w:val="24"/>
        </w:rPr>
        <w:t xml:space="preserve">The Closed Labour Pipeline: A Structural Competitive Advantage</w:t>
      </w:r>
    </w:p>
    <w:p>
      <w:pPr>
        <w:spacing w:after="120" w:line="276" w:lineRule="auto"/>
        <w:jc w:val="both"/>
      </w:pPr>
      <w:r>
        <w:rPr>
          <w:rFonts w:ascii="Georgia" w:cs="Georgia" w:eastAsia="Georgia" w:hAnsi="Georgia"/>
          <w:color w:val="1C1C2E"/>
          <w:sz w:val="22"/>
          <w:szCs w:val="22"/>
        </w:rPr>
        <w:t xml:space="preserve">Consider a renewable energy company that must hire workers from the open market. G.O.D.S has a structurally different position: S.E.T.H.S certifies the workforce, T.S employs it directly. T.S receives cheaper labour acquisition, verified behavioural records, and government-approved employment programme credentials — simultaneously.</w:t>
      </w:r>
    </w:p>
    <w:p>
      <w:pPr>
        <w:spacing w:after="120" w:line="276" w:lineRule="auto"/>
        <w:jc w:val="both"/>
      </w:pPr>
      <w:r>
        <w:rPr>
          <w:rFonts w:ascii="Georgia" w:cs="Georgia" w:eastAsia="Georgia" w:hAnsi="Georgia"/>
          <w:color w:val="1C1C2E"/>
          <w:sz w:val="22"/>
          <w:szCs w:val="22"/>
        </w:rPr>
        <w:t xml:space="preserve">No single competitor can replicate this architecture because it requires both divisions operating simultaneously. A workforce programme without the employment destination is a training programme. An infrastructure company without the workforce pipeline is a conventional contractor. Together, they form a closed system that compounds with every cycle.</w:t>
      </w:r>
    </w:p>
    <w:p>
      <w:pPr>
        <w:pStyle w:val="Heading3"/>
        <w:spacing w:before="240" w:after="80"/>
      </w:pPr>
      <w:r>
        <w:rPr>
          <w:rFonts w:ascii="Arial" w:cs="Arial" w:eastAsia="Arial" w:hAnsi="Arial"/>
          <w:b/>
          <w:bCs/>
          <w:color w:val="8B6914"/>
          <w:sz w:val="24"/>
          <w:szCs w:val="24"/>
        </w:rPr>
        <w:t xml:space="preserve">Historical Comparables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000"/>
        <w:gridCol w:w="6226"/>
      </w:tblGrid>
      <w:tr>
        <w:trPr>
          <w:tblHeader/>
        </w:trPr>
        <w:tc>
          <w:tcPr>
            <w:tcW w:type="dxa" w:w="18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Institution</w:t>
            </w:r>
          </w:p>
        </w:tc>
        <w:tc>
          <w:tcPr>
            <w:tcW w:type="dxa" w:w="10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Era</w:t>
            </w:r>
          </w:p>
        </w:tc>
        <w:tc>
          <w:tcPr>
            <w:tcW w:type="dxa" w:w="6226"/>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How They Compounded</w:t>
            </w:r>
          </w:p>
        </w:tc>
      </w:tr>
      <w:tr>
        <w:tc>
          <w:tcPr>
            <w:tcW w:type="dxa" w:w="1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Siemens</w:t>
            </w:r>
          </w:p>
        </w:tc>
        <w:tc>
          <w:tcPr>
            <w:tcW w:type="dxa" w:w="10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1800s</w:t>
            </w:r>
          </w:p>
        </w:tc>
        <w:tc>
          <w:tcPr>
            <w:tcW w:type="dxa" w:w="6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Built rail + electrical systems. Created industrial ecosystems, not products.</w:t>
            </w:r>
          </w:p>
        </w:tc>
      </w:tr>
      <w:tr>
        <w:tc>
          <w:tcPr>
            <w:tcW w:type="dxa" w:w="1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Mitsubishi</w:t>
            </w:r>
          </w:p>
        </w:tc>
        <w:tc>
          <w:tcPr>
            <w:tcW w:type="dxa" w:w="10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1900s</w:t>
            </w:r>
          </w:p>
        </w:tc>
        <w:tc>
          <w:tcPr>
            <w:tcW w:type="dxa" w:w="62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Finance → shipping → manufacturing → national infrastructure. Each domain fed the next.</w:t>
            </w:r>
          </w:p>
        </w:tc>
      </w:tr>
      <w:tr>
        <w:tc>
          <w:tcPr>
            <w:tcW w:type="dxa" w:w="1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Samsung</w:t>
            </w:r>
          </w:p>
        </w:tc>
        <w:tc>
          <w:tcPr>
            <w:tcW w:type="dxa" w:w="10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1960s+</w:t>
            </w:r>
          </w:p>
        </w:tc>
        <w:tc>
          <w:tcPr>
            <w:tcW w:type="dxa" w:w="6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Electronics → industrial supply chains → national infrastructure. Became an economic ecosystem.</w:t>
            </w:r>
          </w:p>
        </w:tc>
      </w:tr>
      <w:tr>
        <w:tc>
          <w:tcPr>
            <w:tcW w:type="dxa" w:w="1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G.O.D.S</w:t>
            </w:r>
          </w:p>
        </w:tc>
        <w:tc>
          <w:tcPr>
            <w:tcW w:type="dxa" w:w="10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2026+</w:t>
            </w:r>
          </w:p>
        </w:tc>
        <w:tc>
          <w:tcPr>
            <w:tcW w:type="dxa" w:w="62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Human capital at the start of the loop. Every other system flows from workforce development and governance.</w:t>
            </w:r>
          </w:p>
        </w:tc>
      </w:tr>
    </w:tbl>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4</w:t>
      </w:r>
    </w:p>
    <w:p>
      <w:pPr>
        <w:spacing w:after="20"/>
        <w:jc w:val="center"/>
      </w:pPr>
      <w:r>
        <w:rPr>
          <w:rFonts w:ascii="Georgia" w:cs="Georgia" w:eastAsia="Georgia" w:hAnsi="Georgia"/>
          <w:b/>
          <w:bCs/>
          <w:color w:val="060E1C"/>
          <w:sz w:val="40"/>
          <w:szCs w:val="40"/>
        </w:rPr>
        <w:t xml:space="preserve">The Four Systems</w:t>
      </w:r>
    </w:p>
    <w:p>
      <w:pPr>
        <w:pBdr>
          <w:bottom w:val="single" w:color="C9A84C" w:sz="8" w:space="2"/>
        </w:pBdr>
        <w:spacing w:after="80"/>
      </w:pPr>
      <w:r>
        <w:t xml:space="preserve"/>
      </w:r>
    </w:p>
    <w:p>
      <w:pPr>
        <w:spacing w:after="160"/>
      </w:pPr>
      <w:r>
        <w:t xml:space="preserve"/>
      </w:r>
    </w:p>
    <w:p>
      <w:pPr>
        <w:pStyle w:val="Heading2"/>
        <w:spacing w:before="320" w:after="120"/>
      </w:pPr>
      <w:r>
        <w:rPr>
          <w:rFonts w:ascii="Georgia" w:cs="Georgia" w:eastAsia="Georgia" w:hAnsi="Georgia"/>
          <w:b/>
          <w:bCs/>
          <w:color w:val="0C1A2E"/>
          <w:sz w:val="30"/>
          <w:szCs w:val="30"/>
        </w:rPr>
        <w:t xml:space="preserve">S.E.T.H.S — Human Capital Infrastructure</w:t>
      </w:r>
    </w:p>
    <w:p>
      <w:pPr>
        <w:spacing w:after="40"/>
      </w:pPr>
      <w:r>
        <w:rPr>
          <w:rFonts w:ascii="Arial" w:cs="Arial" w:eastAsia="Arial" w:hAnsi="Arial"/>
          <w:b/>
          <w:bCs/>
          <w:color w:val="8B6914"/>
          <w:spacing w:val="60"/>
          <w:sz w:val="16"/>
          <w:szCs w:val="16"/>
        </w:rPr>
        <w:t xml:space="preserve">SYSTEMATICALLY ENGINEERED TO HINDER SPECULATORS</w:t>
      </w:r>
    </w:p>
    <w:p>
      <w:pPr>
        <w:spacing w:after="60"/>
      </w:pPr>
      <w:r>
        <w:t xml:space="preserve"/>
      </w:r>
    </w:p>
    <w:p>
      <w:pPr>
        <w:spacing w:after="120" w:line="276" w:lineRule="auto"/>
        <w:jc w:val="both"/>
      </w:pPr>
      <w:r>
        <w:rPr>
          <w:rFonts w:ascii="Georgia" w:cs="Georgia" w:eastAsia="Georgia" w:hAnsi="Georgia"/>
          <w:color w:val="1C1C2E"/>
          <w:sz w:val="22"/>
          <w:szCs w:val="22"/>
        </w:rPr>
        <w:t xml:space="preserve">S.E.T.H.S is the workforce reintegration and transition engine for populations that current labour markets systematically underuse or exclude. In the context of the AI era, this includes not only the traditionally excluded — long-term unemployed, addiction recovery, ex-offenders, educationally disadvantaged — but also the newly displaced: mid-skill workers whose roles have been automated, entry-level workers whose positions have been eliminated, and young workforce entrants who find no entry points available.</w:t>
      </w:r>
    </w:p>
    <w:p>
      <w:pPr>
        <w:spacing w:after="120" w:line="276" w:lineRule="auto"/>
        <w:jc w:val="both"/>
      </w:pPr>
      <w:r>
        <w:rPr>
          <w:rFonts w:ascii="Georgia" w:cs="Georgia" w:eastAsia="Georgia" w:hAnsi="Georgia"/>
          <w:color w:val="1C1C2E"/>
          <w:sz w:val="22"/>
          <w:szCs w:val="22"/>
        </w:rPr>
        <w:t xml:space="preserve">S.E.T.H.S is an answer to AI-era transition failure. It is not a charity programme. It is workforce infrastructure.</w:t>
      </w:r>
    </w:p>
    <w:p>
      <w:pPr>
        <w:pStyle w:val="Heading3"/>
        <w:spacing w:before="240" w:after="80"/>
      </w:pPr>
      <w:r>
        <w:rPr>
          <w:rFonts w:ascii="Arial" w:cs="Arial" w:eastAsia="Arial" w:hAnsi="Arial"/>
          <w:b/>
          <w:bCs/>
          <w:color w:val="8B6914"/>
          <w:sz w:val="24"/>
          <w:szCs w:val="24"/>
        </w:rPr>
        <w:t xml:space="preserve">The Six-Phase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2000"/>
        <w:gridCol w:w="6226"/>
      </w:tblGrid>
      <w:tr>
        <w:trPr>
          <w:tblHeader/>
        </w:trPr>
        <w:tc>
          <w:tcPr>
            <w:tcW w:type="dxa" w:w="8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Phase</w:t>
            </w:r>
          </w:p>
        </w:tc>
        <w:tc>
          <w:tcPr>
            <w:tcW w:type="dxa" w:w="20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Name</w:t>
            </w:r>
          </w:p>
        </w:tc>
        <w:tc>
          <w:tcPr>
            <w:tcW w:type="dxa" w:w="6226"/>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Function</w:t>
            </w:r>
          </w:p>
        </w:tc>
      </w:tr>
      <w:tr>
        <w:tc>
          <w:tcPr>
            <w:tcW w:type="dxa" w:w="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1</w:t>
            </w:r>
          </w:p>
        </w:tc>
        <w:tc>
          <w:tcPr>
            <w:tcW w:type="dxa" w:w="20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Eligibility Gate</w:t>
            </w:r>
          </w:p>
        </w:tc>
        <w:tc>
          <w:tcPr>
            <w:tcW w:type="dxa" w:w="6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Structured intake, legal compliance verification, fraud prevention, basic needs assessment</w:t>
            </w:r>
          </w:p>
        </w:tc>
      </w:tr>
      <w:tr>
        <w:tc>
          <w:tcPr>
            <w:tcW w:type="dxa" w:w="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2</w:t>
            </w:r>
          </w:p>
        </w:tc>
        <w:tc>
          <w:tcPr>
            <w:tcW w:type="dxa" w:w="20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Truth Assessment</w:t>
            </w:r>
          </w:p>
        </w:tc>
        <w:tc>
          <w:tcPr>
            <w:tcW w:type="dxa" w:w="62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Psychological readiness evaluation, addiction recovery status, motivation assessment</w:t>
            </w:r>
          </w:p>
        </w:tc>
      </w:tr>
      <w:tr>
        <w:tc>
          <w:tcPr>
            <w:tcW w:type="dxa" w:w="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3</w:t>
            </w:r>
          </w:p>
        </w:tc>
        <w:tc>
          <w:tcPr>
            <w:tcW w:type="dxa" w:w="20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Psychometric Profiling</w:t>
            </w:r>
          </w:p>
        </w:tc>
        <w:tc>
          <w:tcPr>
            <w:tcW w:type="dxa" w:w="6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Behavioural, cognitive, and skills mapping. Role matching. Learning style assessment.</w:t>
            </w:r>
          </w:p>
        </w:tc>
      </w:tr>
      <w:tr>
        <w:tc>
          <w:tcPr>
            <w:tcW w:type="dxa" w:w="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4</w:t>
            </w:r>
          </w:p>
        </w:tc>
        <w:tc>
          <w:tcPr>
            <w:tcW w:type="dxa" w:w="20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SDU Training</w:t>
            </w:r>
          </w:p>
        </w:tc>
        <w:tc>
          <w:tcPr>
            <w:tcW w:type="dxa" w:w="62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Skill Development Unit. Role-specific certification. Minimum 90-day structured programme.</w:t>
            </w:r>
          </w:p>
        </w:tc>
      </w:tr>
      <w:tr>
        <w:tc>
          <w:tcPr>
            <w:tcW w:type="dxa" w:w="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5</w:t>
            </w:r>
          </w:p>
        </w:tc>
        <w:tc>
          <w:tcPr>
            <w:tcW w:type="dxa" w:w="20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Employment Placement</w:t>
            </w:r>
          </w:p>
        </w:tc>
        <w:tc>
          <w:tcPr>
            <w:tcW w:type="dxa" w:w="6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Direct pipeline into T.S infrastructure projects and partner employer network</w:t>
            </w:r>
          </w:p>
        </w:tc>
      </w:tr>
      <w:tr>
        <w:tc>
          <w:tcPr>
            <w:tcW w:type="dxa" w:w="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6</w:t>
            </w:r>
          </w:p>
        </w:tc>
        <w:tc>
          <w:tcPr>
            <w:tcW w:type="dxa" w:w="20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Post-Placement Monitoring</w:t>
            </w:r>
          </w:p>
        </w:tc>
        <w:tc>
          <w:tcPr>
            <w:tcW w:type="dxa" w:w="62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90-day performance tracking, escalation protocol, outcome data for UDOC governance</w:t>
            </w:r>
          </w:p>
        </w:tc>
      </w:tr>
    </w:tbl>
    <w:p>
      <w:pPr>
        <w:spacing w:after="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Revenue Model</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Government workforce contracts · Corporate SaaS (employer dashboard and certification management) · Certification licensing (third-party employers) · Behavioural data analytics (anonymised, sovereignty-protected) · Success-fee placement arrangements</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Year 1 Target</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25 participants placed · 3 government LOIs signed · R2M contract pipeline established</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Strategic Role</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Lowest cost, highest social credibility entry point for the full G.O.D.S system. Generates government trust, behavioural data, and political support before any other division is visible.</w:t>
            </w:r>
          </w:p>
        </w:tc>
      </w:tr>
    </w:tbl>
    <w:p>
      <w:pPr>
        <w:spacing w:after="120"/>
      </w:pPr>
      <w:r>
        <w:t xml:space="preserve"/>
      </w:r>
    </w:p>
    <w:p>
      <w:pPr>
        <w:pStyle w:val="Heading2"/>
        <w:spacing w:before="320" w:after="120"/>
      </w:pPr>
      <w:r>
        <w:rPr>
          <w:rFonts w:ascii="Georgia" w:cs="Georgia" w:eastAsia="Georgia" w:hAnsi="Georgia"/>
          <w:b/>
          <w:bCs/>
          <w:color w:val="0C1A2E"/>
          <w:sz w:val="30"/>
          <w:szCs w:val="30"/>
        </w:rPr>
        <w:t xml:space="preserve">T.S — The Technological Sector</w:t>
      </w:r>
    </w:p>
    <w:p>
      <w:pPr>
        <w:spacing w:after="40"/>
      </w:pPr>
      <w:r>
        <w:rPr>
          <w:rFonts w:ascii="Arial" w:cs="Arial" w:eastAsia="Arial" w:hAnsi="Arial"/>
          <w:b/>
          <w:bCs/>
          <w:color w:val="8B6914"/>
          <w:spacing w:val="60"/>
          <w:sz w:val="16"/>
          <w:szCs w:val="16"/>
        </w:rPr>
        <w:t xml:space="preserve">PRODUCTION &amp; ENGINEERING INFRASTRUCTURE</w:t>
      </w:r>
    </w:p>
    <w:p>
      <w:pPr>
        <w:spacing w:after="60"/>
      </w:pPr>
      <w:r>
        <w:t xml:space="preserve"/>
      </w:r>
    </w:p>
    <w:p>
      <w:pPr>
        <w:spacing w:after="120" w:line="276" w:lineRule="auto"/>
        <w:jc w:val="both"/>
      </w:pPr>
      <w:r>
        <w:rPr>
          <w:rFonts w:ascii="Georgia" w:cs="Georgia" w:eastAsia="Georgia" w:hAnsi="Georgia"/>
          <w:color w:val="1C1C2E"/>
          <w:sz w:val="22"/>
          <w:szCs w:val="22"/>
        </w:rPr>
        <w:t xml:space="preserve">T.S is the industrial production engine of the G.O.D.S architecture. It builds and operates the physical and technological infrastructure that the AI era demands: energy systems, housing infrastructure, logistics networks, agricultural technology, water management, and the digital infrastructure that AI systems require. It absorbs the S.E.T.H.S-certified workforce and deploys it into infrastructure projects that generate economic output and measurable social value.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Core Verticals</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Renewable energy micro-grids · Affordable housing systems · Agricultural infrastructure and agri-tech · Water management and purification · Logistics and cold-chain infrastructure · Data centre and digital infrastructure (sovereign, AI-ready)</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Labour Advantage</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S.E.T.H.S graduates enter T.S with verified behavioural records, role-specific certification, and government employment programme approval. Labour acquisition cost is structurally lower than any market alternative. No external company can replicate this because it requires both divisions operating simultaneously.</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AI Energy Relevance</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IEA data: data-centre power demand is doubling by 2030. T.S is positioned to build and operate the sovereign energy and digital infrastructure that AI requires — in jurisdictions where foreign providers cannot or will not operate.</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Revenue Model</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Government infrastructure contracts · Technology licensing · SPV equity (revenue-backed, ring-fenced) · Energy off-take agreements · Maintenance and operations contracts</w:t>
            </w:r>
          </w:p>
        </w:tc>
      </w:tr>
    </w:tbl>
    <w:p>
      <w:pPr>
        <w:spacing w:after="120"/>
      </w:pPr>
      <w:r>
        <w:t xml:space="preserve"/>
      </w:r>
    </w:p>
    <w:p>
      <w:pPr>
        <w:pStyle w:val="Heading2"/>
        <w:spacing w:before="320" w:after="120"/>
      </w:pPr>
      <w:r>
        <w:rPr>
          <w:rFonts w:ascii="Georgia" w:cs="Georgia" w:eastAsia="Georgia" w:hAnsi="Georgia"/>
          <w:b/>
          <w:bCs/>
          <w:color w:val="0C1A2E"/>
          <w:sz w:val="30"/>
          <w:szCs w:val="30"/>
        </w:rPr>
        <w:t xml:space="preserve">M.A.D.I.B.A — Capital &amp; Sovereign Interface</w:t>
      </w:r>
    </w:p>
    <w:p>
      <w:pPr>
        <w:spacing w:after="40"/>
      </w:pPr>
      <w:r>
        <w:rPr>
          <w:rFonts w:ascii="Arial" w:cs="Arial" w:eastAsia="Arial" w:hAnsi="Arial"/>
          <w:b/>
          <w:bCs/>
          <w:color w:val="8B6914"/>
          <w:spacing w:val="60"/>
          <w:sz w:val="16"/>
          <w:szCs w:val="16"/>
        </w:rPr>
        <w:t xml:space="preserve">MY AFRICAN DREAM IS BEING ACHIEVED</w:t>
      </w:r>
    </w:p>
    <w:p>
      <w:pPr>
        <w:spacing w:after="60"/>
      </w:pPr>
      <w:r>
        <w:t xml:space="preserve"/>
      </w:r>
    </w:p>
    <w:p>
      <w:pPr>
        <w:spacing w:after="120" w:line="276" w:lineRule="auto"/>
        <w:jc w:val="both"/>
      </w:pPr>
      <w:r>
        <w:rPr>
          <w:rFonts w:ascii="Georgia" w:cs="Georgia" w:eastAsia="Georgia" w:hAnsi="Georgia"/>
          <w:color w:val="1C1C2E"/>
          <w:sz w:val="22"/>
          <w:szCs w:val="22"/>
        </w:rPr>
        <w:t xml:space="preserve">M.A.D.I.B.A is the strategic coordination and capital deployment arm of the G.O.D.S architecture. It coordinates long-term capital with infrastructure opportunities capable of delivering both economic productivity and social stability. It operates as the global scaling mechanism — introduced only after operational credibility has been established through the other three systems.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Fund Structure</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GP-managed fund: 2% management fee + 20% carry above 8% hurdle rate. First close target: Year 3. Sovereign SPV structures: 51%+ government equity, 49% G.O.D.S maximum.</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Capital Partners</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African development banks · IFC · Sovereign wealth funds · Pension funds · Private equity infrastructure · BRICS development institutions · Impact capital (SDG-aligned)</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Why It Matters Now</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OECD sovereign debt: $61 trillion outstanding. Governments need infrastructure investment precisely when they have least fiscal room. M.A.D.I.B.A provides structured vehicles that allow infrastructure investment without adding to sovereign debt ratios.</w:t>
            </w:r>
          </w:p>
        </w:tc>
      </w:tr>
    </w:tbl>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5</w:t>
      </w:r>
    </w:p>
    <w:p>
      <w:pPr>
        <w:spacing w:after="20"/>
        <w:jc w:val="center"/>
      </w:pPr>
      <w:r>
        <w:rPr>
          <w:rFonts w:ascii="Georgia" w:cs="Georgia" w:eastAsia="Georgia" w:hAnsi="Georgia"/>
          <w:b/>
          <w:bCs/>
          <w:color w:val="060E1C"/>
          <w:sz w:val="40"/>
          <w:szCs w:val="40"/>
        </w:rPr>
        <w:t xml:space="preserve">UDOC — The Central Nervous System</w:t>
      </w:r>
    </w:p>
    <w:p>
      <w:pPr>
        <w:pBdr>
          <w:bottom w:val="single" w:color="C9A84C" w:sz="8" w:space="2"/>
        </w:pBdr>
        <w:spacing w:after="80"/>
      </w:pPr>
      <w:r>
        <w:t xml:space="preserve"/>
      </w:r>
    </w:p>
    <w:p>
      <w:pPr>
        <w:spacing w:after="160"/>
      </w:pPr>
      <w:r>
        <w:t xml:space="preserve"/>
      </w:r>
    </w:p>
    <w:p>
      <w:pPr>
        <w:spacing w:after="120" w:line="276" w:lineRule="auto"/>
        <w:jc w:val="both"/>
      </w:pPr>
      <w:r>
        <w:rPr>
          <w:rFonts w:ascii="Georgia" w:cs="Georgia" w:eastAsia="Georgia" w:hAnsi="Georgia"/>
          <w:color w:val="1C1C2E"/>
          <w:sz w:val="22"/>
          <w:szCs w:val="22"/>
        </w:rPr>
        <w:t xml:space="preserve">UDOC is the most immediately commercially legible part of the G.O.D.S architecture because it addresses the problem governments are most urgently spending money on right now: AI governance, data sovereignty, and national security infrastructure.</w:t>
      </w:r>
    </w:p>
    <w:p>
      <w:pPr>
        <w:pStyle w:val="Heading2"/>
        <w:spacing w:before="320" w:after="120"/>
      </w:pPr>
      <w:r>
        <w:rPr>
          <w:rFonts w:ascii="Georgia" w:cs="Georgia" w:eastAsia="Georgia" w:hAnsi="Georgia"/>
          <w:b/>
          <w:bCs/>
          <w:color w:val="0C1A2E"/>
          <w:sz w:val="30"/>
          <w:szCs w:val="30"/>
        </w:rPr>
        <w:t xml:space="preserve">The Government Problem</w:t>
      </w:r>
    </w:p>
    <w:p>
      <w:pPr>
        <w:spacing w:after="120" w:line="276" w:lineRule="auto"/>
        <w:jc w:val="both"/>
      </w:pPr>
      <w:r>
        <w:rPr>
          <w:rFonts w:ascii="Georgia" w:cs="Georgia" w:eastAsia="Georgia" w:hAnsi="Georgia"/>
          <w:color w:val="1C1C2E"/>
          <w:sz w:val="22"/>
          <w:szCs w:val="22"/>
        </w:rPr>
        <w:t xml:space="preserve">Most critical national systems currently run on infrastructure owned by Amazon AWS, Microsoft Azure, or Google Cloud. This means government data is stored in private foreign cloud systems, under foreign legal frameworks, with foreign law enforcement access provisions. The US CLOUD Act grants American law enforcement access to data held by American cloud providers regardless of where the servers are physically located. For a government that has made sovereignty guarantees to its citizens, this is a structural contradiction.</w:t>
      </w:r>
    </w:p>
    <w:p>
      <w:pPr>
        <w:pBdr>
          <w:top w:val="single" w:color="8B6914" w:sz="4" w:space="2"/>
          <w:left w:val="single" w:color="C9A84C" w:sz="12" w:space="8"/>
          <w:bottom w:val="single" w:color="8B6914" w:sz="4" w:space="2"/>
        </w:pBdr>
        <w:shd w:fill="FBF4E0" w:val="clear"/>
        <w:spacing w:before="120" w:after="120" w:line="276" w:lineRule="auto"/>
        <w:ind w:left="360" w:right="360"/>
        <w:jc w:val="both"/>
      </w:pPr>
      <w:r>
        <w:rPr>
          <w:rFonts w:ascii="Georgia" w:cs="Georgia" w:eastAsia="Georgia" w:hAnsi="Georgia"/>
          <w:i/>
          <w:iCs/>
          <w:color w:val="0C1A2E"/>
          <w:sz w:val="22"/>
          <w:szCs w:val="22"/>
        </w:rPr>
        <w:t xml:space="preserve">BRICS nations, African governments, Middle Eastern governments, and parts of Europe are actively seeking sovereign alternatives. This is not a future trend. It is a current government procurement priority, funded through national security budgets — which are significantly larger and faster to approve than any other government budget category.</w:t>
      </w:r>
    </w:p>
    <w:p>
      <w:pPr>
        <w:spacing w:after="120" w:line="276" w:lineRule="auto"/>
        <w:jc w:val="both"/>
      </w:pPr>
      <w:r>
        <w:rPr>
          <w:rFonts w:ascii="Georgia" w:cs="Georgia" w:eastAsia="Georgia" w:hAnsi="Georgia"/>
          <w:color w:val="1C1C2E"/>
          <w:sz w:val="22"/>
          <w:szCs w:val="22"/>
        </w:rPr>
        <w:t xml:space="preserve">Consider the distinction: S.E.T.H.S is a social programme. T.S is an infrastructure company. M.A.D.I.B.A is a partnership network. UDOC is national security infrastructure. National security budgets move faster.</w:t>
      </w:r>
    </w:p>
    <w:p>
      <w:pPr>
        <w:pStyle w:val="Heading2"/>
        <w:spacing w:before="320" w:after="120"/>
      </w:pPr>
      <w:r>
        <w:rPr>
          <w:rFonts w:ascii="Georgia" w:cs="Georgia" w:eastAsia="Georgia" w:hAnsi="Georgia"/>
          <w:b/>
          <w:bCs/>
          <w:color w:val="0C1A2E"/>
          <w:sz w:val="30"/>
          <w:szCs w:val="30"/>
        </w:rPr>
        <w:t xml:space="preserve">What UDOC Provides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AI System Registry</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Every AI system operating within the client’s jurisdiction is registered before deployment. Full documentation: system name and version, owner organisation, training data description and provenance, risk classification, prohibited uses, human oversight requirements. Unregistered deployment triggers automatic compliance alert.</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Explainability Engine</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Every AI decision produces a cryptographically signed, tamper-evident, human-readable explanation. When a welfare application is denied algorithmically, the applicant can access a structured explanation. When a regulator audits a financial decision, the technical record exists.</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Bias Detection</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Continuous statistical parity monitoring across protected attribute groups. Counterfactual testing: does changing protected attribute while holding other factors constant change the decision? Individual fairness monitoring. Automated escalation on persistent bias detection.</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Sovereign Data Custody</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Client holds master encryption keys. G.O.D.S retains zero data after contract termination. All processing occurs within client’s legal jurisdiction. No foreign cloud at any tier. Deletion certificate with cryptographic proof issued on contract end.</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Compliance Automation</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One-click regulatory audit reports. EU AI Act, OECD AI Principles, ISO/IEC 42001, NIST AI RMF, POPIA, GDPR Article 22. Report generation: &lt;60 seconds for standard compliance report.</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Quantum-Ready Architecture</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NIST PQC-compliant from inception: CRYSTALS-Kyber (key encapsulation), CRYSTALS-Dilithium (digital signatures), SPHINCS+ (long-term archive signing). Clients avoid forced migration when quantum computing becomes adversarially relevant. This is a built-in, not a retrofit.</w:t>
            </w:r>
          </w:p>
        </w:tc>
      </w:tr>
    </w:tbl>
    <w:p>
      <w:pPr>
        <w:spacing w:after="80"/>
      </w:pPr>
      <w:r>
        <w:t xml:space="preserve"/>
      </w:r>
    </w:p>
    <w:p>
      <w:pPr>
        <w:pStyle w:val="Heading2"/>
        <w:spacing w:before="320" w:after="120"/>
      </w:pPr>
      <w:r>
        <w:rPr>
          <w:rFonts w:ascii="Georgia" w:cs="Georgia" w:eastAsia="Georgia" w:hAnsi="Georgia"/>
          <w:b/>
          <w:bCs/>
          <w:color w:val="0C1A2E"/>
          <w:sz w:val="30"/>
          <w:szCs w:val="30"/>
        </w:rPr>
        <w:t xml:space="preserve">UDOC as System Spine</w:t>
      </w:r>
    </w:p>
    <w:p>
      <w:pPr>
        <w:spacing w:after="120" w:line="276" w:lineRule="auto"/>
        <w:jc w:val="both"/>
      </w:pPr>
      <w:r>
        <w:rPr>
          <w:rFonts w:ascii="Georgia" w:cs="Georgia" w:eastAsia="Georgia" w:hAnsi="Georgia"/>
          <w:color w:val="1C1C2E"/>
          <w:sz w:val="22"/>
          <w:szCs w:val="22"/>
        </w:rPr>
        <w:t xml:space="preserve">Even if UDOC is not the first product presented publicly, it is the technical spine of the entire G.O.D.S architecture. Every other system produces data that requires governance.</w:t>
      </w:r>
    </w:p>
    <w:p>
      <w:pPr>
        <w:pStyle w:val="ListParagraph"/>
        <w:numPr>
          <w:ilvl w:val="0"/>
          <w:numId w:val="2"/>
        </w:numPr>
        <w:spacing w:after="80" w:line="260" w:lineRule="auto"/>
      </w:pPr>
      <w:r>
        <w:rPr>
          <w:rFonts w:ascii="Georgia" w:cs="Georgia" w:eastAsia="Georgia" w:hAnsi="Georgia"/>
          <w:color w:val="1C1C2E"/>
          <w:sz w:val="22"/>
          <w:szCs w:val="22"/>
        </w:rPr>
        <w:t xml:space="preserve">S.E.T.H.S produces workforce outcome data — participant progress, placement records, behavioural patterns, employer feedback</w:t>
      </w:r>
    </w:p>
    <w:p>
      <w:pPr>
        <w:pStyle w:val="ListParagraph"/>
        <w:numPr>
          <w:ilvl w:val="0"/>
          <w:numId w:val="2"/>
        </w:numPr>
        <w:spacing w:after="80" w:line="260" w:lineRule="auto"/>
      </w:pPr>
      <w:r>
        <w:rPr>
          <w:rFonts w:ascii="Georgia" w:cs="Georgia" w:eastAsia="Georgia" w:hAnsi="Georgia"/>
          <w:color w:val="1C1C2E"/>
          <w:sz w:val="22"/>
          <w:szCs w:val="22"/>
        </w:rPr>
        <w:t xml:space="preserve">T.S produces infrastructure performance data — project timelines, energy output, logistics efficiency, workforce productivity</w:t>
      </w:r>
    </w:p>
    <w:p>
      <w:pPr>
        <w:pStyle w:val="ListParagraph"/>
        <w:numPr>
          <w:ilvl w:val="0"/>
          <w:numId w:val="2"/>
        </w:numPr>
        <w:spacing w:after="80" w:line="260" w:lineRule="auto"/>
      </w:pPr>
      <w:r>
        <w:rPr>
          <w:rFonts w:ascii="Georgia" w:cs="Georgia" w:eastAsia="Georgia" w:hAnsi="Georgia"/>
          <w:color w:val="1C1C2E"/>
          <w:sz w:val="22"/>
          <w:szCs w:val="22"/>
        </w:rPr>
        <w:t xml:space="preserve">M.A.D.I.B.A produces investment oversight data — fund performance, SPV returns, sovereign partnership metrics</w:t>
      </w:r>
    </w:p>
    <w:p>
      <w:pPr>
        <w:spacing w:after="120" w:line="276" w:lineRule="auto"/>
        <w:jc w:val="both"/>
      </w:pPr>
      <w:r>
        <w:rPr>
          <w:rFonts w:ascii="Georgia" w:cs="Georgia" w:eastAsia="Georgia" w:hAnsi="Georgia"/>
          <w:color w:val="1C1C2E"/>
          <w:sz w:val="22"/>
          <w:szCs w:val="22"/>
        </w:rPr>
        <w:t xml:space="preserve">UDOC governs all of it. Once UDOC is credible, the rest of the system becomes easier to introduce. Because you now have government trust, data infrastructure, and institutional contracts. Then you introduce S.E.T.H.S workforce integration, T.S infrastructure deployment, and M.A.D.I.B.A capital partnerships — gradually, with established institutional trust already in place.</w:t>
      </w:r>
    </w:p>
    <w:p>
      <w:pPr>
        <w:spacing w:after="80"/>
      </w:pPr>
      <w:r>
        <w:t xml:space="preserve"/>
      </w:r>
    </w:p>
    <w:p>
      <w:pPr>
        <w:pStyle w:val="Heading2"/>
        <w:spacing w:before="320" w:after="120"/>
      </w:pPr>
      <w:r>
        <w:rPr>
          <w:rFonts w:ascii="Georgia" w:cs="Georgia" w:eastAsia="Georgia" w:hAnsi="Georgia"/>
          <w:b/>
          <w:bCs/>
          <w:color w:val="0C1A2E"/>
          <w:sz w:val="30"/>
          <w:szCs w:val="30"/>
        </w:rPr>
        <w:t xml:space="preserve">Commercial Architecture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00"/>
        <w:gridCol w:w="3426"/>
      </w:tblGrid>
      <w:tr>
        <w:trPr>
          <w:tblHeader/>
        </w:trPr>
        <w:tc>
          <w:tcPr>
            <w:tcW w:type="dxa" w:w="22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Product Tier</w:t>
            </w:r>
          </w:p>
        </w:tc>
        <w:tc>
          <w:tcPr>
            <w:tcW w:type="dxa" w:w="34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Target</w:t>
            </w:r>
          </w:p>
        </w:tc>
        <w:tc>
          <w:tcPr>
            <w:tcW w:type="dxa" w:w="3426"/>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Pricing</w:t>
            </w:r>
          </w:p>
        </w:tc>
      </w:tr>
      <w:tr>
        <w:tc>
          <w:tcPr>
            <w:tcW w:type="dxa" w:w="22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Enterprise SaaS</w:t>
            </w:r>
          </w:p>
        </w:tc>
        <w:tc>
          <w:tcPr>
            <w:tcW w:type="dxa" w:w="34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Banks, insurers, large regulated corporations</w:t>
            </w:r>
          </w:p>
        </w:tc>
        <w:tc>
          <w:tcPr>
            <w:tcW w:type="dxa" w:w="34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R3M–R7M ACV (SA) / $250K–$500K (international)</w:t>
            </w:r>
          </w:p>
        </w:tc>
      </w:tr>
      <w:tr>
        <w:tc>
          <w:tcPr>
            <w:tcW w:type="dxa" w:w="22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Government Module</w:t>
            </w:r>
          </w:p>
        </w:tc>
        <w:tc>
          <w:tcPr>
            <w:tcW w:type="dxa" w:w="34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National and provincial government</w:t>
            </w:r>
          </w:p>
        </w:tc>
        <w:tc>
          <w:tcPr>
            <w:tcW w:type="dxa" w:w="34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R15M–R50M annual contract</w:t>
            </w:r>
          </w:p>
        </w:tc>
      </w:tr>
      <w:tr>
        <w:tc>
          <w:tcPr>
            <w:tcW w:type="dxa" w:w="22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National Backbone</w:t>
            </w:r>
          </w:p>
        </w:tc>
        <w:tc>
          <w:tcPr>
            <w:tcW w:type="dxa" w:w="34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Full sovereign deployment</w:t>
            </w:r>
          </w:p>
        </w:tc>
        <w:tc>
          <w:tcPr>
            <w:tcW w:type="dxa" w:w="34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R50M–R500M · 5-year minimum</w:t>
            </w:r>
          </w:p>
        </w:tc>
      </w:tr>
      <w:tr>
        <w:tc>
          <w:tcPr>
            <w:tcW w:type="dxa" w:w="22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Gross Margin</w:t>
            </w:r>
          </w:p>
        </w:tc>
        <w:tc>
          <w:tcPr>
            <w:tcW w:type="dxa" w:w="34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At scale (Year 3+)</w:t>
            </w:r>
          </w:p>
        </w:tc>
        <w:tc>
          <w:tcPr>
            <w:tcW w:type="dxa" w:w="34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75–85%</w:t>
            </w:r>
          </w:p>
        </w:tc>
      </w:tr>
      <w:tr>
        <w:tc>
          <w:tcPr>
            <w:tcW w:type="dxa" w:w="22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Revenue Multiple</w:t>
            </w:r>
          </w:p>
        </w:tc>
        <w:tc>
          <w:tcPr>
            <w:tcW w:type="dxa" w:w="34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Enterprise governance SaaS</w:t>
            </w:r>
          </w:p>
        </w:tc>
        <w:tc>
          <w:tcPr>
            <w:tcW w:type="dxa" w:w="34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8–12× comparable (Palantir, Diligent, Archer)</w:t>
            </w:r>
          </w:p>
        </w:tc>
      </w:tr>
    </w:tbl>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6</w:t>
      </w:r>
    </w:p>
    <w:p>
      <w:pPr>
        <w:spacing w:after="20"/>
        <w:jc w:val="center"/>
      </w:pPr>
      <w:r>
        <w:rPr>
          <w:rFonts w:ascii="Georgia" w:cs="Georgia" w:eastAsia="Georgia" w:hAnsi="Georgia"/>
          <w:b/>
          <w:bCs/>
          <w:color w:val="060E1C"/>
          <w:sz w:val="40"/>
          <w:szCs w:val="40"/>
        </w:rPr>
        <w:t xml:space="preserve">The Activation Sequence</w:t>
      </w:r>
    </w:p>
    <w:p>
      <w:pPr>
        <w:pBdr>
          <w:bottom w:val="single" w:color="C9A84C" w:sz="8" w:space="2"/>
        </w:pBdr>
        <w:spacing w:after="80"/>
      </w:pPr>
      <w:r>
        <w:t xml:space="preserve"/>
      </w:r>
    </w:p>
    <w:p>
      <w:pPr>
        <w:spacing w:after="160"/>
      </w:pPr>
      <w:r>
        <w:t xml:space="preserve"/>
      </w:r>
    </w:p>
    <w:p>
      <w:pPr>
        <w:spacing w:after="120" w:line="276" w:lineRule="auto"/>
        <w:jc w:val="both"/>
      </w:pPr>
      <w:r>
        <w:rPr>
          <w:rFonts w:ascii="Georgia" w:cs="Georgia" w:eastAsia="Georgia" w:hAnsi="Georgia"/>
          <w:color w:val="1C1C2E"/>
          <w:sz w:val="22"/>
          <w:szCs w:val="22"/>
        </w:rPr>
        <w:t xml:space="preserve">The most dangerous failure mode for a system of this scope is attempting to build the whole machine at once. That requires massive capital, massive management, and massive coordination simultaneously — far beyond early-stage organisational capacity. The correct sequence is layer-by-layer activation, where each phase generates the credibility and data required to introduce the next.</w:t>
      </w:r>
    </w:p>
    <w:p>
      <w:pPr>
        <w:pBdr>
          <w:top w:val="single" w:color="8B6914" w:sz="4" w:space="2"/>
          <w:left w:val="single" w:color="C9A84C" w:sz="12" w:space="8"/>
          <w:bottom w:val="single" w:color="8B6914" w:sz="4" w:space="2"/>
        </w:pBdr>
        <w:shd w:fill="FBF4E0" w:val="clear"/>
        <w:spacing w:before="120" w:after="120" w:line="276" w:lineRule="auto"/>
        <w:ind w:left="360" w:right="360"/>
        <w:jc w:val="both"/>
      </w:pPr>
      <w:r>
        <w:rPr>
          <w:rFonts w:ascii="Georgia" w:cs="Georgia" w:eastAsia="Georgia" w:hAnsi="Georgia"/>
          <w:i/>
          <w:iCs/>
          <w:color w:val="0C1A2E"/>
          <w:sz w:val="22"/>
          <w:szCs w:val="22"/>
        </w:rPr>
        <w:t xml:space="preserve">If the order is wrong, critics will say: “This is an attempt to build a centralised global control system.” If the order is correct, people say: “This company builds workforce and infrastructure solutions.” Same architecture. Profoundly different political reception.</w:t>
      </w:r>
    </w:p>
    <w:p>
      <w:pPr>
        <w:spacing w:after="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1500"/>
        <w:gridCol w:w="2900"/>
        <w:gridCol w:w="2200"/>
        <w:gridCol w:w="2726"/>
      </w:tblGrid>
      <w:tr>
        <w:trPr>
          <w:tblHeader/>
        </w:trPr>
        <w:tc>
          <w:tcPr>
            <w:tcW w:type="dxa" w:w="7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Phase</w:t>
            </w:r>
          </w:p>
        </w:tc>
        <w:tc>
          <w:tcPr>
            <w:tcW w:type="dxa" w:w="15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System</w:t>
            </w:r>
          </w:p>
        </w:tc>
        <w:tc>
          <w:tcPr>
            <w:tcW w:type="dxa" w:w="29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Why This Order</w:t>
            </w:r>
          </w:p>
        </w:tc>
        <w:tc>
          <w:tcPr>
            <w:tcW w:type="dxa" w:w="22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Public Narrative</w:t>
            </w:r>
          </w:p>
        </w:tc>
        <w:tc>
          <w:tcPr>
            <w:tcW w:type="dxa" w:w="2726"/>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Trigger for Next</w:t>
            </w:r>
          </w:p>
        </w:tc>
      </w:tr>
      <w:tr>
        <w:tc>
          <w:tcPr>
            <w:tcW w:type="dxa" w:w="7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1</w:t>
            </w:r>
          </w:p>
        </w:tc>
        <w:tc>
          <w:tcPr>
            <w:tcW w:type="dxa" w:w="15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S.E.T.H.S</w:t>
            </w:r>
          </w:p>
        </w:tc>
        <w:tc>
          <w:tcPr>
            <w:tcW w:type="dxa" w:w="29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Lowest cost. Highest social credibility. Proves workforce transformation works. Generates government trust, behavioural data, and political support.</w:t>
            </w:r>
          </w:p>
        </w:tc>
        <w:tc>
          <w:tcPr>
            <w:tcW w:type="dxa" w:w="22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"This company rehabilitates people and creates jobs."</w:t>
            </w:r>
          </w:p>
        </w:tc>
        <w:tc>
          <w:tcPr>
            <w:tcW w:type="dxa" w:w="27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25+ placed · 3 govt LOIs · Verified outcome data</w:t>
            </w:r>
          </w:p>
        </w:tc>
      </w:tr>
      <w:tr>
        <w:tc>
          <w:tcPr>
            <w:tcW w:type="dxa" w:w="7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2</w:t>
            </w:r>
          </w:p>
        </w:tc>
        <w:tc>
          <w:tcPr>
            <w:tcW w:type="dxa" w:w="15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T.S</w:t>
            </w:r>
          </w:p>
        </w:tc>
        <w:tc>
          <w:tcPr>
            <w:tcW w:type="dxa" w:w="29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The certified workforce now builds real things. Housing. Solar micro-grids. Agricultural infrastructure. Produces revenue, assets, and economic evidence.</w:t>
            </w:r>
          </w:p>
        </w:tc>
        <w:tc>
          <w:tcPr>
            <w:tcW w:type="dxa" w:w="22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"This company builds workforce and infrastructure."</w:t>
            </w:r>
          </w:p>
        </w:tc>
        <w:tc>
          <w:tcPr>
            <w:tcW w:type="dxa" w:w="27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First T.S contract · R10M+ revenue · S.E.T.H.S pipeline operational</w:t>
            </w:r>
          </w:p>
        </w:tc>
      </w:tr>
      <w:tr>
        <w:tc>
          <w:tcPr>
            <w:tcW w:type="dxa" w:w="7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3</w:t>
            </w:r>
          </w:p>
        </w:tc>
        <w:tc>
          <w:tcPr>
            <w:tcW w:type="dxa" w:w="15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UDOC</w:t>
            </w:r>
          </w:p>
        </w:tc>
        <w:tc>
          <w:tcPr>
            <w:tcW w:type="dxa" w:w="29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Real operations exist. UDOC tracks performance, AI governance, compliance. Looks like operational infrastructure — not control infrastructure.</w:t>
            </w:r>
          </w:p>
        </w:tc>
        <w:tc>
          <w:tcPr>
            <w:tcW w:type="dxa" w:w="22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"This company builds technology governance systems."</w:t>
            </w:r>
          </w:p>
        </w:tc>
        <w:tc>
          <w:tcPr>
            <w:tcW w:type="dxa" w:w="27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First UDOC enterprise client · T.S data live · Series A triggered</w:t>
            </w:r>
          </w:p>
        </w:tc>
      </w:tr>
      <w:tr>
        <w:tc>
          <w:tcPr>
            <w:tcW w:type="dxa" w:w="7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4</w:t>
            </w:r>
          </w:p>
        </w:tc>
        <w:tc>
          <w:tcPr>
            <w:tcW w:type="dxa" w:w="15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M.A.D.I.B.A</w:t>
            </w:r>
          </w:p>
        </w:tc>
        <w:tc>
          <w:tcPr>
            <w:tcW w:type="dxa" w:w="29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Credibility established. Capital structures and sovereign partnerships are now credible evidence — not theoretical architecture.</w:t>
            </w:r>
          </w:p>
        </w:tc>
        <w:tc>
          <w:tcPr>
            <w:tcW w:type="dxa" w:w="22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"This company is a global systems company."</w:t>
            </w:r>
          </w:p>
        </w:tc>
        <w:tc>
          <w:tcPr>
            <w:tcW w:type="dxa" w:w="27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UDOC 3+ clients · T.S 2+ projects · S.E.T.H.S 100+ placements</w:t>
            </w:r>
          </w:p>
        </w:tc>
      </w:tr>
    </w:tbl>
    <w:p>
      <w:pPr>
        <w:spacing w:after="80"/>
      </w:pPr>
      <w:r>
        <w:t xml:space="preserve"/>
      </w:r>
    </w:p>
    <w:p>
      <w:pPr>
        <w:pStyle w:val="Heading2"/>
        <w:spacing w:before="320" w:after="120"/>
      </w:pPr>
      <w:r>
        <w:rPr>
          <w:rFonts w:ascii="Georgia" w:cs="Georgia" w:eastAsia="Georgia" w:hAnsi="Georgia"/>
          <w:b/>
          <w:bCs/>
          <w:color w:val="0C1A2E"/>
          <w:sz w:val="30"/>
          <w:szCs w:val="30"/>
        </w:rPr>
        <w:t xml:space="preserve">The Golden Rule of Systems</w:t>
      </w:r>
    </w:p>
    <w:p>
      <w:pPr>
        <w:spacing w:after="120" w:line="276" w:lineRule="auto"/>
        <w:jc w:val="both"/>
      </w:pPr>
      <w:r>
        <w:rPr>
          <w:rFonts w:ascii="Georgia" w:cs="Georgia" w:eastAsia="Georgia" w:hAnsi="Georgia"/>
          <w:color w:val="1C1C2E"/>
          <w:sz w:val="22"/>
          <w:szCs w:val="22"/>
        </w:rPr>
        <w:t xml:space="preserve">Every successful mega-institution followed this pattern: solve one real problem → prove capability → expand influence → build systems around success. Not: design the entire civilisation architecture first, then raise capital, then build all components simultaneously.</w:t>
      </w:r>
    </w:p>
    <w:p>
      <w:pPr>
        <w:spacing w:after="120" w:line="276" w:lineRule="auto"/>
        <w:jc w:val="both"/>
      </w:pPr>
      <w:r>
        <w:rPr>
          <w:rFonts w:ascii="Georgia" w:cs="Georgia" w:eastAsia="Georgia" w:hAnsi="Georgia"/>
          <w:color w:val="1C1C2E"/>
          <w:sz w:val="22"/>
          <w:szCs w:val="22"/>
        </w:rPr>
        <w:t xml:space="preserve">The Twelve Constitutional Pillars enforce this rule institutionally. Pillar V (Governance Before Scale) and Pillar XII (Long-Horizon Discipline) exist specifically to prevent the architecture from collapsing under its own ambition.</w:t>
      </w:r>
    </w:p>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7</w:t>
      </w:r>
    </w:p>
    <w:p>
      <w:pPr>
        <w:spacing w:after="20"/>
        <w:jc w:val="center"/>
      </w:pPr>
      <w:r>
        <w:rPr>
          <w:rFonts w:ascii="Georgia" w:cs="Georgia" w:eastAsia="Georgia" w:hAnsi="Georgia"/>
          <w:b/>
          <w:bCs/>
          <w:color w:val="060E1C"/>
          <w:sz w:val="40"/>
          <w:szCs w:val="40"/>
        </w:rPr>
        <w:t xml:space="preserve">South Africa as Proof-of-Concept Market</w:t>
      </w:r>
    </w:p>
    <w:p>
      <w:pPr>
        <w:pBdr>
          <w:bottom w:val="single" w:color="C9A84C" w:sz="8" w:space="2"/>
        </w:pBdr>
        <w:spacing w:after="80"/>
      </w:pPr>
      <w:r>
        <w:t xml:space="preserve"/>
      </w:r>
    </w:p>
    <w:p>
      <w:pPr>
        <w:spacing w:after="160"/>
      </w:pPr>
      <w:r>
        <w:t xml:space="preserve"/>
      </w:r>
    </w:p>
    <w:p>
      <w:pPr>
        <w:spacing w:after="120" w:line="276" w:lineRule="auto"/>
        <w:jc w:val="both"/>
      </w:pPr>
      <w:r>
        <w:rPr>
          <w:rFonts w:ascii="Georgia" w:cs="Georgia" w:eastAsia="Georgia" w:hAnsi="Georgia"/>
          <w:color w:val="1C1C2E"/>
          <w:sz w:val="22"/>
          <w:szCs w:val="22"/>
        </w:rPr>
        <w:t xml:space="preserve">South Africa is not chosen for patriotic or emotional reasons. It is chosen because it sits at a unique intersection of conditions that make system-level experiments more visible, more rigorous, and more replicable than almost any other market. The analysis below is structural, not sentimental.</w:t>
      </w:r>
    </w:p>
    <w:p>
      <w:pPr>
        <w:spacing w:after="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Strategic Advantage</w:t>
            </w:r>
          </w:p>
        </w:tc>
        <w:tc>
          <w:tcPr>
            <w:tcW w:type="dxa" w:w="6226"/>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Why It Matters for G.O.D.S</w:t>
            </w:r>
          </w:p>
        </w:tc>
      </w:tr>
      <w:tr>
        <w:tc>
          <w:tcPr>
            <w:tcW w:type="dxa" w:w="2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Full-System Economy</w:t>
            </w:r>
          </w:p>
        </w:tc>
        <w:tc>
          <w:tcPr>
            <w:tcW w:type="dxa" w:w="6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Mining, financial services, manufacturing, agriculture, logistics, advanced telecoms, growing tech sector — all present in one country. A system touching human capital, infrastructure, and governance can operate across a complete economic landscape. Most countries are specialised. South Africa is not.</w:t>
            </w:r>
          </w:p>
        </w:tc>
      </w:tr>
      <w:tr>
        <w:tc>
          <w:tcPr>
            <w:tcW w:type="dxa" w:w="2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Extreme Stress-Test Conditions</w:t>
            </w:r>
          </w:p>
        </w:tc>
        <w:tc>
          <w:tcPr>
            <w:tcW w:type="dxa" w:w="62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Very high youth unemployment. Large informal economy. Significant inequality. Infrastructure gaps. Active governance pressure. In systems design, this is a stress-test environment. If the system delivers measurable results here, the replication case for every comparable emerging market is already made.</w:t>
            </w:r>
          </w:p>
        </w:tc>
      </w:tr>
      <w:tr>
        <w:tc>
          <w:tcPr>
            <w:tcW w:type="dxa" w:w="2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Sophisticated Financial Infrastructure</w:t>
            </w:r>
          </w:p>
        </w:tc>
        <w:tc>
          <w:tcPr>
            <w:tcW w:type="dxa" w:w="6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Major banks with international compliance standards. Functioning capital markets. Institutional investors and pension funds. PFMA and Companies Act frameworks. Infrastructure SPVs, sovereign investment vehicles, and governance oversight can be structured without inventing the legal system.</w:t>
            </w:r>
          </w:p>
        </w:tc>
      </w:tr>
      <w:tr>
        <w:tc>
          <w:tcPr>
            <w:tcW w:type="dxa" w:w="2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SADC Regional Gateway</w:t>
            </w:r>
          </w:p>
        </w:tc>
        <w:tc>
          <w:tcPr>
            <w:tcW w:type="dxa" w:w="62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Most multinational companies use South Africa as their African headquarters. Successful proof-of-concept provides the gateway to 14 SADC nations, East African growth economies, and West African resource corridors. The replication case is documented before any second-market investment.</w:t>
            </w:r>
          </w:p>
        </w:tc>
      </w:tr>
      <w:tr>
        <w:tc>
          <w:tcPr>
            <w:tcW w:type="dxa" w:w="2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Demographic Pressure Window</w:t>
            </w:r>
          </w:p>
        </w:tc>
        <w:tc>
          <w:tcPr>
            <w:tcW w:type="dxa" w:w="6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Large young population with insufficient employment infrastructure. This demographic pressure makes S.E.T.H.S not merely relevant but structurally urgent. The political case for workforce investment makes itself.</w:t>
            </w:r>
          </w:p>
        </w:tc>
      </w:tr>
      <w:tr>
        <w:tc>
          <w:tcPr>
            <w:tcW w:type="dxa" w:w="2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Legal and Constitutional Framework</w:t>
            </w:r>
          </w:p>
        </w:tc>
        <w:tc>
          <w:tcPr>
            <w:tcW w:type="dxa" w:w="62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Established corporate law, constitutional protections, and an independent judiciary. Large institutional projects require predictable legal environments to operate. These frameworks exist and are functional in South Africa.</w:t>
            </w:r>
          </w:p>
        </w:tc>
      </w:tr>
      <w:tr>
        <w:tc>
          <w:tcPr>
            <w:tcW w:type="dxa" w:w="2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Global Visibility</w:t>
            </w:r>
          </w:p>
        </w:tc>
        <w:tc>
          <w:tcPr>
            <w:tcW w:type="dxa" w:w="6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South Africa sits between developed and developing economies, Western and BRICS relationships, and African continental leadership. Successful programmes attract international attention faster than from any isolated emerging market. The proof-of-concept receives global amplification.</w:t>
            </w:r>
          </w:p>
        </w:tc>
      </w:tr>
    </w:tbl>
    <w:p>
      <w:pPr>
        <w:spacing w:after="80"/>
      </w:pPr>
      <w:r>
        <w:t xml:space="preserve"/>
      </w:r>
    </w:p>
    <w:p>
      <w:pPr>
        <w:pStyle w:val="Heading2"/>
        <w:spacing w:before="320" w:after="120"/>
      </w:pPr>
      <w:r>
        <w:rPr>
          <w:rFonts w:ascii="Georgia" w:cs="Georgia" w:eastAsia="Georgia" w:hAnsi="Georgia"/>
          <w:b/>
          <w:bCs/>
          <w:color w:val="0C1A2E"/>
          <w:sz w:val="30"/>
          <w:szCs w:val="30"/>
        </w:rPr>
        <w:t xml:space="preserve">The Expansion Path</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600"/>
        <w:gridCol w:w="4626"/>
      </w:tblGrid>
      <w:tr>
        <w:trPr>
          <w:tblHeader/>
        </w:trPr>
        <w:tc>
          <w:tcPr>
            <w:tcW w:type="dxa" w:w="18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Timeline</w:t>
            </w:r>
          </w:p>
        </w:tc>
        <w:tc>
          <w:tcPr>
            <w:tcW w:type="dxa" w:w="26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Geography</w:t>
            </w:r>
          </w:p>
        </w:tc>
        <w:tc>
          <w:tcPr>
            <w:tcW w:type="dxa" w:w="4626"/>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Milestone</w:t>
            </w:r>
          </w:p>
        </w:tc>
      </w:tr>
      <w:tr>
        <w:tc>
          <w:tcPr>
            <w:tcW w:type="dxa" w:w="1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Year 1–5</w:t>
            </w:r>
          </w:p>
        </w:tc>
        <w:tc>
          <w:tcPr>
            <w:tcW w:type="dxa" w:w="26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South Africa</w:t>
            </w:r>
          </w:p>
        </w:tc>
        <w:tc>
          <w:tcPr>
            <w:tcW w:type="dxa" w:w="46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Proof-of-concept. Operational evidence generated across all four systems.</w:t>
            </w:r>
          </w:p>
        </w:tc>
      </w:tr>
      <w:tr>
        <w:tc>
          <w:tcPr>
            <w:tcW w:type="dxa" w:w="1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Year 5–10</w:t>
            </w:r>
          </w:p>
        </w:tc>
        <w:tc>
          <w:tcPr>
            <w:tcW w:type="dxa" w:w="26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SADC Region</w:t>
            </w:r>
          </w:p>
        </w:tc>
        <w:tc>
          <w:tcPr>
            <w:tcW w:type="dxa" w:w="46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14 nations. Documented replication case from South Africa.</w:t>
            </w:r>
          </w:p>
        </w:tc>
      </w:tr>
      <w:tr>
        <w:tc>
          <w:tcPr>
            <w:tcW w:type="dxa" w:w="1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Year 10–25</w:t>
            </w:r>
          </w:p>
        </w:tc>
        <w:tc>
          <w:tcPr>
            <w:tcW w:type="dxa" w:w="26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Pan-African</w:t>
            </w:r>
          </w:p>
        </w:tc>
        <w:tc>
          <w:tcPr>
            <w:tcW w:type="dxa" w:w="46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AfDB, IFC credentialed. AU governance framework alignment.</w:t>
            </w:r>
          </w:p>
        </w:tc>
      </w:tr>
      <w:tr>
        <w:tc>
          <w:tcPr>
            <w:tcW w:type="dxa" w:w="1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Year 25+</w:t>
            </w:r>
          </w:p>
        </w:tc>
        <w:tc>
          <w:tcPr>
            <w:tcW w:type="dxa" w:w="26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Global</w:t>
            </w:r>
          </w:p>
        </w:tc>
        <w:tc>
          <w:tcPr>
            <w:tcW w:type="dxa" w:w="46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UDOC as voluntary standard. Systems company operating at full scale.</w:t>
            </w:r>
          </w:p>
        </w:tc>
      </w:tr>
    </w:tbl>
    <w:p>
      <w:pPr>
        <w:pBdr>
          <w:top w:val="single" w:color="8B6914" w:sz="4" w:space="2"/>
          <w:left w:val="single" w:color="C9A84C" w:sz="12" w:space="8"/>
          <w:bottom w:val="single" w:color="8B6914" w:sz="4" w:space="2"/>
        </w:pBdr>
        <w:shd w:fill="FBF4E0" w:val="clear"/>
        <w:spacing w:before="120" w:after="120" w:line="276" w:lineRule="auto"/>
        <w:ind w:left="360" w:right="360"/>
        <w:jc w:val="both"/>
      </w:pPr>
      <w:r>
        <w:rPr>
          <w:rFonts w:ascii="Georgia" w:cs="Georgia" w:eastAsia="Georgia" w:hAnsi="Georgia"/>
          <w:i/>
          <w:iCs/>
          <w:color w:val="0C1A2E"/>
          <w:sz w:val="22"/>
          <w:szCs w:val="22"/>
        </w:rPr>
        <w:t xml:space="preserve">"The reason institutional innovators launch complex systems in challenging environments is simple: if it works there, it demonstrates real value. Proof of concept is the strongest argument any new system can have. South Africa is the proof-of-concept environment for global civilisation infrastructure."</w:t>
      </w:r>
    </w:p>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8</w:t>
      </w:r>
    </w:p>
    <w:p>
      <w:pPr>
        <w:spacing w:after="20"/>
        <w:jc w:val="center"/>
      </w:pPr>
      <w:r>
        <w:rPr>
          <w:rFonts w:ascii="Georgia" w:cs="Georgia" w:eastAsia="Georgia" w:hAnsi="Georgia"/>
          <w:b/>
          <w:bCs/>
          <w:color w:val="060E1C"/>
          <w:sz w:val="40"/>
          <w:szCs w:val="40"/>
        </w:rPr>
        <w:t xml:space="preserve">The Governance Framework: Twelve Constitutional Pillars</w:t>
      </w:r>
    </w:p>
    <w:p>
      <w:pPr>
        <w:pBdr>
          <w:bottom w:val="single" w:color="C9A84C" w:sz="8" w:space="2"/>
        </w:pBdr>
        <w:spacing w:after="80"/>
      </w:pPr>
      <w:r>
        <w:t xml:space="preserve"/>
      </w:r>
    </w:p>
    <w:p>
      <w:pPr>
        <w:spacing w:after="160"/>
      </w:pPr>
      <w:r>
        <w:t xml:space="preserve"/>
      </w:r>
    </w:p>
    <w:p>
      <w:pPr>
        <w:spacing w:after="120" w:line="276" w:lineRule="auto"/>
        <w:jc w:val="both"/>
      </w:pPr>
      <w:r>
        <w:rPr>
          <w:rFonts w:ascii="Georgia" w:cs="Georgia" w:eastAsia="Georgia" w:hAnsi="Georgia"/>
          <w:color w:val="1C1C2E"/>
          <w:sz w:val="22"/>
          <w:szCs w:val="22"/>
        </w:rPr>
        <w:t xml:space="preserve">Large institutions fail not because their original vision is flawed, but because power accumulates faster than governance evolves to contain it. History repeatedly demonstrates that systems designed to improve society can deteriorate when institutional safeguards are absent or insufficient.</w:t>
      </w:r>
    </w:p>
    <w:p>
      <w:pPr>
        <w:spacing w:after="120" w:line="276" w:lineRule="auto"/>
        <w:jc w:val="both"/>
      </w:pPr>
      <w:r>
        <w:rPr>
          <w:rFonts w:ascii="Georgia" w:cs="Georgia" w:eastAsia="Georgia" w:hAnsi="Georgia"/>
          <w:color w:val="1C1C2E"/>
          <w:sz w:val="22"/>
          <w:szCs w:val="22"/>
        </w:rPr>
        <w:t xml:space="preserve">For this reason, G.O.D.S is not designed as a conventional corporate structure driven solely by executive authority or shareholder pressure. It operates under a constitutional governance framework built around Twelve Constitutional Pillars — permanent constraints on the authority of every individual within the organisation, including the Founder.</w:t>
      </w:r>
    </w:p>
    <w:p>
      <w:pPr>
        <w:pBdr>
          <w:top w:val="single" w:color="8B6914" w:sz="4" w:space="2"/>
          <w:left w:val="single" w:color="C9A84C" w:sz="12" w:space="8"/>
          <w:bottom w:val="single" w:color="8B6914" w:sz="4" w:space="2"/>
        </w:pBdr>
        <w:shd w:fill="FBF4E0" w:val="clear"/>
        <w:spacing w:before="120" w:after="120" w:line="276" w:lineRule="auto"/>
        <w:ind w:left="360" w:right="360"/>
        <w:jc w:val="both"/>
      </w:pPr>
      <w:r>
        <w:rPr>
          <w:rFonts w:ascii="Georgia" w:cs="Georgia" w:eastAsia="Georgia" w:hAnsi="Georgia"/>
          <w:i/>
          <w:iCs/>
          <w:color w:val="0C1A2E"/>
          <w:sz w:val="22"/>
          <w:szCs w:val="22"/>
        </w:rPr>
        <w:t xml:space="preserve">Governance is not an administrative afterthought. It is infrastructure — as essential as energy systems, data networks, or financial capital. By embedding constitutional governance at the foundation of the institution, G.O.D.S ensures that technological power, economic influence, and institutional authority remain aligned with the long-term interests of humanity.</w:t>
      </w:r>
    </w:p>
    <w:p>
      <w:pPr>
        <w:spacing w:after="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I</w:t>
            </w:r>
            <w:r>
              <w:rPr>
                <w:rFonts w:ascii="Arial" w:cs="Arial" w:eastAsia="Arial" w:hAnsi="Arial"/>
                <w:b/>
                <w:bCs/>
                <w:color w:val="060E1C"/>
                <w:sz w:val="20"/>
                <w:szCs w:val="20"/>
              </w:rPr>
              <w:t xml:space="preserve">  Human Dignity</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Every system developed under G.O.D.S must prioritise the dignity and welfare of individuals. Human beings are never treated as expendable inputs within an economic system. Programmes designed under the G.O.D.S architecture must enhance the dignity, safety, and long-term wellbeing of participants and communities.</w:t>
            </w:r>
          </w:p>
        </w:tc>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II</w:t>
            </w:r>
            <w:r>
              <w:rPr>
                <w:rFonts w:ascii="Arial" w:cs="Arial" w:eastAsia="Arial" w:hAnsi="Arial"/>
                <w:b/>
                <w:bCs/>
                <w:color w:val="060E1C"/>
                <w:sz w:val="20"/>
                <w:szCs w:val="20"/>
              </w:rPr>
              <w:t xml:space="preserve">  Contribution as the Basis of Advancement</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Opportunity within the system is tied to meaningful contribution. Advancement is determined by demonstrated effort, reliability, and productive participation rather than background, privilege, or political affiliation. This principle ensures that the system rewards participation and responsibility rather than extracting from it.</w:t>
            </w:r>
          </w:p>
        </w:tc>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III</w:t>
            </w:r>
            <w:r>
              <w:rPr>
                <w:rFonts w:ascii="Arial" w:cs="Arial" w:eastAsia="Arial" w:hAnsi="Arial"/>
                <w:b/>
                <w:bCs/>
                <w:color w:val="060E1C"/>
                <w:sz w:val="20"/>
                <w:szCs w:val="20"/>
              </w:rPr>
              <w:t xml:space="preserve">  Sovereign Respect</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G.O.D.S operates in partnership with sovereign governments and respects national laws, institutions, and democratic processes. The system is designed to strengthen institutional capacity rather than replace it. No division of G.O.D.S may override the authority of sovereign governments or undermine constitutional governance.</w:t>
            </w:r>
          </w:p>
        </w:tc>
      </w:tr>
    </w:tbl>
    <w:p>
      <w:pPr>
        <w:spacing w:after="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IV</w:t>
            </w:r>
            <w:r>
              <w:rPr>
                <w:rFonts w:ascii="Arial" w:cs="Arial" w:eastAsia="Arial" w:hAnsi="Arial"/>
                <w:b/>
                <w:bCs/>
                <w:color w:val="060E1C"/>
                <w:sz w:val="20"/>
                <w:szCs w:val="20"/>
              </w:rPr>
              <w:t xml:space="preserve">  Ethical Profitability</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Economic sustainability is essential for long-term institutional stability. However, profitability must always align with ethical and social responsibility. Revenue generation is designed to reinforce infrastructure development, human opportunity, and long-term societal stability rather than short-term financial extraction.</w:t>
            </w:r>
          </w:p>
        </w:tc>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V</w:t>
            </w:r>
            <w:r>
              <w:rPr>
                <w:rFonts w:ascii="Arial" w:cs="Arial" w:eastAsia="Arial" w:hAnsi="Arial"/>
                <w:b/>
                <w:bCs/>
                <w:color w:val="060E1C"/>
                <w:sz w:val="20"/>
                <w:szCs w:val="20"/>
              </w:rPr>
              <w:t xml:space="preserve">  Transparency of Intent</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All major initiatives within the system must be clearly documented, auditable, and explainable to stakeholders. Hidden agendas, undisclosed political influence, or opaque operational structures undermine institutional trust and are incompatible with the governance principles of G.O.D.S. Transparency ensures the system remains accountable to the communities it serves.</w:t>
            </w:r>
          </w:p>
        </w:tc>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VI</w:t>
            </w:r>
            <w:r>
              <w:rPr>
                <w:rFonts w:ascii="Arial" w:cs="Arial" w:eastAsia="Arial" w:hAnsi="Arial"/>
                <w:b/>
                <w:bCs/>
                <w:color w:val="060E1C"/>
                <w:sz w:val="20"/>
                <w:szCs w:val="20"/>
              </w:rPr>
              <w:t xml:space="preserve">  Algorithmic Explainability</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Artificial intelligence systems deployed within the G.O.D.S architecture must remain auditable and explainable. No automated system may operate in ways that obscure decision-making processes affecting individuals, governments, or economic systems. This principle ensures that technological advancement remains accountable to human oversight.</w:t>
            </w:r>
          </w:p>
        </w:tc>
      </w:tr>
    </w:tbl>
    <w:p>
      <w:pPr>
        <w:spacing w:after="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VII</w:t>
            </w:r>
            <w:r>
              <w:rPr>
                <w:rFonts w:ascii="Arial" w:cs="Arial" w:eastAsia="Arial" w:hAnsi="Arial"/>
                <w:b/>
                <w:bCs/>
                <w:color w:val="060E1C"/>
                <w:sz w:val="20"/>
                <w:szCs w:val="20"/>
              </w:rPr>
              <w:t xml:space="preserve">  Anti-Corruption Safeguards</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Strong internal controls are implemented to prevent corruption, misuse of resources, or institutional capture. Financial flows, procurement processes, and partnership agreements are subject to continuous oversight through UDOC and independent auditing bodies. These controls are structural, not aspirational.</w:t>
            </w:r>
          </w:p>
        </w:tc>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VIII</w:t>
            </w:r>
            <w:r>
              <w:rPr>
                <w:rFonts w:ascii="Arial" w:cs="Arial" w:eastAsia="Arial" w:hAnsi="Arial"/>
                <w:b/>
                <w:bCs/>
                <w:color w:val="060E1C"/>
                <w:sz w:val="20"/>
                <w:szCs w:val="20"/>
              </w:rPr>
              <w:t xml:space="preserve">  Institutional Memory</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Large systems must retain institutional knowledge across generations of leadership. Operational knowledge, policy decisions, and governance lessons are preserved through structured documentation systems to prevent the loss of institutional wisdom over time. The institution does not depend on the memory of any individual.</w:t>
            </w:r>
          </w:p>
        </w:tc>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IX</w:t>
            </w:r>
            <w:r>
              <w:rPr>
                <w:rFonts w:ascii="Arial" w:cs="Arial" w:eastAsia="Arial" w:hAnsi="Arial"/>
                <w:b/>
                <w:bCs/>
                <w:color w:val="060E1C"/>
                <w:sz w:val="20"/>
                <w:szCs w:val="20"/>
              </w:rPr>
              <w:t xml:space="preserve">  Evidence-Based Evolution</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The G.O.D.S system evolves through measurable outcomes rather than ideology. Programmes and systems are continuously evaluated through data, research, and operational performance. Successful models are expanded while unsuccessful initiatives are revised or discontinued. Data governs — not belief.</w:t>
            </w:r>
          </w:p>
        </w:tc>
      </w:tr>
    </w:tbl>
    <w:p>
      <w:pPr>
        <w:spacing w:after="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X</w:t>
            </w:r>
            <w:r>
              <w:rPr>
                <w:rFonts w:ascii="Arial" w:cs="Arial" w:eastAsia="Arial" w:hAnsi="Arial"/>
                <w:b/>
                <w:bCs/>
                <w:color w:val="060E1C"/>
                <w:sz w:val="20"/>
                <w:szCs w:val="20"/>
              </w:rPr>
              <w:t xml:space="preserve">  Generational Stewardship</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The system is designed to operate across multiple generations. Leadership within G.O.D.S is understood as stewardship rather than ownership. No individual or leadership group may treat the institution as a personal asset or political instrument. The 250-year mandate reflects this principle.</w:t>
            </w:r>
          </w:p>
        </w:tc>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XI</w:t>
            </w:r>
            <w:r>
              <w:rPr>
                <w:rFonts w:ascii="Arial" w:cs="Arial" w:eastAsia="Arial" w:hAnsi="Arial"/>
                <w:b/>
                <w:bCs/>
                <w:color w:val="060E1C"/>
                <w:sz w:val="20"/>
                <w:szCs w:val="20"/>
              </w:rPr>
              <w:t xml:space="preserve">  Distributed Authority</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Authority within the system is intentionally distributed across governance structures to prevent excessive concentration of power. The Constitutional Oversight Board, operational leadership teams, and independent auditing systems each serve as checks on institutional authority. No single entity may accumulate unchecked power within the system.</w:t>
            </w:r>
          </w:p>
        </w:tc>
        <w:tc>
          <w:tcPr>
            <w:tcW w:type="dxa" w:w="3008"/>
            <w:tcBorders>
              <w:top w:val="single" w:color="DDDDCC" w:sz="4"/>
              <w:left w:val="single" w:color="DDDDCC" w:sz="4"/>
              <w:bottom w:val="single" w:color="DDDDCC" w:sz="4"/>
              <w:right w:val="single" w:color="DDDDCC" w:sz="4"/>
            </w:tcBorders>
            <w:shd w:fill="FAFAF5" w:val="clear"/>
            <w:tcMar>
              <w:top w:type="dxa" w:w="120"/>
              <w:left w:type="dxa" w:w="140"/>
              <w:bottom w:type="dxa" w:w="120"/>
              <w:right w:type="dxa" w:w="140"/>
            </w:tcMar>
            <w:vAlign w:val="top"/>
          </w:tcPr>
          <w:p>
            <w:pPr>
              <w:spacing w:after="20"/>
            </w:pPr>
            <w:r>
              <w:rPr>
                <w:rFonts w:ascii="Georgia" w:cs="Georgia" w:eastAsia="Georgia" w:hAnsi="Georgia"/>
                <w:color w:val="D4CEBC"/>
                <w:sz w:val="28"/>
                <w:szCs w:val="28"/>
              </w:rPr>
              <w:t xml:space="preserve">XII</w:t>
            </w:r>
            <w:r>
              <w:rPr>
                <w:rFonts w:ascii="Arial" w:cs="Arial" w:eastAsia="Arial" w:hAnsi="Arial"/>
                <w:b/>
                <w:bCs/>
                <w:color w:val="060E1C"/>
                <w:sz w:val="20"/>
                <w:szCs w:val="20"/>
              </w:rPr>
              <w:t xml:space="preserve">  Long-Term Stability</w:t>
            </w:r>
          </w:p>
          <w:p>
            <w:pPr>
              <w:spacing w:after="80"/>
            </w:pPr>
            <w:r>
              <w:rPr>
                <w:rFonts w:ascii="Georgia" w:cs="Georgia" w:eastAsia="Georgia" w:hAnsi="Georgia"/>
                <w:color w:val="C9A84C"/>
                <w:sz w:val="16"/>
                <w:szCs w:val="16"/>
              </w:rPr>
              <w:t xml:space="preserve">—</w:t>
            </w:r>
          </w:p>
          <w:p>
            <w:pPr>
              <w:spacing w:after="40" w:line="252"/>
              <w:jc w:val="both"/>
            </w:pPr>
            <w:r>
              <w:rPr>
                <w:rFonts w:ascii="Georgia" w:cs="Georgia" w:eastAsia="Georgia" w:hAnsi="Georgia"/>
                <w:color w:val="1C1C2E"/>
                <w:sz w:val="18"/>
                <w:szCs w:val="18"/>
              </w:rPr>
              <w:t xml:space="preserve">All major decisions within the system are evaluated according to their long-term consequences. Short-term gains that undermine long-term institutional stability are rejected. The objective of the system is not rapid expansion but durable impact over decades and centuries.</w:t>
            </w:r>
          </w:p>
        </w:tc>
      </w:tr>
    </w:tbl>
    <w:p>
      <w:pPr>
        <w:spacing w:after="40"/>
      </w:pPr>
      <w:r>
        <w:t xml:space="preserve"/>
      </w:r>
    </w:p>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9</w:t>
      </w:r>
    </w:p>
    <w:p>
      <w:pPr>
        <w:spacing w:after="20"/>
        <w:jc w:val="center"/>
      </w:pPr>
      <w:r>
        <w:rPr>
          <w:rFonts w:ascii="Georgia" w:cs="Georgia" w:eastAsia="Georgia" w:hAnsi="Georgia"/>
          <w:b/>
          <w:bCs/>
          <w:color w:val="060E1C"/>
          <w:sz w:val="40"/>
          <w:szCs w:val="40"/>
        </w:rPr>
        <w:t xml:space="preserve">The Constitutional Oversight Board</w:t>
      </w:r>
    </w:p>
    <w:p>
      <w:pPr>
        <w:pBdr>
          <w:bottom w:val="single" w:color="C9A84C" w:sz="8" w:space="2"/>
        </w:pBdr>
        <w:spacing w:after="80"/>
      </w:pPr>
      <w:r>
        <w:t xml:space="preserve"/>
      </w:r>
    </w:p>
    <w:p>
      <w:pPr>
        <w:spacing w:after="1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Composition</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7 independent members. Supreme governance authority above all operating divisions including the Founder.</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Terms</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5-year fixed, staggered terms. No consecutive terms without a 5-year gap. Continuity guaranteed across leadership transitions.</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Eligibility</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No financial interest in any G.O.D.S division. Expertise must span: constitutional governance, law, finance, technology ethics, development economics, and public administration.</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Authority</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Constitutional compliance review · Major transaction approval · Annual institutional audit · Founder removal proceedings on 2/3 vote threshold</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Founder Removal</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2/3 COB vote to initiate → 30-day Founder response period → 60-day independent adjudication → binding determination. Process is structured, not arbitrary.</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Daily Role</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The COB does not manage daily operations. It safeguards the long-term integrity of the institution — the constitutional guardian of the Twelve Pillars.</w:t>
            </w:r>
          </w:p>
        </w:tc>
      </w:tr>
    </w:tbl>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10</w:t>
      </w:r>
    </w:p>
    <w:p>
      <w:pPr>
        <w:spacing w:after="20"/>
        <w:jc w:val="center"/>
      </w:pPr>
      <w:r>
        <w:rPr>
          <w:rFonts w:ascii="Georgia" w:cs="Georgia" w:eastAsia="Georgia" w:hAnsi="Georgia"/>
          <w:b/>
          <w:bCs/>
          <w:color w:val="060E1C"/>
          <w:sz w:val="40"/>
          <w:szCs w:val="40"/>
        </w:rPr>
        <w:t xml:space="preserve">Holding Structure &amp; Institutional Architecture</w:t>
      </w:r>
    </w:p>
    <w:p>
      <w:pPr>
        <w:pBdr>
          <w:bottom w:val="single" w:color="C9A84C" w:sz="8" w:space="2"/>
        </w:pBdr>
        <w:spacing w:after="80"/>
      </w:pPr>
      <w:r>
        <w:t xml:space="preserve"/>
      </w:r>
    </w:p>
    <w:p>
      <w:pPr>
        <w:spacing w:after="1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Level 1: G.O.D.S Holdings (Pty) Ltd</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Constitutional parent company. Holds mission custody, IP Trust oversight, and COB secretariat. Cannot be sold, merged, or structurally altered without COB supermajority approval.</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Level 2: G.O.D.S TS Holdings (Pty) Ltd</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Commercial engine. 8-division revenue conglomerate operating all commercial activity across S.E.T.H.S, T.S, UDOC, and M.A.D.I.B.A. Generates all revenue streams. Reports to Level 1.</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IP Trust</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Perpetual trust holding all core intellectual property: methodology, software, brand, training systems, governance frameworks. Cannot be sold under any circumstances. Survives dissolution of operating entities.</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Investor Position</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Preference share structure with defined governance rights but no mission override. Investors receive economic returns. They do not acquire institutional control. Constitutional Pillars take precedence over shareholder resolutions.</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Governance Chain</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Constitutional Pillars → COB → Group CEO → Division Heads. No operating decision can contradict a Constitutional Pillar. No executive decision can override the COB. Institutional integrity is structurally enforced — not personally dependent.</w:t>
            </w:r>
          </w:p>
        </w:tc>
      </w:tr>
    </w:tbl>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11</w:t>
      </w:r>
    </w:p>
    <w:p>
      <w:pPr>
        <w:spacing w:after="20"/>
        <w:jc w:val="center"/>
      </w:pPr>
      <w:r>
        <w:rPr>
          <w:rFonts w:ascii="Georgia" w:cs="Georgia" w:eastAsia="Georgia" w:hAnsi="Georgia"/>
          <w:b/>
          <w:bCs/>
          <w:color w:val="060E1C"/>
          <w:sz w:val="40"/>
          <w:szCs w:val="40"/>
        </w:rPr>
        <w:t xml:space="preserve">Financial Architecture &amp; Capital Structure</w:t>
      </w:r>
    </w:p>
    <w:p>
      <w:pPr>
        <w:pBdr>
          <w:bottom w:val="single" w:color="C9A84C" w:sz="8" w:space="2"/>
        </w:pBdr>
        <w:spacing w:after="80"/>
      </w:pPr>
      <w:r>
        <w:t xml:space="preserve"/>
      </w:r>
    </w:p>
    <w:p>
      <w:pPr>
        <w:spacing w:after="1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1800"/>
        <w:gridCol w:w="4500"/>
        <w:gridCol w:w="1226"/>
      </w:tblGrid>
      <w:tr>
        <w:trPr>
          <w:tblHeader/>
        </w:trPr>
        <w:tc>
          <w:tcPr>
            <w:tcW w:type="dxa" w:w="15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Milestone</w:t>
            </w:r>
          </w:p>
        </w:tc>
        <w:tc>
          <w:tcPr>
            <w:tcW w:type="dxa" w:w="18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Revenue (ZAR)</w:t>
            </w:r>
          </w:p>
        </w:tc>
        <w:tc>
          <w:tcPr>
            <w:tcW w:type="dxa" w:w="4500"/>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Key Indicators</w:t>
            </w:r>
          </w:p>
        </w:tc>
        <w:tc>
          <w:tcPr>
            <w:tcW w:type="dxa" w:w="1226"/>
            <w:tcBorders>
              <w:top w:val="single" w:color="8B6914" w:sz="4"/>
              <w:left w:val="single" w:color="8B6914" w:sz="4"/>
              <w:bottom w:val="single" w:color="8B6914" w:sz="4"/>
              <w:right w:val="single" w:color="8B6914" w:sz="4"/>
            </w:tcBorders>
            <w:shd w:fill="060E1C" w:val="clear"/>
            <w:tcMar>
              <w:top w:type="dxa" w:w="80"/>
              <w:left w:type="dxa" w:w="120"/>
              <w:bottom w:type="dxa" w:w="80"/>
              <w:right w:type="dxa" w:w="120"/>
            </w:tcMar>
          </w:tcPr>
          <w:p>
            <w:r>
              <w:rPr>
                <w:rFonts w:ascii="Arial" w:cs="Arial" w:eastAsia="Arial" w:hAnsi="Arial"/>
                <w:b/>
                <w:bCs/>
                <w:color w:val="F5F0E8"/>
                <w:sz w:val="18"/>
                <w:szCs w:val="18"/>
              </w:rPr>
              <w:t xml:space="preserve">EBITDA</w:t>
            </w:r>
          </w:p>
        </w:tc>
      </w:tr>
      <w:tr>
        <w:tc>
          <w:tcPr>
            <w:tcW w:type="dxa" w:w="15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Year 1</w:t>
            </w:r>
          </w:p>
        </w:tc>
        <w:tc>
          <w:tcPr>
            <w:tcW w:type="dxa" w:w="1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R3.5M</w:t>
            </w:r>
          </w:p>
        </w:tc>
        <w:tc>
          <w:tcPr>
            <w:tcW w:type="dxa" w:w="45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25 participants placed · Seed capital closed · MVP live</w:t>
            </w:r>
          </w:p>
        </w:tc>
        <w:tc>
          <w:tcPr>
            <w:tcW w:type="dxa" w:w="1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~22%</w:t>
            </w:r>
          </w:p>
        </w:tc>
      </w:tr>
      <w:tr>
        <w:tc>
          <w:tcPr>
            <w:tcW w:type="dxa" w:w="15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Year 2</w:t>
            </w:r>
          </w:p>
        </w:tc>
        <w:tc>
          <w:tcPr>
            <w:tcW w:type="dxa" w:w="1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R15M</w:t>
            </w:r>
          </w:p>
        </w:tc>
        <w:tc>
          <w:tcPr>
            <w:tcW w:type="dxa" w:w="45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75 participants · First UDOC enterprise client · T.S pilot</w:t>
            </w:r>
          </w:p>
        </w:tc>
        <w:tc>
          <w:tcPr>
            <w:tcW w:type="dxa" w:w="12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~30%</w:t>
            </w:r>
          </w:p>
        </w:tc>
      </w:tr>
      <w:tr>
        <w:tc>
          <w:tcPr>
            <w:tcW w:type="dxa" w:w="15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Year 3</w:t>
            </w:r>
          </w:p>
        </w:tc>
        <w:tc>
          <w:tcPr>
            <w:tcW w:type="dxa" w:w="1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R98M</w:t>
            </w:r>
          </w:p>
        </w:tc>
        <w:tc>
          <w:tcPr>
            <w:tcW w:type="dxa" w:w="45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Series A trigger · 100+ placed · 3+ UDOC clients · Govt LOI</w:t>
            </w:r>
          </w:p>
        </w:tc>
        <w:tc>
          <w:tcPr>
            <w:tcW w:type="dxa" w:w="1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~31%</w:t>
            </w:r>
          </w:p>
        </w:tc>
      </w:tr>
      <w:tr>
        <w:tc>
          <w:tcPr>
            <w:tcW w:type="dxa" w:w="15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Year 5</w:t>
            </w:r>
          </w:p>
        </w:tc>
        <w:tc>
          <w:tcPr>
            <w:tcW w:type="dxa" w:w="1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R400M</w:t>
            </w:r>
          </w:p>
        </w:tc>
        <w:tc>
          <w:tcPr>
            <w:tcW w:type="dxa" w:w="45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Series A closed · MADIBA first fund · T.S major project · SADC entry</w:t>
            </w:r>
          </w:p>
        </w:tc>
        <w:tc>
          <w:tcPr>
            <w:tcW w:type="dxa" w:w="12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~33%</w:t>
            </w:r>
          </w:p>
        </w:tc>
      </w:tr>
      <w:tr>
        <w:tc>
          <w:tcPr>
            <w:tcW w:type="dxa" w:w="15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Year 10</w:t>
            </w:r>
          </w:p>
        </w:tc>
        <w:tc>
          <w:tcPr>
            <w:tcW w:type="dxa" w:w="18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R1.14B</w:t>
            </w:r>
          </w:p>
        </w:tc>
        <w:tc>
          <w:tcPr>
            <w:tcW w:type="dxa" w:w="4500"/>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10,000+ placements · SADC full · 15+ UDOC clients · EBITDA 33%</w:t>
            </w:r>
          </w:p>
        </w:tc>
        <w:tc>
          <w:tcPr>
            <w:tcW w:type="dxa" w:w="12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33%</w:t>
            </w:r>
          </w:p>
        </w:tc>
      </w:tr>
      <w:tr>
        <w:tc>
          <w:tcPr>
            <w:tcW w:type="dxa" w:w="15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Year 25</w:t>
            </w:r>
          </w:p>
        </w:tc>
        <w:tc>
          <w:tcPr>
            <w:tcW w:type="dxa" w:w="18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R5B–R20B</w:t>
            </w:r>
          </w:p>
        </w:tc>
        <w:tc>
          <w:tcPr>
            <w:tcW w:type="dxa" w:w="4500"/>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15–25 countries · Pan-African backbone · M.A.D.I.B.A at scale</w:t>
            </w:r>
          </w:p>
        </w:tc>
        <w:tc>
          <w:tcPr>
            <w:tcW w:type="dxa" w:w="12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35%+</w:t>
            </w:r>
          </w:p>
        </w:tc>
      </w:tr>
    </w:tbl>
    <w:p>
      <w:pPr>
        <w:spacing w:after="80"/>
      </w:pPr>
      <w:r>
        <w:t xml:space="preserve"/>
      </w:r>
    </w:p>
    <w:p>
      <w:pPr>
        <w:pStyle w:val="Heading2"/>
        <w:spacing w:before="320" w:after="120"/>
      </w:pPr>
      <w:r>
        <w:rPr>
          <w:rFonts w:ascii="Georgia" w:cs="Georgia" w:eastAsia="Georgia" w:hAnsi="Georgia"/>
          <w:b/>
          <w:bCs/>
          <w:color w:val="0C1A2E"/>
          <w:sz w:val="30"/>
          <w:szCs w:val="30"/>
        </w:rPr>
        <w:t xml:space="preserve">Capital Structure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Seed Capital</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R25M–R75M · Max 15% preference shares · Target IRR 40–60% over 7–10 years · Angel investors, impact capital, SEDA grants, DFIs</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Series A</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R50M–R500M · Max 20% equity · Board observer rights only · Triggered: 100+ placements + 3+ UDOC clients + government LOI · Target IRR 25–35% over 5–7 years</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Government Infrastructure Loan</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R5B–R15B · NDI-SPV structure · 51%+ government equity / 49% G.O.D.S maximum · Revenue-backed, ring-fenced · PFMA compliant · 8–15% return target, 3× cap</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M.A.D.I.B.A Fund</w:t>
            </w:r>
          </w:p>
        </w:tc>
        <w:tc>
          <w:tcPr>
            <w:tcW w:type="dxa" w:w="6826"/>
            <w:tcBorders>
              <w:top w:val="single" w:color="DDDDCC" w:sz="4"/>
              <w:left w:val="single" w:color="DDDDCC" w:sz="4"/>
              <w:bottom w:val="single" w:color="DDDDCC" w:sz="4"/>
              <w:right w:val="single" w:color="DDDDCC" w:sz="4"/>
            </w:tcBorders>
            <w:shd w:fill="FAFAF5"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GP-managed · 2% management fee + 20% carry above 8% hurdle · First close Year 3 · Target: African infrastructure SPVs, sovereign partnerships, development capital</w:t>
            </w:r>
          </w:p>
        </w:tc>
      </w:tr>
      <w:tr>
        <w:tc>
          <w:tcPr>
            <w:tcW w:type="dxa" w:w="2200"/>
            <w:tcBorders>
              <w:top w:val="single" w:color="DDDDCC" w:sz="4"/>
              <w:left w:val="single" w:color="DDDDCC" w:sz="4"/>
              <w:bottom w:val="single" w:color="DDDDCC" w:sz="4"/>
              <w:right w:val="single" w:color="DDDDCC" w:sz="4"/>
            </w:tcBorders>
            <w:shd w:fill="EDE8D8" w:val="clear"/>
            <w:tcMar>
              <w:top w:type="dxa" w:w="80"/>
              <w:left w:type="dxa" w:w="120"/>
              <w:bottom w:type="dxa" w:w="80"/>
              <w:right w:type="dxa" w:w="120"/>
            </w:tcMar>
            <w:vAlign w:val="top"/>
          </w:tcPr>
          <w:p>
            <w:r>
              <w:rPr>
                <w:rFonts w:ascii="Arial" w:cs="Arial" w:eastAsia="Arial" w:hAnsi="Arial"/>
                <w:b/>
                <w:bCs/>
                <w:color w:val="0C1A2E"/>
                <w:sz w:val="20"/>
                <w:szCs w:val="20"/>
              </w:rPr>
              <w:t xml:space="preserve">Year 25 Equity Target</w:t>
            </w:r>
          </w:p>
        </w:tc>
        <w:tc>
          <w:tcPr>
            <w:tcW w:type="dxa" w:w="6826"/>
            <w:tcBorders>
              <w:top w:val="single" w:color="DDDDCC" w:sz="4"/>
              <w:left w:val="single" w:color="DDDDCC" w:sz="4"/>
              <w:bottom w:val="single" w:color="DDDDCC" w:sz="4"/>
              <w:right w:val="single" w:color="DDDDCC" w:sz="4"/>
            </w:tcBorders>
            <w:shd w:fill="FFFFFF" w:val="clear"/>
            <w:tcMar>
              <w:top w:type="dxa" w:w="80"/>
              <w:left w:type="dxa" w:w="120"/>
              <w:bottom w:type="dxa" w:w="80"/>
              <w:right w:type="dxa" w:w="120"/>
            </w:tcMar>
            <w:vAlign w:val="top"/>
          </w:tcPr>
          <w:p>
            <w:pPr>
              <w:spacing w:after="60"/>
              <w:jc w:val="both"/>
            </w:pPr>
            <w:r>
              <w:rPr>
                <w:rFonts w:ascii="Georgia" w:cs="Georgia" w:eastAsia="Georgia" w:hAnsi="Georgia"/>
                <w:color w:val="1C1C2E"/>
                <w:sz w:val="20"/>
                <w:szCs w:val="20"/>
              </w:rPr>
              <w:t xml:space="preserve">R50 Billion–R200 Billion · Based on 12× revenue multiple across consolidated divisions · Comparable: Palantir, major infrastructure conglomerates</w:t>
            </w:r>
          </w:p>
        </w:tc>
      </w:tr>
    </w:tbl>
    <w:p>
      <w:r>
        <w:br w:type="page"/>
      </w:r>
    </w:p>
    <w:p>
      <w:r>
        <w:br w:type="page"/>
      </w:r>
    </w:p>
    <w:p>
      <w:pPr>
        <w:shd w:fill="060E1C" w:val="clear"/>
        <w:spacing w:after="80"/>
        <w:jc w:val="center"/>
      </w:pPr>
      <w:r>
        <w:rPr>
          <w:rFonts w:ascii="Georgia" w:cs="Georgia" w:eastAsia="Georgia" w:hAnsi="Georgia"/>
          <w:sz w:val="24"/>
          <w:szCs w:val="24"/>
        </w:rPr>
        <w:t xml:space="preserve"> </w:t>
      </w:r>
    </w:p>
    <w:p>
      <w:pPr>
        <w:spacing w:before="320" w:after="20"/>
        <w:jc w:val="center"/>
      </w:pPr>
      <w:r>
        <w:rPr>
          <w:rFonts w:ascii="Arial" w:cs="Arial" w:eastAsia="Arial" w:hAnsi="Arial"/>
          <w:b/>
          <w:bCs/>
          <w:color w:val="8B6914"/>
          <w:spacing w:val="80"/>
          <w:sz w:val="20"/>
          <w:szCs w:val="20"/>
        </w:rPr>
        <w:t xml:space="preserve">SECTION 12</w:t>
      </w:r>
    </w:p>
    <w:p>
      <w:pPr>
        <w:spacing w:after="20"/>
        <w:jc w:val="center"/>
      </w:pPr>
      <w:r>
        <w:rPr>
          <w:rFonts w:ascii="Georgia" w:cs="Georgia" w:eastAsia="Georgia" w:hAnsi="Georgia"/>
          <w:b/>
          <w:bCs/>
          <w:color w:val="060E1C"/>
          <w:sz w:val="40"/>
          <w:szCs w:val="40"/>
        </w:rPr>
        <w:t xml:space="preserve">The 250-Year Mandate</w:t>
      </w:r>
    </w:p>
    <w:p>
      <w:pPr>
        <w:pBdr>
          <w:bottom w:val="single" w:color="C9A84C" w:sz="8" w:space="2"/>
        </w:pBdr>
        <w:spacing w:after="80"/>
      </w:pPr>
      <w:r>
        <w:t xml:space="preserve"/>
      </w:r>
    </w:p>
    <w:p>
      <w:pPr>
        <w:spacing w:after="160"/>
      </w:pPr>
      <w:r>
        <w:t xml:space="preserve"/>
      </w:r>
    </w:p>
    <w:p>
      <w:pPr>
        <w:spacing w:after="120" w:line="276" w:lineRule="auto"/>
        <w:jc w:val="both"/>
      </w:pPr>
      <w:r>
        <w:rPr>
          <w:rFonts w:ascii="Georgia" w:cs="Georgia" w:eastAsia="Georgia" w:hAnsi="Georgia"/>
          <w:color w:val="1C1C2E"/>
          <w:sz w:val="22"/>
          <w:szCs w:val="22"/>
        </w:rPr>
        <w:t xml:space="preserve">The 250-year mandate is not a marketing statement. It is a governance mechanism.</w:t>
      </w:r>
    </w:p>
    <w:p>
      <w:pPr>
        <w:spacing w:after="120" w:line="276" w:lineRule="auto"/>
        <w:jc w:val="both"/>
      </w:pPr>
      <w:r>
        <w:rPr>
          <w:rFonts w:ascii="Georgia" w:cs="Georgia" w:eastAsia="Georgia" w:hAnsi="Georgia"/>
          <w:color w:val="1C1C2E"/>
          <w:sz w:val="22"/>
          <w:szCs w:val="22"/>
        </w:rPr>
        <w:t xml:space="preserve">When an institution is built for a quarter, every decision optimises for 90 days. When an institution is built for 250 years, every decision is evaluated against a different question: does this strengthen or weaken the system over the next generation?</w:t>
      </w:r>
    </w:p>
    <w:p>
      <w:pPr>
        <w:pBdr>
          <w:top w:val="single" w:color="8B6914" w:sz="4" w:space="2"/>
          <w:left w:val="single" w:color="C9A84C" w:sz="12" w:space="8"/>
          <w:bottom w:val="single" w:color="8B6914" w:sz="4" w:space="2"/>
        </w:pBdr>
        <w:shd w:fill="FBF4E0" w:val="clear"/>
        <w:spacing w:before="120" w:after="120" w:line="276" w:lineRule="auto"/>
        <w:ind w:left="360" w:right="360"/>
        <w:jc w:val="both"/>
      </w:pPr>
      <w:r>
        <w:rPr>
          <w:rFonts w:ascii="Georgia" w:cs="Georgia" w:eastAsia="Georgia" w:hAnsi="Georgia"/>
          <w:i/>
          <w:iCs/>
          <w:color w:val="0C1A2E"/>
          <w:sz w:val="22"/>
          <w:szCs w:val="22"/>
        </w:rPr>
        <w:t xml:space="preserve">G.O.D.S exists at the intersection of three structural forces: the AI era’s demand for new governance infrastructure, the Global South’s demographic pressure for workforce systems, and the civilisation-level challenge of aligning exponential technological capability with incrementally evolving human institutions. These forces will not resolve themselves in a business cycle. They will define the institutional landscape for the next century. G.O.D.S is designed for that timeline.</w:t>
      </w:r>
    </w:p>
    <w:p>
      <w:pPr>
        <w:pStyle w:val="Heading2"/>
        <w:spacing w:before="320" w:after="120"/>
      </w:pPr>
      <w:r>
        <w:rPr>
          <w:rFonts w:ascii="Georgia" w:cs="Georgia" w:eastAsia="Georgia" w:hAnsi="Georgia"/>
          <w:b/>
          <w:bCs/>
          <w:color w:val="0C1A2E"/>
          <w:sz w:val="30"/>
          <w:szCs w:val="30"/>
        </w:rPr>
        <w:t xml:space="preserve">What the 250-Year Mandate Means Structurally</w:t>
      </w:r>
    </w:p>
    <w:p>
      <w:pPr>
        <w:pStyle w:val="ListParagraph"/>
        <w:numPr>
          <w:ilvl w:val="0"/>
          <w:numId w:val="2"/>
        </w:numPr>
        <w:spacing w:after="80" w:line="260" w:lineRule="auto"/>
      </w:pPr>
      <w:r>
        <w:rPr>
          <w:rFonts w:ascii="Georgia" w:cs="Georgia" w:eastAsia="Georgia" w:hAnsi="Georgia"/>
          <w:color w:val="1C1C2E"/>
          <w:sz w:val="22"/>
          <w:szCs w:val="22"/>
        </w:rPr>
        <w:t xml:space="preserve">Capital structure designed to prevent extraction in perpetuity through IP Trust and COB authority</w:t>
      </w:r>
    </w:p>
    <w:p>
      <w:pPr>
        <w:pStyle w:val="ListParagraph"/>
        <w:numPr>
          <w:ilvl w:val="0"/>
          <w:numId w:val="2"/>
        </w:numPr>
        <w:spacing w:after="80" w:line="260" w:lineRule="auto"/>
      </w:pPr>
      <w:r>
        <w:rPr>
          <w:rFonts w:ascii="Georgia" w:cs="Georgia" w:eastAsia="Georgia" w:hAnsi="Georgia"/>
          <w:color w:val="1C1C2E"/>
          <w:sz w:val="22"/>
          <w:szCs w:val="22"/>
        </w:rPr>
        <w:t xml:space="preserve">Constitutional Pillars that cannot be amended without extraordinary governance process</w:t>
      </w:r>
    </w:p>
    <w:p>
      <w:pPr>
        <w:pStyle w:val="ListParagraph"/>
        <w:numPr>
          <w:ilvl w:val="0"/>
          <w:numId w:val="2"/>
        </w:numPr>
        <w:spacing w:after="80" w:line="260" w:lineRule="auto"/>
      </w:pPr>
      <w:r>
        <w:rPr>
          <w:rFonts w:ascii="Georgia" w:cs="Georgia" w:eastAsia="Georgia" w:hAnsi="Georgia"/>
          <w:color w:val="1C1C2E"/>
          <w:sz w:val="22"/>
          <w:szCs w:val="22"/>
        </w:rPr>
        <w:t xml:space="preserve">Institutional memory systems that preserve knowledge across leadership generations</w:t>
      </w:r>
    </w:p>
    <w:p>
      <w:pPr>
        <w:pStyle w:val="ListParagraph"/>
        <w:numPr>
          <w:ilvl w:val="0"/>
          <w:numId w:val="2"/>
        </w:numPr>
        <w:spacing w:after="80" w:line="260" w:lineRule="auto"/>
      </w:pPr>
      <w:r>
        <w:rPr>
          <w:rFonts w:ascii="Georgia" w:cs="Georgia" w:eastAsia="Georgia" w:hAnsi="Georgia"/>
          <w:color w:val="1C1C2E"/>
          <w:sz w:val="22"/>
          <w:szCs w:val="22"/>
        </w:rPr>
        <w:t xml:space="preserve">A compounding loop that produces more value over time rather than depreciating</w:t>
      </w:r>
    </w:p>
    <w:p>
      <w:pPr>
        <w:pStyle w:val="ListParagraph"/>
        <w:numPr>
          <w:ilvl w:val="0"/>
          <w:numId w:val="2"/>
        </w:numPr>
        <w:spacing w:after="80" w:line="260" w:lineRule="auto"/>
      </w:pPr>
      <w:r>
        <w:rPr>
          <w:rFonts w:ascii="Georgia" w:cs="Georgia" w:eastAsia="Georgia" w:hAnsi="Georgia"/>
          <w:color w:val="1C1C2E"/>
          <w:sz w:val="22"/>
          <w:szCs w:val="22"/>
        </w:rPr>
        <w:t xml:space="preserve">Governance infrastructure that strengthens rather than weakens as the system grows</w:t>
      </w:r>
    </w:p>
    <w:p>
      <w:pPr>
        <w:spacing w:after="80"/>
      </w:pPr>
      <w:r>
        <w:t xml:space="preserve"/>
      </w:r>
    </w:p>
    <w:p>
      <w:pPr>
        <w:pBdr>
          <w:bottom w:val="single" w:color="C9A84C" w:sz="8" w:space="2"/>
        </w:pBdr>
        <w:spacing w:after="80"/>
      </w:pPr>
      <w:r>
        <w:t xml:space="preserve"/>
      </w:r>
    </w:p>
    <w:p>
      <w:pPr>
        <w:spacing w:after="80"/>
      </w:pPr>
      <w:r>
        <w:t xml:space="preserve"/>
      </w:r>
    </w:p>
    <w:p>
      <w:pPr>
        <w:spacing w:after="60"/>
        <w:jc w:val="center"/>
      </w:pPr>
      <w:r>
        <w:rPr>
          <w:rFonts w:ascii="Arial" w:cs="Arial" w:eastAsia="Arial" w:hAnsi="Arial"/>
          <w:color w:val="7A7A8A"/>
          <w:sz w:val="20"/>
          <w:szCs w:val="20"/>
        </w:rPr>
        <w:t xml:space="preserve">G.O.D.S Holdings (Pty) Ltd  ·  Johannesburg, South Africa  ·  2026</w:t>
      </w:r>
    </w:p>
    <w:p>
      <w:pPr>
        <w:spacing w:after="40"/>
        <w:jc w:val="center"/>
      </w:pPr>
      <w:r>
        <w:rPr>
          <w:rFonts w:ascii="Georgia" w:cs="Georgia" w:eastAsia="Georgia" w:hAnsi="Georgia"/>
          <w:i/>
          <w:iCs/>
          <w:color w:val="8B6914"/>
          <w:sz w:val="22"/>
          <w:szCs w:val="22"/>
        </w:rPr>
        <w:t xml:space="preserve">Sashin J. Singh — Founder &amp; Architect</w:t>
      </w:r>
    </w:p>
    <w:p>
      <w:pPr>
        <w:spacing w:after="40"/>
        <w:jc w:val="center"/>
      </w:pPr>
      <w:r>
        <w:rPr>
          <w:rFonts w:ascii="Arial" w:cs="Arial" w:eastAsia="Arial" w:hAnsi="Arial"/>
          <w:color w:val="7A7A8A"/>
          <w:sz w:val="18"/>
          <w:szCs w:val="18"/>
        </w:rPr>
        <w:t xml:space="preserve">Confidential · System Manifesto V5 · Not for distribution without consent</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6" w:space="2"/>
      </w:pBdr>
      <w:tabs>
        <w:tab w:val="center" w:pos="4513"/>
        <w:tab w:val="right" w:pos="9026"/>
      </w:tabs>
      <w:spacing w:before="80"/>
    </w:pPr>
    <w:r>
      <w:rPr>
        <w:rFonts w:ascii="Arial" w:cs="Arial" w:eastAsia="Arial" w:hAnsi="Arial"/>
        <w:color w:val="7A7A8A"/>
        <w:sz w:val="16"/>
        <w:szCs w:val="16"/>
      </w:rPr>
      <w:t xml:space="preserve">G.O.D.S Holdings (Pty) Ltd  ·  Sashin J. Singh  ·  © 2026</w:t>
    </w:r>
    <w:r>
      <w:rPr>
        <w:rFonts w:ascii="Arial" w:cs="Arial" w:eastAsia="Arial" w:hAnsi="Arial"/>
        <w:sz w:val="16"/>
        <w:szCs w:val="16"/>
      </w:rPr>
      <w:t xml:space="preserve">	</w:t>
    </w:r>
    <w:r>
      <w:rPr>
        <w:rFonts w:ascii="Arial" w:cs="Arial" w:eastAsia="Arial" w:hAnsi="Arial"/>
        <w:sz w:val="16"/>
        <w:szCs w:val="16"/>
      </w:rPr>
      <w:t xml:space="preserve">	</w:t>
    </w:r>
    <w:r>
      <w:rPr>
        <w:rFonts w:ascii="Arial" w:cs="Arial" w:eastAsia="Arial" w:hAnsi="Arial"/>
        <w:color w:val="7A7A8A"/>
        <w:sz w:val="16"/>
        <w:szCs w:val="16"/>
      </w:rPr>
      <w:t xml:space="preserve">	Page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space="2"/>
      </w:pBdr>
      <w:tabs>
        <w:tab w:val="right" w:pos="9026"/>
      </w:tabs>
      <w:spacing w:after="100"/>
    </w:pPr>
    <w:r>
      <w:rPr>
        <w:rFonts w:ascii="Arial" w:cs="Arial" w:eastAsia="Arial" w:hAnsi="Arial"/>
        <w:b/>
        <w:bCs/>
        <w:color w:val="0C1A2E"/>
        <w:sz w:val="16"/>
        <w:szCs w:val="16"/>
      </w:rPr>
      <w:t xml:space="preserve">G.O.D.S  —  GOOD ORDERLY DIRECTIONAL SYSTEMS</w:t>
    </w:r>
    <w:r>
      <w:rPr>
        <w:rFonts w:ascii="Arial" w:cs="Arial" w:eastAsia="Arial" w:hAnsi="Arial"/>
        <w:color w:val="7A7A8A"/>
        <w:sz w:val="16"/>
        <w:szCs w:val="16"/>
      </w:rPr>
      <w:t xml:space="preserve">	SYSTEM MANIFESTO V5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pPr>
      <w:rPr>
        <w:rFonts w:ascii="Georgia" w:cs="Georgia" w:eastAsia="Georgia" w:hAnsi="Georgia"/>
        <w:color w:val="8B6914"/>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C1C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80" w:after="160"/>
      <w:outlineLvl w:val="0"/>
    </w:pPr>
    <w:rPr>
      <w:rFonts w:ascii="Georgia" w:cs="Georgia" w:eastAsia="Georgia" w:hAnsi="Georgia"/>
      <w:b/>
      <w:bCs/>
      <w:color w:val="060E1C"/>
      <w:sz w:val="40"/>
      <w:szCs w:val="40"/>
    </w:rPr>
  </w:style>
  <w:style w:type="paragraph" w:styleId="Heading2">
    <w:name w:val="Heading 2"/>
    <w:basedOn w:val="Normal"/>
    <w:next w:val="Normal"/>
    <w:qFormat/>
    <w:pPr>
      <w:spacing w:before="320" w:after="120"/>
      <w:outlineLvl w:val="1"/>
    </w:pPr>
    <w:rPr>
      <w:rFonts w:ascii="Georgia" w:cs="Georgia" w:eastAsia="Georgia" w:hAnsi="Georgia"/>
      <w:b/>
      <w:bCs/>
      <w:color w:val="0C1A2E"/>
      <w:sz w:val="30"/>
      <w:szCs w:val="30"/>
    </w:rPr>
  </w:style>
  <w:style w:type="paragraph" w:styleId="Heading3">
    <w:name w:val="Heading 3"/>
    <w:basedOn w:val="Normal"/>
    <w:next w:val="Normal"/>
    <w:qFormat/>
    <w:pPr>
      <w:spacing w:before="240" w:after="80"/>
      <w:outlineLvl w:val="2"/>
    </w:pPr>
    <w:rPr>
      <w:rFonts w:ascii="Arial" w:cs="Arial" w:eastAsia="Arial" w:hAnsi="Arial"/>
      <w:b/>
      <w:bCs/>
      <w:color w:val="8B691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G.O.D.S System Manifesto V5</dc:title>
  <dc:creator>Sashin J. Singh</dc:creator>
  <dc:description>G.O.D.S — Good Orderly Directional Systems — Full System Manifesto and Institutional Framework</dc:description>
  <cp:lastModifiedBy>Un-named</cp:lastModifiedBy>
  <cp:revision>1</cp:revision>
  <dcterms:created xsi:type="dcterms:W3CDTF">2026-03-10T08:04:29.128Z</dcterms:created>
  <dcterms:modified xsi:type="dcterms:W3CDTF">2026-03-10T08:04:29.129Z</dcterms:modified>
</cp:coreProperties>
</file>

<file path=docProps/custom.xml><?xml version="1.0" encoding="utf-8"?>
<Properties xmlns="http://schemas.openxmlformats.org/officeDocument/2006/custom-properties" xmlns:vt="http://schemas.openxmlformats.org/officeDocument/2006/docPropsVTypes"/>
</file>