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1440" w:after="0"/>
      </w:pPr>
    </w:p>
    <w:p>
      <w:pPr>
        <w:spacing w:before="0" w:after="80"/>
        <w:jc w:val="center"/>
      </w:pPr>
      <w:r>
        <w:rPr>
          <w:rFonts w:ascii="Georgia" w:cs="Georgia" w:eastAsia="Georgia" w:hAnsi="Georgia"/>
          <w:b/>
          <w:bCs/>
          <w:color w:val="B8972A"/>
          <w:sz w:val="120"/>
          <w:szCs w:val="120"/>
        </w:rPr>
        <w:t xml:space="preserve">G.O.D.S</w:t>
      </w:r>
    </w:p>
    <w:p>
      <w:pPr>
        <w:spacing w:before="0" w:after="200"/>
        <w:jc w:val="center"/>
      </w:pPr>
      <w:r>
        <w:rPr>
          <w:rFonts w:ascii="Georgia" w:cs="Georgia" w:eastAsia="Georgia" w:hAnsi="Georgia"/>
          <w:b/>
          <w:bCs/>
          <w:color w:val="0C2340"/>
          <w:spacing w:val="80"/>
          <w:sz w:val="34"/>
          <w:szCs w:val="34"/>
        </w:rPr>
        <w:t xml:space="preserve">GOOD ORDERLY DIRECTIONAL SYSTEMS</w:t>
      </w:r>
    </w:p>
    <w:p>
      <w:pPr>
        <w:pBdr>
          <w:bottom w:val="single" w:color="C9A84C" w:sz="4" w:space="1"/>
        </w:pBdr>
        <w:spacing w:before="200" w:after="200"/>
      </w:pPr>
    </w:p>
    <w:p>
      <w:pPr>
        <w:spacing w:before="100" w:after="100"/>
        <w:jc w:val="center"/>
      </w:pPr>
      <w:r>
        <w:rPr>
          <w:rFonts w:ascii="Calibri" w:cs="Calibri" w:eastAsia="Calibri" w:hAnsi="Calibri"/>
          <w:color w:val="0C2340"/>
          <w:sz w:val="28"/>
          <w:szCs w:val="28"/>
        </w:rPr>
        <w:t xml:space="preserve">Global Systems Company</w:t>
      </w:r>
    </w:p>
    <w:p>
      <w:pPr>
        <w:spacing w:before="60" w:after="60"/>
        <w:jc w:val="center"/>
      </w:pPr>
      <w:r>
        <w:rPr>
          <w:rFonts w:ascii="Calibri" w:cs="Calibri" w:eastAsia="Calibri" w:hAnsi="Calibri"/>
          <w:color w:val="5A5A72"/>
          <w:sz w:val="22"/>
          <w:szCs w:val="22"/>
        </w:rPr>
        <w:t xml:space="preserve">Institutional Manifesto</w:t>
      </w:r>
    </w:p>
    <w:p>
      <w:pPr>
        <w:spacing w:before="60" w:after="60"/>
        <w:jc w:val="center"/>
      </w:pPr>
      <w:r>
        <w:rPr>
          <w:rFonts w:ascii="Calibri" w:cs="Calibri" w:eastAsia="Calibri" w:hAnsi="Calibri"/>
          <w:color w:val="5A5A72"/>
          <w:sz w:val="22"/>
          <w:szCs w:val="22"/>
        </w:rPr>
        <w:t xml:space="preserve">Government &amp; Strategic Capital Edition</w:t>
      </w:r>
    </w:p>
    <w:p>
      <w:pPr>
        <w:spacing w:before="480" w:after="0"/>
      </w:pPr>
    </w:p>
    <w:p>
      <w:pPr>
        <w:spacing w:before="60" w:after="60"/>
        <w:jc w:val="center"/>
      </w:pPr>
      <w:r>
        <w:rPr>
          <w:rFonts w:ascii="Calibri" w:cs="Calibri" w:eastAsia="Calibri" w:hAnsi="Calibri"/>
          <w:color w:val="1E1E2E"/>
          <w:sz w:val="26"/>
          <w:szCs w:val="26"/>
        </w:rPr>
        <w:t xml:space="preserve">Sashin J. Singh  —  Founder &amp; Architect</w:t>
      </w:r>
    </w:p>
    <w:p>
      <w:pPr>
        <w:spacing w:before="60" w:after="60"/>
        <w:jc w:val="center"/>
      </w:pPr>
      <w:r>
        <w:rPr>
          <w:rFonts w:ascii="Calibri" w:cs="Calibri" w:eastAsia="Calibri" w:hAnsi="Calibri"/>
          <w:color w:val="5A5A72"/>
          <w:sz w:val="20"/>
          <w:szCs w:val="20"/>
        </w:rPr>
        <w:t xml:space="preserve">Johannesburg, South Africa  |  2026</w:t>
      </w:r>
    </w:p>
    <w:p>
      <w:pPr>
        <w:spacing w:before="400" w:after="0"/>
      </w:pP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2250"/>
        <w:gridCol w:w="2250"/>
        <w:gridCol w:w="2250"/>
        <w:gridCol w:w="2250"/>
      </w:tblGrid>
      <w:tr>
        <w:tc>
          <w:tcPr>
            <w:tcW w:type="dxa" w:w="2250"/>
            <w:tcBorders>
              <w:top w:val="none" w:color="FFFFFF" w:sz="0" w:space="0"/>
              <w:left w:val="none" w:color="FFFFFF" w:sz="0" w:space="0"/>
              <w:bottom w:val="none" w:color="FFFFFF" w:sz="0" w:space="0"/>
              <w:right w:val="none" w:color="FFFFFF" w:sz="0" w:space="0"/>
            </w:tcBorders>
            <w:shd w:fill="0C2340" w:val="clear"/>
            <w:tcMar>
              <w:top w:type="dxa" w:w="160"/>
              <w:left w:type="dxa" w:w="160"/>
              <w:bottom w:type="dxa" w:w="160"/>
              <w:right w:type="dxa" w:w="160"/>
            </w:tcMar>
          </w:tcPr>
          <w:p>
            <w:pPr>
              <w:jc w:val="center"/>
            </w:pPr>
            <w:r>
              <w:rPr>
                <w:rFonts w:ascii="Georgia" w:cs="Georgia" w:eastAsia="Georgia" w:hAnsi="Georgia"/>
                <w:b/>
                <w:bCs/>
                <w:color w:val="B8972A"/>
                <w:sz w:val="48"/>
                <w:szCs w:val="48"/>
              </w:rPr>
              <w:t xml:space="preserve">12</w:t>
            </w:r>
          </w:p>
          <w:p>
            <w:pPr>
              <w:jc w:val="center"/>
            </w:pPr>
            <w:r>
              <w:rPr>
                <w:rFonts w:ascii="Calibri" w:cs="Calibri" w:eastAsia="Calibri" w:hAnsi="Calibri"/>
                <w:b/>
                <w:bCs/>
                <w:color w:val="FFFFFF"/>
                <w:sz w:val="16"/>
                <w:szCs w:val="16"/>
              </w:rPr>
              <w:t xml:space="preserve">Constitutional Pillars</w:t>
            </w:r>
          </w:p>
          <w:p>
            <w:pPr>
              <w:jc w:val="center"/>
            </w:pPr>
            <w:r>
              <w:rPr>
                <w:rFonts w:ascii="Calibri" w:cs="Calibri" w:eastAsia="Calibri" w:hAnsi="Calibri"/>
                <w:i/>
                <w:iCs/>
                <w:color w:val="B8972A"/>
                <w:sz w:val="16"/>
                <w:szCs w:val="16"/>
              </w:rPr>
              <w:t xml:space="preserve">Non-negotiable</w:t>
            </w:r>
          </w:p>
        </w:tc>
        <w:tc>
          <w:tcPr>
            <w:tcW w:type="dxa" w:w="2250"/>
            <w:tcBorders>
              <w:top w:val="none" w:color="FFFFFF" w:sz="0" w:space="0"/>
              <w:left w:val="none" w:color="FFFFFF" w:sz="0" w:space="0"/>
              <w:bottom w:val="none" w:color="FFFFFF" w:sz="0" w:space="0"/>
              <w:right w:val="none" w:color="FFFFFF" w:sz="0" w:space="0"/>
            </w:tcBorders>
            <w:shd w:fill="0C2340" w:val="clear"/>
            <w:tcMar>
              <w:top w:type="dxa" w:w="160"/>
              <w:left w:type="dxa" w:w="160"/>
              <w:bottom w:type="dxa" w:w="160"/>
              <w:right w:type="dxa" w:w="160"/>
            </w:tcMar>
          </w:tcPr>
          <w:p>
            <w:pPr>
              <w:jc w:val="center"/>
            </w:pPr>
            <w:r>
              <w:rPr>
                <w:rFonts w:ascii="Georgia" w:cs="Georgia" w:eastAsia="Georgia" w:hAnsi="Georgia"/>
                <w:b/>
                <w:bCs/>
                <w:color w:val="B8972A"/>
                <w:sz w:val="48"/>
                <w:szCs w:val="48"/>
              </w:rPr>
              <w:t xml:space="preserve">4</w:t>
            </w:r>
          </w:p>
          <w:p>
            <w:pPr>
              <w:jc w:val="center"/>
            </w:pPr>
            <w:r>
              <w:rPr>
                <w:rFonts w:ascii="Calibri" w:cs="Calibri" w:eastAsia="Calibri" w:hAnsi="Calibri"/>
                <w:b/>
                <w:bCs/>
                <w:color w:val="FFFFFF"/>
                <w:sz w:val="16"/>
                <w:szCs w:val="16"/>
              </w:rPr>
              <w:t xml:space="preserve">Core Divisions</w:t>
            </w:r>
          </w:p>
          <w:p>
            <w:pPr>
              <w:jc w:val="center"/>
            </w:pPr>
            <w:r>
              <w:rPr>
                <w:rFonts w:ascii="Calibri" w:cs="Calibri" w:eastAsia="Calibri" w:hAnsi="Calibri"/>
                <w:i/>
                <w:iCs/>
                <w:color w:val="B8972A"/>
                <w:sz w:val="16"/>
                <w:szCs w:val="16"/>
              </w:rPr>
              <w:t xml:space="preserve">Integrated</w:t>
            </w:r>
          </w:p>
        </w:tc>
        <w:tc>
          <w:tcPr>
            <w:tcW w:type="dxa" w:w="2250"/>
            <w:tcBorders>
              <w:top w:val="none" w:color="FFFFFF" w:sz="0" w:space="0"/>
              <w:left w:val="none" w:color="FFFFFF" w:sz="0" w:space="0"/>
              <w:bottom w:val="none" w:color="FFFFFF" w:sz="0" w:space="0"/>
              <w:right w:val="none" w:color="FFFFFF" w:sz="0" w:space="0"/>
            </w:tcBorders>
            <w:shd w:fill="0C2340" w:val="clear"/>
            <w:tcMar>
              <w:top w:type="dxa" w:w="160"/>
              <w:left w:type="dxa" w:w="160"/>
              <w:bottom w:type="dxa" w:w="160"/>
              <w:right w:type="dxa" w:w="160"/>
            </w:tcMar>
          </w:tcPr>
          <w:p>
            <w:pPr>
              <w:jc w:val="center"/>
            </w:pPr>
            <w:r>
              <w:rPr>
                <w:rFonts w:ascii="Georgia" w:cs="Georgia" w:eastAsia="Georgia" w:hAnsi="Georgia"/>
                <w:b/>
                <w:bCs/>
                <w:color w:val="B8972A"/>
                <w:sz w:val="48"/>
                <w:szCs w:val="48"/>
              </w:rPr>
              <w:t xml:space="preserve">8</w:t>
            </w:r>
          </w:p>
          <w:p>
            <w:pPr>
              <w:jc w:val="center"/>
            </w:pPr>
            <w:r>
              <w:rPr>
                <w:rFonts w:ascii="Calibri" w:cs="Calibri" w:eastAsia="Calibri" w:hAnsi="Calibri"/>
                <w:b/>
                <w:bCs/>
                <w:color w:val="FFFFFF"/>
                <w:sz w:val="16"/>
                <w:szCs w:val="16"/>
              </w:rPr>
              <w:t xml:space="preserve">Revenue Streams</w:t>
            </w:r>
          </w:p>
          <w:p>
            <w:pPr>
              <w:jc w:val="center"/>
            </w:pPr>
            <w:r>
              <w:rPr>
                <w:rFonts w:ascii="Calibri" w:cs="Calibri" w:eastAsia="Calibri" w:hAnsi="Calibri"/>
                <w:i/>
                <w:iCs/>
                <w:color w:val="B8972A"/>
                <w:sz w:val="16"/>
                <w:szCs w:val="16"/>
              </w:rPr>
              <w:t xml:space="preserve">Diversified</w:t>
            </w:r>
          </w:p>
        </w:tc>
        <w:tc>
          <w:tcPr>
            <w:tcW w:type="dxa" w:w="2250"/>
            <w:tcBorders>
              <w:top w:val="none" w:color="FFFFFF" w:sz="0" w:space="0"/>
              <w:left w:val="none" w:color="FFFFFF" w:sz="0" w:space="0"/>
              <w:bottom w:val="none" w:color="FFFFFF" w:sz="0" w:space="0"/>
              <w:right w:val="none" w:color="FFFFFF" w:sz="0" w:space="0"/>
            </w:tcBorders>
            <w:shd w:fill="0C2340" w:val="clear"/>
            <w:tcMar>
              <w:top w:type="dxa" w:w="160"/>
              <w:left w:type="dxa" w:w="160"/>
              <w:bottom w:type="dxa" w:w="160"/>
              <w:right w:type="dxa" w:w="160"/>
            </w:tcMar>
          </w:tcPr>
          <w:p>
            <w:pPr>
              <w:jc w:val="center"/>
            </w:pPr>
            <w:r>
              <w:rPr>
                <w:rFonts w:ascii="Georgia" w:cs="Georgia" w:eastAsia="Georgia" w:hAnsi="Georgia"/>
                <w:b/>
                <w:bCs/>
                <w:color w:val="B8972A"/>
                <w:sz w:val="48"/>
                <w:szCs w:val="48"/>
              </w:rPr>
              <w:t xml:space="preserve">250</w:t>
            </w:r>
          </w:p>
          <w:p>
            <w:pPr>
              <w:jc w:val="center"/>
            </w:pPr>
            <w:r>
              <w:rPr>
                <w:rFonts w:ascii="Calibri" w:cs="Calibri" w:eastAsia="Calibri" w:hAnsi="Calibri"/>
                <w:b/>
                <w:bCs/>
                <w:color w:val="FFFFFF"/>
                <w:sz w:val="16"/>
                <w:szCs w:val="16"/>
              </w:rPr>
              <w:t xml:space="preserve">Vision Horizon</w:t>
            </w:r>
          </w:p>
          <w:p>
            <w:pPr>
              <w:jc w:val="center"/>
            </w:pPr>
            <w:r>
              <w:rPr>
                <w:rFonts w:ascii="Calibri" w:cs="Calibri" w:eastAsia="Calibri" w:hAnsi="Calibri"/>
                <w:i/>
                <w:iCs/>
                <w:color w:val="B8972A"/>
                <w:sz w:val="16"/>
                <w:szCs w:val="16"/>
              </w:rPr>
              <w:t xml:space="preserve">Years</w:t>
            </w:r>
          </w:p>
        </w:tc>
      </w:tr>
    </w:tbl>
    <w:p>
      <w:r>
        <w:br w:type="page"/>
      </w:r>
    </w:p>
    <w:p>
      <w:pPr>
        <w:pBdr>
          <w:bottom w:val="single" w:color="C9A84C" w:sz="8" w:space="4"/>
        </w:pBdr>
        <w:spacing w:before="440" w:after="120"/>
      </w:pPr>
      <w:r>
        <w:rPr>
          <w:rFonts w:ascii="Georgia" w:cs="Georgia" w:eastAsia="Georgia" w:hAnsi="Georgia"/>
          <w:b/>
          <w:bCs/>
          <w:color w:val="B8972A"/>
          <w:sz w:val="28"/>
          <w:szCs w:val="28"/>
        </w:rPr>
        <w:t xml:space="preserve"/>
      </w:r>
      <w:r>
        <w:rPr>
          <w:rFonts w:ascii="Georgia" w:cs="Georgia" w:eastAsia="Georgia" w:hAnsi="Georgia"/>
          <w:b/>
          <w:bCs/>
          <w:color w:val="0C2340"/>
          <w:sz w:val="28"/>
          <w:szCs w:val="28"/>
        </w:rPr>
        <w:t xml:space="preserve">FOUNDER'S STATEMENT</w:t>
      </w:r>
    </w:p>
    <w:p>
      <w:pPr>
        <w:spacing w:before="80" w:after="0"/>
      </w:pPr>
    </w:p>
    <w:p>
      <w:pPr>
        <w:pBdr>
          <w:left w:val="single" w:color="B8972A" w:sz="14" w:space="1"/>
        </w:pBdr>
        <w:shd w:fill="FBF7EE" w:val="clear"/>
        <w:spacing w:before="200" w:after="200"/>
        <w:ind w:left="480" w:right="480"/>
        <w:jc w:val="both"/>
      </w:pPr>
      <w:r>
        <w:rPr>
          <w:rFonts w:ascii="Georgia" w:cs="Georgia" w:eastAsia="Georgia" w:hAnsi="Georgia"/>
          <w:i/>
          <w:iCs/>
          <w:color w:val="1E1E2E"/>
          <w:sz w:val="22"/>
          <w:szCs w:val="22"/>
        </w:rPr>
        <w:t xml:space="preserve">Humanity does not suffer from a lack of intelligence, resources, or capability. Humanity suffers from fragmentation.</w:t>
      </w:r>
    </w:p>
    <w:p>
      <w:pPr>
        <w:spacing w:before="80" w:after="0"/>
      </w:pPr>
    </w:p>
    <w:p>
      <w:pPr>
        <w:spacing w:before="80" w:after="80"/>
        <w:jc w:val="both"/>
      </w:pPr>
      <w:r>
        <w:rPr>
          <w:rFonts w:ascii="Calibri" w:cs="Calibri" w:eastAsia="Calibri" w:hAnsi="Calibri"/>
          <w:color w:val="1E1E2E"/>
          <w:sz w:val="22"/>
          <w:szCs w:val="22"/>
        </w:rPr>
        <w:t xml:space="preserve">Technological progress has accelerated faster than the institutions designed to govern it. Financial systems operate independently from social outcomes. Infrastructure evolves unevenly across regions. Talent is often wasted where opportunity is absent.</w:t>
      </w:r>
    </w:p>
    <w:p>
      <w:pPr>
        <w:spacing w:before="80" w:after="80"/>
        <w:jc w:val="both"/>
      </w:pPr>
      <w:r>
        <w:rPr>
          <w:rFonts w:ascii="Calibri" w:cs="Calibri" w:eastAsia="Calibri" w:hAnsi="Calibri"/>
          <w:color w:val="1E1E2E"/>
          <w:sz w:val="22"/>
          <w:szCs w:val="22"/>
        </w:rPr>
        <w:t xml:space="preserve">The result is not a lack of potential. The result is misalignment.</w:t>
      </w:r>
    </w:p>
    <w:p>
      <w:pPr>
        <w:spacing w:before="80" w:after="80"/>
        <w:jc w:val="both"/>
      </w:pPr>
      <w:r>
        <w:rPr>
          <w:rFonts w:ascii="Calibri" w:cs="Calibri" w:eastAsia="Calibri" w:hAnsi="Calibri"/>
          <w:color w:val="1E1E2E"/>
          <w:sz w:val="22"/>
          <w:szCs w:val="22"/>
        </w:rPr>
        <w:t xml:space="preserve">G.O.D.S — Good Orderly Directional Systems — was built as a long-horizon commercial response to that misalignment. It is a global systems company: one that designs and operates infrastructure systems that improve how civilization functions.</w:t>
      </w:r>
    </w:p>
    <w:p>
      <w:pPr>
        <w:spacing w:before="80" w:after="0"/>
      </w:pPr>
    </w:p>
    <w:p>
      <w:pPr>
        <w:spacing w:before="80" w:after="80"/>
        <w:jc w:val="both"/>
      </w:pPr>
      <w:r>
        <w:rPr>
          <w:rFonts w:ascii="Calibri" w:cs="Calibri" w:eastAsia="Calibri" w:hAnsi="Calibri"/>
          <w:color w:val="1E1E2E"/>
          <w:sz w:val="22"/>
          <w:szCs w:val="22"/>
        </w:rPr>
        <w:t xml:space="preserve">It is not a political movement.</w:t>
      </w:r>
    </w:p>
    <w:p>
      <w:pPr>
        <w:spacing w:before="80" w:after="80"/>
        <w:jc w:val="both"/>
      </w:pPr>
      <w:r>
        <w:rPr>
          <w:rFonts w:ascii="Calibri" w:cs="Calibri" w:eastAsia="Calibri" w:hAnsi="Calibri"/>
          <w:color w:val="1E1E2E"/>
          <w:sz w:val="22"/>
          <w:szCs w:val="22"/>
        </w:rPr>
        <w:t xml:space="preserve">It is not a replacement for governments.</w:t>
      </w:r>
    </w:p>
    <w:p>
      <w:pPr>
        <w:spacing w:before="80" w:after="80"/>
        <w:jc w:val="both"/>
      </w:pPr>
      <w:r>
        <w:rPr>
          <w:rFonts w:ascii="Calibri" w:cs="Calibri" w:eastAsia="Calibri" w:hAnsi="Calibri"/>
          <w:color w:val="1E1E2E"/>
          <w:sz w:val="22"/>
          <w:szCs w:val="22"/>
        </w:rPr>
        <w:t xml:space="preserve">It is not an attempt to control global systems.</w:t>
      </w:r>
    </w:p>
    <w:p>
      <w:pPr>
        <w:spacing w:before="80" w:after="80"/>
        <w:jc w:val="both"/>
      </w:pPr>
      <w:r>
        <w:rPr>
          <w:rFonts w:ascii="Calibri" w:cs="Calibri" w:eastAsia="Calibri" w:hAnsi="Calibri"/>
          <w:color w:val="1E1E2E"/>
          <w:sz w:val="22"/>
          <w:szCs w:val="22"/>
        </w:rPr>
        <w:t xml:space="preserve">It is a global systems company.</w:t>
      </w:r>
    </w:p>
    <w:p>
      <w:pPr>
        <w:spacing w:before="80" w:after="0"/>
      </w:pPr>
    </w:p>
    <w:p>
      <w:pPr>
        <w:spacing w:before="80" w:after="80"/>
        <w:jc w:val="both"/>
      </w:pPr>
      <w:r>
        <w:rPr>
          <w:rFonts w:ascii="Calibri" w:cs="Calibri" w:eastAsia="Calibri" w:hAnsi="Calibri"/>
          <w:color w:val="1E1E2E"/>
          <w:sz w:val="22"/>
          <w:szCs w:val="22"/>
        </w:rPr>
        <w:t xml:space="preserve">The purpose of G.O.D.S is simple: to build systems that improve how civilization functions — commercially structured, independently governed, and built to compound across generations.</w:t>
      </w:r>
    </w:p>
    <w:p>
      <w:pPr>
        <w:spacing w:before="80" w:after="80"/>
        <w:jc w:val="both"/>
      </w:pPr>
      <w:r>
        <w:rPr>
          <w:rFonts w:ascii="Calibri" w:cs="Calibri" w:eastAsia="Calibri" w:hAnsi="Calibri"/>
          <w:color w:val="1E1E2E"/>
          <w:sz w:val="22"/>
          <w:szCs w:val="22"/>
        </w:rPr>
        <w:t xml:space="preserve">This document presents the structural blueprint for that initiative.</w:t>
      </w:r>
    </w:p>
    <w:p>
      <w:pPr>
        <w:spacing w:before="120" w:after="0"/>
      </w:pPr>
    </w:p>
    <w:p>
      <w:pPr>
        <w:spacing w:before="80" w:after="80"/>
      </w:pPr>
      <w:r>
        <w:rPr>
          <w:rFonts w:ascii="Georgia" w:cs="Georgia" w:eastAsia="Georgia" w:hAnsi="Georgia"/>
          <w:b/>
          <w:bCs/>
          <w:color w:val="0C2340"/>
          <w:sz w:val="24"/>
          <w:szCs w:val="24"/>
        </w:rPr>
        <w:t xml:space="preserve">Sashin J. Singh</w:t>
      </w:r>
      <w:r>
        <w:rPr>
          <w:rFonts w:ascii="Calibri" w:cs="Calibri" w:eastAsia="Calibri" w:hAnsi="Calibri"/>
          <w:color w:val="5A5A72"/>
          <w:sz w:val="22"/>
          <w:szCs w:val="22"/>
        </w:rPr>
        <w:t xml:space="preserve">   |   Founder, G.O.D.S</w:t>
      </w:r>
    </w:p>
    <w:p>
      <w:pPr>
        <w:pBdr>
          <w:bottom w:val="single" w:color="C9A84C" w:sz="4" w:space="1"/>
        </w:pBdr>
        <w:spacing w:before="200" w:after="200"/>
      </w:pPr>
    </w:p>
    <w:p>
      <w:r>
        <w:br w:type="page"/>
      </w:r>
    </w:p>
    <w:p>
      <w:pPr>
        <w:pBdr>
          <w:bottom w:val="single" w:color="C9A84C" w:sz="8" w:space="4"/>
        </w:pBdr>
        <w:spacing w:before="440" w:after="120"/>
      </w:pPr>
      <w:r>
        <w:rPr>
          <w:rFonts w:ascii="Georgia" w:cs="Georgia" w:eastAsia="Georgia" w:hAnsi="Georgia"/>
          <w:b/>
          <w:bCs/>
          <w:color w:val="B8972A"/>
          <w:sz w:val="28"/>
          <w:szCs w:val="28"/>
        </w:rPr>
        <w:t xml:space="preserve"/>
      </w:r>
      <w:r>
        <w:rPr>
          <w:rFonts w:ascii="Georgia" w:cs="Georgia" w:eastAsia="Georgia" w:hAnsi="Georgia"/>
          <w:b/>
          <w:bCs/>
          <w:color w:val="0C2340"/>
          <w:sz w:val="28"/>
          <w:szCs w:val="28"/>
        </w:rPr>
        <w:t xml:space="preserve">FOREWORD</w:t>
      </w:r>
    </w:p>
    <w:p>
      <w:pPr>
        <w:spacing w:before="80" w:after="80"/>
        <w:jc w:val="both"/>
      </w:pPr>
      <w:r>
        <w:rPr>
          <w:rFonts w:ascii="Calibri" w:cs="Calibri" w:eastAsia="Calibri" w:hAnsi="Calibri"/>
          <w:color w:val="1E1E2E"/>
          <w:sz w:val="22"/>
          <w:szCs w:val="22"/>
        </w:rPr>
        <w:t xml:space="preserve">This document represents more than a decade of work, refinement, and reflection.</w:t>
      </w:r>
    </w:p>
    <w:p>
      <w:pPr>
        <w:spacing w:before="80" w:after="80"/>
        <w:jc w:val="both"/>
      </w:pPr>
      <w:r>
        <w:rPr>
          <w:rFonts w:ascii="Calibri" w:cs="Calibri" w:eastAsia="Calibri" w:hAnsi="Calibri"/>
          <w:color w:val="1E1E2E"/>
          <w:sz w:val="22"/>
          <w:szCs w:val="22"/>
        </w:rPr>
        <w:t xml:space="preserve">It is not a pitch deck. It is not a speculative vision. It is the institutional blueprint for a multi-generational infrastructure initiative designed to operate across three horizons:</w:t>
      </w:r>
    </w:p>
    <w:p>
      <w:pPr>
        <w:spacing w:before="80" w:after="0"/>
      </w:pPr>
    </w:p>
    <w:p>
      <w:pPr>
        <w:pStyle w:val="ListParagraph"/>
        <w:numPr>
          <w:ilvl w:val="0"/>
          <w:numId w:val="2"/>
        </w:numPr>
        <w:spacing w:before="60" w:after="60"/>
      </w:pPr>
      <w:r>
        <w:rPr>
          <w:rFonts w:ascii="Calibri" w:cs="Calibri" w:eastAsia="Calibri" w:hAnsi="Calibri"/>
          <w:color w:val="1E1E2E"/>
          <w:sz w:val="22"/>
          <w:szCs w:val="22"/>
        </w:rPr>
        <w:t xml:space="preserve">The Startup Horizon (0–5 Years)</w:t>
      </w:r>
    </w:p>
    <w:p>
      <w:pPr>
        <w:pStyle w:val="ListParagraph"/>
        <w:numPr>
          <w:ilvl w:val="0"/>
          <w:numId w:val="2"/>
        </w:numPr>
        <w:spacing w:before="60" w:after="60"/>
      </w:pPr>
      <w:r>
        <w:rPr>
          <w:rFonts w:ascii="Calibri" w:cs="Calibri" w:eastAsia="Calibri" w:hAnsi="Calibri"/>
          <w:color w:val="1E1E2E"/>
          <w:sz w:val="22"/>
          <w:szCs w:val="22"/>
        </w:rPr>
        <w:t xml:space="preserve">The Institutional Horizon (25–100 Years)</w:t>
      </w:r>
    </w:p>
    <w:p>
      <w:pPr>
        <w:pStyle w:val="ListParagraph"/>
        <w:numPr>
          <w:ilvl w:val="0"/>
          <w:numId w:val="2"/>
        </w:numPr>
        <w:spacing w:before="60" w:after="60"/>
      </w:pPr>
      <w:r>
        <w:rPr>
          <w:rFonts w:ascii="Calibri" w:cs="Calibri" w:eastAsia="Calibri" w:hAnsi="Calibri"/>
          <w:color w:val="1E1E2E"/>
          <w:sz w:val="22"/>
          <w:szCs w:val="22"/>
        </w:rPr>
        <w:t xml:space="preserve">The Civilizational Horizon (200+ Years)</w:t>
      </w:r>
    </w:p>
    <w:p>
      <w:pPr>
        <w:spacing w:before="80" w:after="0"/>
      </w:pPr>
    </w:p>
    <w:p>
      <w:pPr>
        <w:spacing w:before="80" w:after="80"/>
        <w:jc w:val="both"/>
      </w:pPr>
      <w:r>
        <w:rPr>
          <w:rFonts w:ascii="Calibri" w:cs="Calibri" w:eastAsia="Calibri" w:hAnsi="Calibri"/>
          <w:color w:val="1E1E2E"/>
          <w:sz w:val="22"/>
          <w:szCs w:val="22"/>
        </w:rPr>
        <w:t xml:space="preserve">Most organizations plan for quarters. Some plan for decades. G.O.D.S is designed to operate across centuries — not through force, but through disciplined systems that outlast individual leadership.</w:t>
      </w:r>
    </w:p>
    <w:p>
      <w:pPr>
        <w:spacing w:before="80" w:after="80"/>
        <w:jc w:val="both"/>
      </w:pPr>
      <w:r>
        <w:rPr>
          <w:rFonts w:ascii="Calibri" w:cs="Calibri" w:eastAsia="Calibri" w:hAnsi="Calibri"/>
          <w:color w:val="1E1E2E"/>
          <w:sz w:val="22"/>
          <w:szCs w:val="22"/>
        </w:rPr>
        <w:t xml:space="preserve">The document is organized into six parts and eleven annexures, moving from problem identification through system design, business architecture, implementation, and long-horizon strategy. Each section can be read sequentially or referenced independently.</w:t>
      </w:r>
    </w:p>
    <w:p>
      <w:pPr>
        <w:spacing w:before="80" w:after="80"/>
        <w:jc w:val="both"/>
      </w:pPr>
      <w:r>
        <w:rPr>
          <w:rFonts w:ascii="Calibri" w:cs="Calibri" w:eastAsia="Calibri" w:hAnsi="Calibri"/>
          <w:color w:val="1E1E2E"/>
          <w:sz w:val="22"/>
          <w:szCs w:val="22"/>
        </w:rPr>
        <w:t xml:space="preserve">The thinking is deliberate. The commitments are specific. Vague ambition produces vague outcomes. G.O.D.S is designed for measurable results.</w:t>
      </w:r>
    </w:p>
    <w:p>
      <w:pPr>
        <w:pBdr>
          <w:bottom w:val="single" w:color="C9A84C" w:sz="4" w:space="1"/>
        </w:pBdr>
        <w:spacing w:before="200" w:after="200"/>
      </w:pPr>
    </w:p>
    <w:p>
      <w:r>
        <w:br w:type="page"/>
      </w:r>
    </w:p>
    <w:p>
      <w:pPr>
        <w:pBdr>
          <w:bottom w:val="single" w:color="C9A84C" w:sz="8" w:space="4"/>
        </w:pBdr>
        <w:spacing w:before="440" w:after="120"/>
      </w:pPr>
      <w:r>
        <w:rPr>
          <w:rFonts w:ascii="Georgia" w:cs="Georgia" w:eastAsia="Georgia" w:hAnsi="Georgia"/>
          <w:b/>
          <w:bCs/>
          <w:color w:val="B8972A"/>
          <w:sz w:val="28"/>
          <w:szCs w:val="28"/>
        </w:rPr>
        <w:t xml:space="preserve"/>
      </w:r>
      <w:r>
        <w:rPr>
          <w:rFonts w:ascii="Georgia" w:cs="Georgia" w:eastAsia="Georgia" w:hAnsi="Georgia"/>
          <w:b/>
          <w:bCs/>
          <w:color w:val="0C2340"/>
          <w:sz w:val="28"/>
          <w:szCs w:val="28"/>
        </w:rPr>
        <w:t xml:space="preserve">DOCUMENT STRUCTURE</w:t>
      </w:r>
    </w:p>
    <w:p>
      <w:pPr>
        <w:spacing w:before="80" w:after="0"/>
      </w:pP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2600"/>
        <w:gridCol w:w="6400"/>
      </w:tblGrid>
      <w:tr>
        <w:tc>
          <w:tcPr>
            <w:tcW w:type="dxa" w:w="2600"/>
            <w:tcBorders>
              <w:top w:val="single" w:color="CCCCBB" w:sz="1" w:space="0"/>
              <w:left w:val="single" w:color="CCCCBB" w:sz="1" w:space="0"/>
              <w:bottom w:val="single" w:color="CCCCBB" w:sz="1" w:space="0"/>
              <w:right w:val="single" w:color="CCCCBB" w:sz="1" w:space="0"/>
            </w:tcBorders>
            <w:shd w:fill="EDE8D8" w:val="clear"/>
            <w:tcMar>
              <w:top w:type="dxa" w:w="80"/>
              <w:left w:type="dxa" w:w="160"/>
              <w:bottom w:type="dxa" w:w="80"/>
              <w:right w:type="dxa" w:w="160"/>
            </w:tcMar>
          </w:tcPr>
          <w:p>
            <w:r>
              <w:rPr>
                <w:rFonts w:ascii="Calibri" w:cs="Calibri" w:eastAsia="Calibri" w:hAnsi="Calibri"/>
                <w:b/>
                <w:bCs/>
                <w:color w:val="0C2340"/>
                <w:sz w:val="22"/>
                <w:szCs w:val="22"/>
              </w:rPr>
              <w:t xml:space="preserve">Part I</w:t>
            </w:r>
          </w:p>
        </w:tc>
        <w:tc>
          <w:tcPr>
            <w:tcW w:type="dxa" w:w="6400"/>
            <w:tcBorders>
              <w:top w:val="single" w:color="CCCCBB" w:sz="1" w:space="0"/>
              <w:left w:val="single" w:color="CCCCBB" w:sz="1" w:space="0"/>
              <w:bottom w:val="single" w:color="CCCCBB" w:sz="1" w:space="0"/>
              <w:right w:val="single" w:color="CCCCBB" w:sz="1" w:space="0"/>
            </w:tcBorders>
            <w:shd w:fill="FFFFFF" w:val="clear"/>
            <w:tcMar>
              <w:top w:type="dxa" w:w="80"/>
              <w:left w:type="dxa" w:w="160"/>
              <w:bottom w:type="dxa" w:w="80"/>
              <w:right w:type="dxa" w:w="160"/>
            </w:tcMar>
          </w:tcPr>
          <w:p>
            <w:r>
              <w:rPr>
                <w:rFonts w:ascii="Calibri" w:cs="Calibri" w:eastAsia="Calibri" w:hAnsi="Calibri"/>
                <w:color w:val="1E1E2E"/>
                <w:sz w:val="22"/>
                <w:szCs w:val="22"/>
              </w:rPr>
              <w:t xml:space="preserve">The Problem — Why new infrastructure is needed</w:t>
            </w:r>
          </w:p>
        </w:tc>
      </w:tr>
      <w:tr>
        <w:tc>
          <w:tcPr>
            <w:tcW w:type="dxa" w:w="2600"/>
            <w:tcBorders>
              <w:top w:val="single" w:color="CCCCBB" w:sz="1" w:space="0"/>
              <w:left w:val="single" w:color="CCCCBB" w:sz="1" w:space="0"/>
              <w:bottom w:val="single" w:color="CCCCBB" w:sz="1" w:space="0"/>
              <w:right w:val="single" w:color="CCCCBB" w:sz="1" w:space="0"/>
            </w:tcBorders>
            <w:shd w:fill="F5F2EA" w:val="clear"/>
            <w:tcMar>
              <w:top w:type="dxa" w:w="80"/>
              <w:left w:type="dxa" w:w="160"/>
              <w:bottom w:type="dxa" w:w="80"/>
              <w:right w:type="dxa" w:w="160"/>
            </w:tcMar>
          </w:tcPr>
          <w:p>
            <w:r>
              <w:rPr>
                <w:rFonts w:ascii="Calibri" w:cs="Calibri" w:eastAsia="Calibri" w:hAnsi="Calibri"/>
                <w:b/>
                <w:bCs/>
                <w:color w:val="0C2340"/>
                <w:sz w:val="22"/>
                <w:szCs w:val="22"/>
              </w:rPr>
              <w:t xml:space="preserve">Part II</w:t>
            </w:r>
          </w:p>
        </w:tc>
        <w:tc>
          <w:tcPr>
            <w:tcW w:type="dxa" w:w="6400"/>
            <w:tcBorders>
              <w:top w:val="single" w:color="CCCCBB" w:sz="1" w:space="0"/>
              <w:left w:val="single" w:color="CCCCBB" w:sz="1" w:space="0"/>
              <w:bottom w:val="single" w:color="CCCCBB" w:sz="1" w:space="0"/>
              <w:right w:val="single" w:color="CCCCBB" w:sz="1" w:space="0"/>
            </w:tcBorders>
            <w:shd w:fill="FAFAF5" w:val="clear"/>
            <w:tcMar>
              <w:top w:type="dxa" w:w="80"/>
              <w:left w:type="dxa" w:w="160"/>
              <w:bottom w:type="dxa" w:w="80"/>
              <w:right w:type="dxa" w:w="160"/>
            </w:tcMar>
          </w:tcPr>
          <w:p>
            <w:r>
              <w:rPr>
                <w:rFonts w:ascii="Calibri" w:cs="Calibri" w:eastAsia="Calibri" w:hAnsi="Calibri"/>
                <w:color w:val="1E1E2E"/>
                <w:sz w:val="22"/>
                <w:szCs w:val="22"/>
              </w:rPr>
              <w:t xml:space="preserve">The Idea — What G.O.D.S is and how it is positioned</w:t>
            </w:r>
          </w:p>
        </w:tc>
      </w:tr>
      <w:tr>
        <w:tc>
          <w:tcPr>
            <w:tcW w:type="dxa" w:w="2600"/>
            <w:tcBorders>
              <w:top w:val="single" w:color="CCCCBB" w:sz="1" w:space="0"/>
              <w:left w:val="single" w:color="CCCCBB" w:sz="1" w:space="0"/>
              <w:bottom w:val="single" w:color="CCCCBB" w:sz="1" w:space="0"/>
              <w:right w:val="single" w:color="CCCCBB" w:sz="1" w:space="0"/>
            </w:tcBorders>
            <w:shd w:fill="EDE8D8" w:val="clear"/>
            <w:tcMar>
              <w:top w:type="dxa" w:w="80"/>
              <w:left w:type="dxa" w:w="160"/>
              <w:bottom w:type="dxa" w:w="80"/>
              <w:right w:type="dxa" w:w="160"/>
            </w:tcMar>
          </w:tcPr>
          <w:p>
            <w:r>
              <w:rPr>
                <w:rFonts w:ascii="Calibri" w:cs="Calibri" w:eastAsia="Calibri" w:hAnsi="Calibri"/>
                <w:b/>
                <w:bCs/>
                <w:color w:val="0C2340"/>
                <w:sz w:val="22"/>
                <w:szCs w:val="22"/>
              </w:rPr>
              <w:t xml:space="preserve">Part III</w:t>
            </w:r>
          </w:p>
        </w:tc>
        <w:tc>
          <w:tcPr>
            <w:tcW w:type="dxa" w:w="6400"/>
            <w:tcBorders>
              <w:top w:val="single" w:color="CCCCBB" w:sz="1" w:space="0"/>
              <w:left w:val="single" w:color="CCCCBB" w:sz="1" w:space="0"/>
              <w:bottom w:val="single" w:color="CCCCBB" w:sz="1" w:space="0"/>
              <w:right w:val="single" w:color="CCCCBB" w:sz="1" w:space="0"/>
            </w:tcBorders>
            <w:shd w:fill="FFFFFF" w:val="clear"/>
            <w:tcMar>
              <w:top w:type="dxa" w:w="80"/>
              <w:left w:type="dxa" w:w="160"/>
              <w:bottom w:type="dxa" w:w="80"/>
              <w:right w:type="dxa" w:w="160"/>
            </w:tcMar>
          </w:tcPr>
          <w:p>
            <w:r>
              <w:rPr>
                <w:rFonts w:ascii="Calibri" w:cs="Calibri" w:eastAsia="Calibri" w:hAnsi="Calibri"/>
                <w:color w:val="1E1E2E"/>
                <w:sz w:val="22"/>
                <w:szCs w:val="22"/>
              </w:rPr>
              <w:t xml:space="preserve">The System — S.E.T.H.S, M.A.D.I.B.A, UDOC, T.S</w:t>
            </w:r>
          </w:p>
        </w:tc>
      </w:tr>
      <w:tr>
        <w:tc>
          <w:tcPr>
            <w:tcW w:type="dxa" w:w="2600"/>
            <w:tcBorders>
              <w:top w:val="single" w:color="CCCCBB" w:sz="1" w:space="0"/>
              <w:left w:val="single" w:color="CCCCBB" w:sz="1" w:space="0"/>
              <w:bottom w:val="single" w:color="CCCCBB" w:sz="1" w:space="0"/>
              <w:right w:val="single" w:color="CCCCBB" w:sz="1" w:space="0"/>
            </w:tcBorders>
            <w:shd w:fill="F5F2EA" w:val="clear"/>
            <w:tcMar>
              <w:top w:type="dxa" w:w="80"/>
              <w:left w:type="dxa" w:w="160"/>
              <w:bottom w:type="dxa" w:w="80"/>
              <w:right w:type="dxa" w:w="160"/>
            </w:tcMar>
          </w:tcPr>
          <w:p>
            <w:r>
              <w:rPr>
                <w:rFonts w:ascii="Calibri" w:cs="Calibri" w:eastAsia="Calibri" w:hAnsi="Calibri"/>
                <w:b/>
                <w:bCs/>
                <w:color w:val="0C2340"/>
                <w:sz w:val="22"/>
                <w:szCs w:val="22"/>
              </w:rPr>
              <w:t xml:space="preserve">Part IV</w:t>
            </w:r>
          </w:p>
        </w:tc>
        <w:tc>
          <w:tcPr>
            <w:tcW w:type="dxa" w:w="6400"/>
            <w:tcBorders>
              <w:top w:val="single" w:color="CCCCBB" w:sz="1" w:space="0"/>
              <w:left w:val="single" w:color="CCCCBB" w:sz="1" w:space="0"/>
              <w:bottom w:val="single" w:color="CCCCBB" w:sz="1" w:space="0"/>
              <w:right w:val="single" w:color="CCCCBB" w:sz="1" w:space="0"/>
            </w:tcBorders>
            <w:shd w:fill="FAFAF5" w:val="clear"/>
            <w:tcMar>
              <w:top w:type="dxa" w:w="80"/>
              <w:left w:type="dxa" w:w="160"/>
              <w:bottom w:type="dxa" w:w="80"/>
              <w:right w:type="dxa" w:w="160"/>
            </w:tcMar>
          </w:tcPr>
          <w:p>
            <w:r>
              <w:rPr>
                <w:rFonts w:ascii="Calibri" w:cs="Calibri" w:eastAsia="Calibri" w:hAnsi="Calibri"/>
                <w:color w:val="1E1E2E"/>
                <w:sz w:val="22"/>
                <w:szCs w:val="22"/>
              </w:rPr>
              <w:t xml:space="preserve">The Business — Revenue, markets, capital structure</w:t>
            </w:r>
          </w:p>
        </w:tc>
      </w:tr>
      <w:tr>
        <w:tc>
          <w:tcPr>
            <w:tcW w:type="dxa" w:w="2600"/>
            <w:tcBorders>
              <w:top w:val="single" w:color="CCCCBB" w:sz="1" w:space="0"/>
              <w:left w:val="single" w:color="CCCCBB" w:sz="1" w:space="0"/>
              <w:bottom w:val="single" w:color="CCCCBB" w:sz="1" w:space="0"/>
              <w:right w:val="single" w:color="CCCCBB" w:sz="1" w:space="0"/>
            </w:tcBorders>
            <w:shd w:fill="EDE8D8" w:val="clear"/>
            <w:tcMar>
              <w:top w:type="dxa" w:w="80"/>
              <w:left w:type="dxa" w:w="160"/>
              <w:bottom w:type="dxa" w:w="80"/>
              <w:right w:type="dxa" w:w="160"/>
            </w:tcMar>
          </w:tcPr>
          <w:p>
            <w:r>
              <w:rPr>
                <w:rFonts w:ascii="Calibri" w:cs="Calibri" w:eastAsia="Calibri" w:hAnsi="Calibri"/>
                <w:b/>
                <w:bCs/>
                <w:color w:val="0C2340"/>
                <w:sz w:val="22"/>
                <w:szCs w:val="22"/>
              </w:rPr>
              <w:t xml:space="preserve">Part V</w:t>
            </w:r>
          </w:p>
        </w:tc>
        <w:tc>
          <w:tcPr>
            <w:tcW w:type="dxa" w:w="6400"/>
            <w:tcBorders>
              <w:top w:val="single" w:color="CCCCBB" w:sz="1" w:space="0"/>
              <w:left w:val="single" w:color="CCCCBB" w:sz="1" w:space="0"/>
              <w:bottom w:val="single" w:color="CCCCBB" w:sz="1" w:space="0"/>
              <w:right w:val="single" w:color="CCCCBB" w:sz="1" w:space="0"/>
            </w:tcBorders>
            <w:shd w:fill="FFFFFF" w:val="clear"/>
            <w:tcMar>
              <w:top w:type="dxa" w:w="80"/>
              <w:left w:type="dxa" w:w="160"/>
              <w:bottom w:type="dxa" w:w="80"/>
              <w:right w:type="dxa" w:w="160"/>
            </w:tcMar>
          </w:tcPr>
          <w:p>
            <w:r>
              <w:rPr>
                <w:rFonts w:ascii="Calibri" w:cs="Calibri" w:eastAsia="Calibri" w:hAnsi="Calibri"/>
                <w:color w:val="1E1E2E"/>
                <w:sz w:val="22"/>
                <w:szCs w:val="22"/>
              </w:rPr>
              <w:t xml:space="preserve">The Future — 25, 100, and 250-year horizons</w:t>
            </w:r>
          </w:p>
        </w:tc>
      </w:tr>
      <w:tr>
        <w:tc>
          <w:tcPr>
            <w:tcW w:type="dxa" w:w="2600"/>
            <w:tcBorders>
              <w:top w:val="single" w:color="CCCCBB" w:sz="1" w:space="0"/>
              <w:left w:val="single" w:color="CCCCBB" w:sz="1" w:space="0"/>
              <w:bottom w:val="single" w:color="CCCCBB" w:sz="1" w:space="0"/>
              <w:right w:val="single" w:color="CCCCBB" w:sz="1" w:space="0"/>
            </w:tcBorders>
            <w:shd w:fill="F5F2EA" w:val="clear"/>
            <w:tcMar>
              <w:top w:type="dxa" w:w="80"/>
              <w:left w:type="dxa" w:w="160"/>
              <w:bottom w:type="dxa" w:w="80"/>
              <w:right w:type="dxa" w:w="160"/>
            </w:tcMar>
          </w:tcPr>
          <w:p>
            <w:r>
              <w:rPr>
                <w:rFonts w:ascii="Calibri" w:cs="Calibri" w:eastAsia="Calibri" w:hAnsi="Calibri"/>
                <w:b/>
                <w:bCs/>
                <w:color w:val="0C2340"/>
                <w:sz w:val="22"/>
                <w:szCs w:val="22"/>
              </w:rPr>
              <w:t xml:space="preserve">Part VI</w:t>
            </w:r>
          </w:p>
        </w:tc>
        <w:tc>
          <w:tcPr>
            <w:tcW w:type="dxa" w:w="6400"/>
            <w:tcBorders>
              <w:top w:val="single" w:color="CCCCBB" w:sz="1" w:space="0"/>
              <w:left w:val="single" w:color="CCCCBB" w:sz="1" w:space="0"/>
              <w:bottom w:val="single" w:color="CCCCBB" w:sz="1" w:space="0"/>
              <w:right w:val="single" w:color="CCCCBB" w:sz="1" w:space="0"/>
            </w:tcBorders>
            <w:shd w:fill="FAFAF5" w:val="clear"/>
            <w:tcMar>
              <w:top w:type="dxa" w:w="80"/>
              <w:left w:type="dxa" w:w="160"/>
              <w:bottom w:type="dxa" w:w="80"/>
              <w:right w:type="dxa" w:w="160"/>
            </w:tcMar>
          </w:tcPr>
          <w:p>
            <w:r>
              <w:rPr>
                <w:rFonts w:ascii="Calibri" w:cs="Calibri" w:eastAsia="Calibri" w:hAnsi="Calibri"/>
                <w:color w:val="1E1E2E"/>
                <w:sz w:val="22"/>
                <w:szCs w:val="22"/>
              </w:rPr>
              <w:t xml:space="preserve">The Implementation — Day-by-day operational plan</w:t>
            </w:r>
          </w:p>
        </w:tc>
      </w:tr>
      <w:tr>
        <w:tc>
          <w:tcPr>
            <w:tcW w:type="dxa" w:w="2600"/>
            <w:tcBorders>
              <w:top w:val="single" w:color="CCCCBB" w:sz="1" w:space="0"/>
              <w:left w:val="single" w:color="CCCCBB" w:sz="1" w:space="0"/>
              <w:bottom w:val="single" w:color="CCCCBB" w:sz="1" w:space="0"/>
              <w:right w:val="single" w:color="CCCCBB" w:sz="1" w:space="0"/>
            </w:tcBorders>
            <w:shd w:fill="EDE8D8" w:val="clear"/>
            <w:tcMar>
              <w:top w:type="dxa" w:w="80"/>
              <w:left w:type="dxa" w:w="160"/>
              <w:bottom w:type="dxa" w:w="80"/>
              <w:right w:type="dxa" w:w="160"/>
            </w:tcMar>
          </w:tcPr>
          <w:p>
            <w:r>
              <w:rPr>
                <w:rFonts w:ascii="Calibri" w:cs="Calibri" w:eastAsia="Calibri" w:hAnsi="Calibri"/>
                <w:b/>
                <w:bCs/>
                <w:color w:val="0C2340"/>
                <w:sz w:val="22"/>
                <w:szCs w:val="22"/>
              </w:rPr>
              <w:t xml:space="preserve">Annexure A</w:t>
            </w:r>
          </w:p>
        </w:tc>
        <w:tc>
          <w:tcPr>
            <w:tcW w:type="dxa" w:w="6400"/>
            <w:tcBorders>
              <w:top w:val="single" w:color="CCCCBB" w:sz="1" w:space="0"/>
              <w:left w:val="single" w:color="CCCCBB" w:sz="1" w:space="0"/>
              <w:bottom w:val="single" w:color="CCCCBB" w:sz="1" w:space="0"/>
              <w:right w:val="single" w:color="CCCCBB" w:sz="1" w:space="0"/>
            </w:tcBorders>
            <w:shd w:fill="FFFFFF" w:val="clear"/>
            <w:tcMar>
              <w:top w:type="dxa" w:w="80"/>
              <w:left w:type="dxa" w:w="160"/>
              <w:bottom w:type="dxa" w:w="80"/>
              <w:right w:type="dxa" w:w="160"/>
            </w:tcMar>
          </w:tcPr>
          <w:p>
            <w:r>
              <w:rPr>
                <w:rFonts w:ascii="Calibri" w:cs="Calibri" w:eastAsia="Calibri" w:hAnsi="Calibri"/>
                <w:color w:val="1E1E2E"/>
                <w:sz w:val="22"/>
                <w:szCs w:val="22"/>
              </w:rPr>
              <w:t xml:space="preserve">Capital Flow Modeling &amp; Financial Architecture</w:t>
            </w:r>
          </w:p>
        </w:tc>
      </w:tr>
      <w:tr>
        <w:tc>
          <w:tcPr>
            <w:tcW w:type="dxa" w:w="2600"/>
            <w:tcBorders>
              <w:top w:val="single" w:color="CCCCBB" w:sz="1" w:space="0"/>
              <w:left w:val="single" w:color="CCCCBB" w:sz="1" w:space="0"/>
              <w:bottom w:val="single" w:color="CCCCBB" w:sz="1" w:space="0"/>
              <w:right w:val="single" w:color="CCCCBB" w:sz="1" w:space="0"/>
            </w:tcBorders>
            <w:shd w:fill="F5F2EA" w:val="clear"/>
            <w:tcMar>
              <w:top w:type="dxa" w:w="80"/>
              <w:left w:type="dxa" w:w="160"/>
              <w:bottom w:type="dxa" w:w="80"/>
              <w:right w:type="dxa" w:w="160"/>
            </w:tcMar>
          </w:tcPr>
          <w:p>
            <w:r>
              <w:rPr>
                <w:rFonts w:ascii="Calibri" w:cs="Calibri" w:eastAsia="Calibri" w:hAnsi="Calibri"/>
                <w:b/>
                <w:bCs/>
                <w:color w:val="0C2340"/>
                <w:sz w:val="22"/>
                <w:szCs w:val="22"/>
              </w:rPr>
              <w:t xml:space="preserve">Annexure B</w:t>
            </w:r>
          </w:p>
        </w:tc>
        <w:tc>
          <w:tcPr>
            <w:tcW w:type="dxa" w:w="6400"/>
            <w:tcBorders>
              <w:top w:val="single" w:color="CCCCBB" w:sz="1" w:space="0"/>
              <w:left w:val="single" w:color="CCCCBB" w:sz="1" w:space="0"/>
              <w:bottom w:val="single" w:color="CCCCBB" w:sz="1" w:space="0"/>
              <w:right w:val="single" w:color="CCCCBB" w:sz="1" w:space="0"/>
            </w:tcBorders>
            <w:shd w:fill="FAFAF5" w:val="clear"/>
            <w:tcMar>
              <w:top w:type="dxa" w:w="80"/>
              <w:left w:type="dxa" w:w="160"/>
              <w:bottom w:type="dxa" w:w="80"/>
              <w:right w:type="dxa" w:w="160"/>
            </w:tcMar>
          </w:tcPr>
          <w:p>
            <w:r>
              <w:rPr>
                <w:rFonts w:ascii="Calibri" w:cs="Calibri" w:eastAsia="Calibri" w:hAnsi="Calibri"/>
                <w:color w:val="1E1E2E"/>
                <w:sz w:val="22"/>
                <w:szCs w:val="22"/>
              </w:rPr>
              <w:t xml:space="preserve">Patent Portfolio &amp; IP Architecture</w:t>
            </w:r>
          </w:p>
        </w:tc>
      </w:tr>
      <w:tr>
        <w:tc>
          <w:tcPr>
            <w:tcW w:type="dxa" w:w="2600"/>
            <w:tcBorders>
              <w:top w:val="single" w:color="CCCCBB" w:sz="1" w:space="0"/>
              <w:left w:val="single" w:color="CCCCBB" w:sz="1" w:space="0"/>
              <w:bottom w:val="single" w:color="CCCCBB" w:sz="1" w:space="0"/>
              <w:right w:val="single" w:color="CCCCBB" w:sz="1" w:space="0"/>
            </w:tcBorders>
            <w:shd w:fill="EDE8D8" w:val="clear"/>
            <w:tcMar>
              <w:top w:type="dxa" w:w="80"/>
              <w:left w:type="dxa" w:w="160"/>
              <w:bottom w:type="dxa" w:w="80"/>
              <w:right w:type="dxa" w:w="160"/>
            </w:tcMar>
          </w:tcPr>
          <w:p>
            <w:r>
              <w:rPr>
                <w:rFonts w:ascii="Calibri" w:cs="Calibri" w:eastAsia="Calibri" w:hAnsi="Calibri"/>
                <w:b/>
                <w:bCs/>
                <w:color w:val="0C2340"/>
                <w:sz w:val="22"/>
                <w:szCs w:val="22"/>
              </w:rPr>
              <w:t xml:space="preserve">Annexure C</w:t>
            </w:r>
          </w:p>
        </w:tc>
        <w:tc>
          <w:tcPr>
            <w:tcW w:type="dxa" w:w="6400"/>
            <w:tcBorders>
              <w:top w:val="single" w:color="CCCCBB" w:sz="1" w:space="0"/>
              <w:left w:val="single" w:color="CCCCBB" w:sz="1" w:space="0"/>
              <w:bottom w:val="single" w:color="CCCCBB" w:sz="1" w:space="0"/>
              <w:right w:val="single" w:color="CCCCBB" w:sz="1" w:space="0"/>
            </w:tcBorders>
            <w:shd w:fill="FFFFFF" w:val="clear"/>
            <w:tcMar>
              <w:top w:type="dxa" w:w="80"/>
              <w:left w:type="dxa" w:w="160"/>
              <w:bottom w:type="dxa" w:w="80"/>
              <w:right w:type="dxa" w:w="160"/>
            </w:tcMar>
          </w:tcPr>
          <w:p>
            <w:r>
              <w:rPr>
                <w:rFonts w:ascii="Calibri" w:cs="Calibri" w:eastAsia="Calibri" w:hAnsi="Calibri"/>
                <w:color w:val="1E1E2E"/>
                <w:sz w:val="22"/>
                <w:szCs w:val="22"/>
              </w:rPr>
              <w:t xml:space="preserve">S.E.T.H.S Operations Manual — SDU &amp; Daily Program</w:t>
            </w:r>
          </w:p>
        </w:tc>
      </w:tr>
      <w:tr>
        <w:tc>
          <w:tcPr>
            <w:tcW w:type="dxa" w:w="2600"/>
            <w:tcBorders>
              <w:top w:val="single" w:color="CCCCBB" w:sz="1" w:space="0"/>
              <w:left w:val="single" w:color="CCCCBB" w:sz="1" w:space="0"/>
              <w:bottom w:val="single" w:color="CCCCBB" w:sz="1" w:space="0"/>
              <w:right w:val="single" w:color="CCCCBB" w:sz="1" w:space="0"/>
            </w:tcBorders>
            <w:shd w:fill="F5F2EA" w:val="clear"/>
            <w:tcMar>
              <w:top w:type="dxa" w:w="80"/>
              <w:left w:type="dxa" w:w="160"/>
              <w:bottom w:type="dxa" w:w="80"/>
              <w:right w:type="dxa" w:w="160"/>
            </w:tcMar>
          </w:tcPr>
          <w:p>
            <w:r>
              <w:rPr>
                <w:rFonts w:ascii="Calibri" w:cs="Calibri" w:eastAsia="Calibri" w:hAnsi="Calibri"/>
                <w:b/>
                <w:bCs/>
                <w:color w:val="0C2340"/>
                <w:sz w:val="22"/>
                <w:szCs w:val="22"/>
              </w:rPr>
              <w:t xml:space="preserve">Annexure D</w:t>
            </w:r>
          </w:p>
        </w:tc>
        <w:tc>
          <w:tcPr>
            <w:tcW w:type="dxa" w:w="6400"/>
            <w:tcBorders>
              <w:top w:val="single" w:color="CCCCBB" w:sz="1" w:space="0"/>
              <w:left w:val="single" w:color="CCCCBB" w:sz="1" w:space="0"/>
              <w:bottom w:val="single" w:color="CCCCBB" w:sz="1" w:space="0"/>
              <w:right w:val="single" w:color="CCCCBB" w:sz="1" w:space="0"/>
            </w:tcBorders>
            <w:shd w:fill="FAFAF5" w:val="clear"/>
            <w:tcMar>
              <w:top w:type="dxa" w:w="80"/>
              <w:left w:type="dxa" w:w="160"/>
              <w:bottom w:type="dxa" w:w="80"/>
              <w:right w:type="dxa" w:w="160"/>
            </w:tcMar>
          </w:tcPr>
          <w:p>
            <w:r>
              <w:rPr>
                <w:rFonts w:ascii="Calibri" w:cs="Calibri" w:eastAsia="Calibri" w:hAnsi="Calibri"/>
                <w:color w:val="1E1E2E"/>
                <w:sz w:val="22"/>
                <w:szCs w:val="22"/>
              </w:rPr>
              <w:t xml:space="preserve">UDOC Technical Specifications &amp; Quantum Architecture</w:t>
            </w:r>
          </w:p>
        </w:tc>
      </w:tr>
      <w:tr>
        <w:tc>
          <w:tcPr>
            <w:tcW w:type="dxa" w:w="2600"/>
            <w:tcBorders>
              <w:top w:val="single" w:color="CCCCBB" w:sz="1" w:space="0"/>
              <w:left w:val="single" w:color="CCCCBB" w:sz="1" w:space="0"/>
              <w:bottom w:val="single" w:color="CCCCBB" w:sz="1" w:space="0"/>
              <w:right w:val="single" w:color="CCCCBB" w:sz="1" w:space="0"/>
            </w:tcBorders>
            <w:shd w:fill="EDE8D8" w:val="clear"/>
            <w:tcMar>
              <w:top w:type="dxa" w:w="80"/>
              <w:left w:type="dxa" w:w="160"/>
              <w:bottom w:type="dxa" w:w="80"/>
              <w:right w:type="dxa" w:w="160"/>
            </w:tcMar>
          </w:tcPr>
          <w:p>
            <w:r>
              <w:rPr>
                <w:rFonts w:ascii="Calibri" w:cs="Calibri" w:eastAsia="Calibri" w:hAnsi="Calibri"/>
                <w:b/>
                <w:bCs/>
                <w:color w:val="0C2340"/>
                <w:sz w:val="22"/>
                <w:szCs w:val="22"/>
              </w:rPr>
              <w:t xml:space="preserve">Annexure E</w:t>
            </w:r>
          </w:p>
        </w:tc>
        <w:tc>
          <w:tcPr>
            <w:tcW w:type="dxa" w:w="6400"/>
            <w:tcBorders>
              <w:top w:val="single" w:color="CCCCBB" w:sz="1" w:space="0"/>
              <w:left w:val="single" w:color="CCCCBB" w:sz="1" w:space="0"/>
              <w:bottom w:val="single" w:color="CCCCBB" w:sz="1" w:space="0"/>
              <w:right w:val="single" w:color="CCCCBB" w:sz="1" w:space="0"/>
            </w:tcBorders>
            <w:shd w:fill="FFFFFF" w:val="clear"/>
            <w:tcMar>
              <w:top w:type="dxa" w:w="80"/>
              <w:left w:type="dxa" w:w="160"/>
              <w:bottom w:type="dxa" w:w="80"/>
              <w:right w:type="dxa" w:w="160"/>
            </w:tcMar>
          </w:tcPr>
          <w:p>
            <w:r>
              <w:rPr>
                <w:rFonts w:ascii="Calibri" w:cs="Calibri" w:eastAsia="Calibri" w:hAnsi="Calibri"/>
                <w:color w:val="1E1E2E"/>
                <w:sz w:val="22"/>
                <w:szCs w:val="22"/>
              </w:rPr>
              <w:t xml:space="preserve">Government Procurement Framework — South Africa</w:t>
            </w:r>
          </w:p>
        </w:tc>
      </w:tr>
      <w:tr>
        <w:tc>
          <w:tcPr>
            <w:tcW w:type="dxa" w:w="2600"/>
            <w:tcBorders>
              <w:top w:val="single" w:color="CCCCBB" w:sz="1" w:space="0"/>
              <w:left w:val="single" w:color="CCCCBB" w:sz="1" w:space="0"/>
              <w:bottom w:val="single" w:color="CCCCBB" w:sz="1" w:space="0"/>
              <w:right w:val="single" w:color="CCCCBB" w:sz="1" w:space="0"/>
            </w:tcBorders>
            <w:shd w:fill="F5F2EA" w:val="clear"/>
            <w:tcMar>
              <w:top w:type="dxa" w:w="80"/>
              <w:left w:type="dxa" w:w="160"/>
              <w:bottom w:type="dxa" w:w="80"/>
              <w:right w:type="dxa" w:w="160"/>
            </w:tcMar>
          </w:tcPr>
          <w:p>
            <w:r>
              <w:rPr>
                <w:rFonts w:ascii="Calibri" w:cs="Calibri" w:eastAsia="Calibri" w:hAnsi="Calibri"/>
                <w:b/>
                <w:bCs/>
                <w:color w:val="0C2340"/>
                <w:sz w:val="22"/>
                <w:szCs w:val="22"/>
              </w:rPr>
              <w:t xml:space="preserve">Annexure F</w:t>
            </w:r>
          </w:p>
        </w:tc>
        <w:tc>
          <w:tcPr>
            <w:tcW w:type="dxa" w:w="6400"/>
            <w:tcBorders>
              <w:top w:val="single" w:color="CCCCBB" w:sz="1" w:space="0"/>
              <w:left w:val="single" w:color="CCCCBB" w:sz="1" w:space="0"/>
              <w:bottom w:val="single" w:color="CCCCBB" w:sz="1" w:space="0"/>
              <w:right w:val="single" w:color="CCCCBB" w:sz="1" w:space="0"/>
            </w:tcBorders>
            <w:shd w:fill="FAFAF5" w:val="clear"/>
            <w:tcMar>
              <w:top w:type="dxa" w:w="80"/>
              <w:left w:type="dxa" w:w="160"/>
              <w:bottom w:type="dxa" w:w="80"/>
              <w:right w:type="dxa" w:w="160"/>
            </w:tcMar>
          </w:tcPr>
          <w:p>
            <w:r>
              <w:rPr>
                <w:rFonts w:ascii="Calibri" w:cs="Calibri" w:eastAsia="Calibri" w:hAnsi="Calibri"/>
                <w:color w:val="1E1E2E"/>
                <w:sz w:val="22"/>
                <w:szCs w:val="22"/>
              </w:rPr>
              <w:t xml:space="preserve">Detailed Financial Projections — 5 / 10 / 25 Year</w:t>
            </w:r>
          </w:p>
        </w:tc>
      </w:tr>
      <w:tr>
        <w:tc>
          <w:tcPr>
            <w:tcW w:type="dxa" w:w="2600"/>
            <w:tcBorders>
              <w:top w:val="single" w:color="CCCCBB" w:sz="1" w:space="0"/>
              <w:left w:val="single" w:color="CCCCBB" w:sz="1" w:space="0"/>
              <w:bottom w:val="single" w:color="CCCCBB" w:sz="1" w:space="0"/>
              <w:right w:val="single" w:color="CCCCBB" w:sz="1" w:space="0"/>
            </w:tcBorders>
            <w:shd w:fill="EDE8D8" w:val="clear"/>
            <w:tcMar>
              <w:top w:type="dxa" w:w="80"/>
              <w:left w:type="dxa" w:w="160"/>
              <w:bottom w:type="dxa" w:w="80"/>
              <w:right w:type="dxa" w:w="160"/>
            </w:tcMar>
          </w:tcPr>
          <w:p>
            <w:r>
              <w:rPr>
                <w:rFonts w:ascii="Calibri" w:cs="Calibri" w:eastAsia="Calibri" w:hAnsi="Calibri"/>
                <w:b/>
                <w:bCs/>
                <w:color w:val="0C2340"/>
                <w:sz w:val="22"/>
                <w:szCs w:val="22"/>
              </w:rPr>
              <w:t xml:space="preserve">Annexure G</w:t>
            </w:r>
          </w:p>
        </w:tc>
        <w:tc>
          <w:tcPr>
            <w:tcW w:type="dxa" w:w="6400"/>
            <w:tcBorders>
              <w:top w:val="single" w:color="CCCCBB" w:sz="1" w:space="0"/>
              <w:left w:val="single" w:color="CCCCBB" w:sz="1" w:space="0"/>
              <w:bottom w:val="single" w:color="CCCCBB" w:sz="1" w:space="0"/>
              <w:right w:val="single" w:color="CCCCBB" w:sz="1" w:space="0"/>
            </w:tcBorders>
            <w:shd w:fill="FFFFFF" w:val="clear"/>
            <w:tcMar>
              <w:top w:type="dxa" w:w="80"/>
              <w:left w:type="dxa" w:w="160"/>
              <w:bottom w:type="dxa" w:w="80"/>
              <w:right w:type="dxa" w:w="160"/>
            </w:tcMar>
          </w:tcPr>
          <w:p>
            <w:r>
              <w:rPr>
                <w:rFonts w:ascii="Calibri" w:cs="Calibri" w:eastAsia="Calibri" w:hAnsi="Calibri"/>
                <w:color w:val="1E1E2E"/>
                <w:sz w:val="22"/>
                <w:szCs w:val="22"/>
              </w:rPr>
              <w:t xml:space="preserve">Risk Register — Full Assessment Matrix</w:t>
            </w:r>
          </w:p>
        </w:tc>
      </w:tr>
      <w:tr>
        <w:tc>
          <w:tcPr>
            <w:tcW w:type="dxa" w:w="2600"/>
            <w:tcBorders>
              <w:top w:val="single" w:color="CCCCBB" w:sz="1" w:space="0"/>
              <w:left w:val="single" w:color="CCCCBB" w:sz="1" w:space="0"/>
              <w:bottom w:val="single" w:color="CCCCBB" w:sz="1" w:space="0"/>
              <w:right w:val="single" w:color="CCCCBB" w:sz="1" w:space="0"/>
            </w:tcBorders>
            <w:shd w:fill="F5F2EA" w:val="clear"/>
            <w:tcMar>
              <w:top w:type="dxa" w:w="80"/>
              <w:left w:type="dxa" w:w="160"/>
              <w:bottom w:type="dxa" w:w="80"/>
              <w:right w:type="dxa" w:w="160"/>
            </w:tcMar>
          </w:tcPr>
          <w:p>
            <w:r>
              <w:rPr>
                <w:rFonts w:ascii="Calibri" w:cs="Calibri" w:eastAsia="Calibri" w:hAnsi="Calibri"/>
                <w:b/>
                <w:bCs/>
                <w:color w:val="0C2340"/>
                <w:sz w:val="22"/>
                <w:szCs w:val="22"/>
              </w:rPr>
              <w:t xml:space="preserve">Annexure H</w:t>
            </w:r>
          </w:p>
        </w:tc>
        <w:tc>
          <w:tcPr>
            <w:tcW w:type="dxa" w:w="6400"/>
            <w:tcBorders>
              <w:top w:val="single" w:color="CCCCBB" w:sz="1" w:space="0"/>
              <w:left w:val="single" w:color="CCCCBB" w:sz="1" w:space="0"/>
              <w:bottom w:val="single" w:color="CCCCBB" w:sz="1" w:space="0"/>
              <w:right w:val="single" w:color="CCCCBB" w:sz="1" w:space="0"/>
            </w:tcBorders>
            <w:shd w:fill="FAFAF5" w:val="clear"/>
            <w:tcMar>
              <w:top w:type="dxa" w:w="80"/>
              <w:left w:type="dxa" w:w="160"/>
              <w:bottom w:type="dxa" w:w="80"/>
              <w:right w:type="dxa" w:w="160"/>
            </w:tcMar>
          </w:tcPr>
          <w:p>
            <w:r>
              <w:rPr>
                <w:rFonts w:ascii="Calibri" w:cs="Calibri" w:eastAsia="Calibri" w:hAnsi="Calibri"/>
                <w:color w:val="1E1E2E"/>
                <w:sz w:val="22"/>
                <w:szCs w:val="22"/>
              </w:rPr>
              <w:t xml:space="preserve">Organizational Structure &amp; Governance Chart</w:t>
            </w:r>
          </w:p>
        </w:tc>
      </w:tr>
      <w:tr>
        <w:tc>
          <w:tcPr>
            <w:tcW w:type="dxa" w:w="2600"/>
            <w:tcBorders>
              <w:top w:val="single" w:color="CCCCBB" w:sz="1" w:space="0"/>
              <w:left w:val="single" w:color="CCCCBB" w:sz="1" w:space="0"/>
              <w:bottom w:val="single" w:color="CCCCBB" w:sz="1" w:space="0"/>
              <w:right w:val="single" w:color="CCCCBB" w:sz="1" w:space="0"/>
            </w:tcBorders>
            <w:shd w:fill="EDE8D8" w:val="clear"/>
            <w:tcMar>
              <w:top w:type="dxa" w:w="80"/>
              <w:left w:type="dxa" w:w="160"/>
              <w:bottom w:type="dxa" w:w="80"/>
              <w:right w:type="dxa" w:w="160"/>
            </w:tcMar>
          </w:tcPr>
          <w:p>
            <w:r>
              <w:rPr>
                <w:rFonts w:ascii="Calibri" w:cs="Calibri" w:eastAsia="Calibri" w:hAnsi="Calibri"/>
                <w:b/>
                <w:bCs/>
                <w:color w:val="0C2340"/>
                <w:sz w:val="22"/>
                <w:szCs w:val="22"/>
              </w:rPr>
              <w:t xml:space="preserve">Annexure I</w:t>
            </w:r>
          </w:p>
        </w:tc>
        <w:tc>
          <w:tcPr>
            <w:tcW w:type="dxa" w:w="6400"/>
            <w:tcBorders>
              <w:top w:val="single" w:color="CCCCBB" w:sz="1" w:space="0"/>
              <w:left w:val="single" w:color="CCCCBB" w:sz="1" w:space="0"/>
              <w:bottom w:val="single" w:color="CCCCBB" w:sz="1" w:space="0"/>
              <w:right w:val="single" w:color="CCCCBB" w:sz="1" w:space="0"/>
            </w:tcBorders>
            <w:shd w:fill="FFFFFF" w:val="clear"/>
            <w:tcMar>
              <w:top w:type="dxa" w:w="80"/>
              <w:left w:type="dxa" w:w="160"/>
              <w:bottom w:type="dxa" w:w="80"/>
              <w:right w:type="dxa" w:w="160"/>
            </w:tcMar>
          </w:tcPr>
          <w:p>
            <w:r>
              <w:rPr>
                <w:rFonts w:ascii="Calibri" w:cs="Calibri" w:eastAsia="Calibri" w:hAnsi="Calibri"/>
                <w:color w:val="1E1E2E"/>
                <w:sz w:val="22"/>
                <w:szCs w:val="22"/>
              </w:rPr>
              <w:t xml:space="preserve">Government SPV Structure — National Digital Infrastructure</w:t>
            </w:r>
          </w:p>
        </w:tc>
      </w:tr>
      <w:tr>
        <w:tc>
          <w:tcPr>
            <w:tcW w:type="dxa" w:w="2600"/>
            <w:tcBorders>
              <w:top w:val="single" w:color="CCCCBB" w:sz="1" w:space="0"/>
              <w:left w:val="single" w:color="CCCCBB" w:sz="1" w:space="0"/>
              <w:bottom w:val="single" w:color="CCCCBB" w:sz="1" w:space="0"/>
              <w:right w:val="single" w:color="CCCCBB" w:sz="1" w:space="0"/>
            </w:tcBorders>
            <w:shd w:fill="F5F2EA" w:val="clear"/>
            <w:tcMar>
              <w:top w:type="dxa" w:w="80"/>
              <w:left w:type="dxa" w:w="160"/>
              <w:bottom w:type="dxa" w:w="80"/>
              <w:right w:type="dxa" w:w="160"/>
            </w:tcMar>
          </w:tcPr>
          <w:p>
            <w:r>
              <w:rPr>
                <w:rFonts w:ascii="Calibri" w:cs="Calibri" w:eastAsia="Calibri" w:hAnsi="Calibri"/>
                <w:b/>
                <w:bCs/>
                <w:color w:val="0C2340"/>
                <w:sz w:val="22"/>
                <w:szCs w:val="22"/>
              </w:rPr>
              <w:t xml:space="preserve">Annexure J</w:t>
            </w:r>
          </w:p>
        </w:tc>
        <w:tc>
          <w:tcPr>
            <w:tcW w:type="dxa" w:w="6400"/>
            <w:tcBorders>
              <w:top w:val="single" w:color="CCCCBB" w:sz="1" w:space="0"/>
              <w:left w:val="single" w:color="CCCCBB" w:sz="1" w:space="0"/>
              <w:bottom w:val="single" w:color="CCCCBB" w:sz="1" w:space="0"/>
              <w:right w:val="single" w:color="CCCCBB" w:sz="1" w:space="0"/>
            </w:tcBorders>
            <w:shd w:fill="FAFAF5" w:val="clear"/>
            <w:tcMar>
              <w:top w:type="dxa" w:w="80"/>
              <w:left w:type="dxa" w:w="160"/>
              <w:bottom w:type="dxa" w:w="80"/>
              <w:right w:type="dxa" w:w="160"/>
            </w:tcMar>
          </w:tcPr>
          <w:p>
            <w:r>
              <w:rPr>
                <w:rFonts w:ascii="Calibri" w:cs="Calibri" w:eastAsia="Calibri" w:hAnsi="Calibri"/>
                <w:color w:val="1E1E2E"/>
                <w:sz w:val="22"/>
                <w:szCs w:val="22"/>
              </w:rPr>
              <w:t xml:space="preserve">AI Governance Charter</w:t>
            </w:r>
          </w:p>
        </w:tc>
      </w:tr>
      <w:tr>
        <w:tc>
          <w:tcPr>
            <w:tcW w:type="dxa" w:w="2600"/>
            <w:tcBorders>
              <w:top w:val="single" w:color="CCCCBB" w:sz="1" w:space="0"/>
              <w:left w:val="single" w:color="CCCCBB" w:sz="1" w:space="0"/>
              <w:bottom w:val="single" w:color="CCCCBB" w:sz="1" w:space="0"/>
              <w:right w:val="single" w:color="CCCCBB" w:sz="1" w:space="0"/>
            </w:tcBorders>
            <w:shd w:fill="EDE8D8" w:val="clear"/>
            <w:tcMar>
              <w:top w:type="dxa" w:w="80"/>
              <w:left w:type="dxa" w:w="160"/>
              <w:bottom w:type="dxa" w:w="80"/>
              <w:right w:type="dxa" w:w="160"/>
            </w:tcMar>
          </w:tcPr>
          <w:p>
            <w:r>
              <w:rPr>
                <w:rFonts w:ascii="Calibri" w:cs="Calibri" w:eastAsia="Calibri" w:hAnsi="Calibri"/>
                <w:b/>
                <w:bCs/>
                <w:color w:val="0C2340"/>
                <w:sz w:val="22"/>
                <w:szCs w:val="22"/>
              </w:rPr>
              <w:t xml:space="preserve">Annexure K</w:t>
            </w:r>
          </w:p>
        </w:tc>
        <w:tc>
          <w:tcPr>
            <w:tcW w:type="dxa" w:w="6400"/>
            <w:tcBorders>
              <w:top w:val="single" w:color="CCCCBB" w:sz="1" w:space="0"/>
              <w:left w:val="single" w:color="CCCCBB" w:sz="1" w:space="0"/>
              <w:bottom w:val="single" w:color="CCCCBB" w:sz="1" w:space="0"/>
              <w:right w:val="single" w:color="CCCCBB" w:sz="1" w:space="0"/>
            </w:tcBorders>
            <w:shd w:fill="FFFFFF" w:val="clear"/>
            <w:tcMar>
              <w:top w:type="dxa" w:w="80"/>
              <w:left w:type="dxa" w:w="160"/>
              <w:bottom w:type="dxa" w:w="80"/>
              <w:right w:type="dxa" w:w="160"/>
            </w:tcMar>
          </w:tcPr>
          <w:p>
            <w:r>
              <w:rPr>
                <w:rFonts w:ascii="Calibri" w:cs="Calibri" w:eastAsia="Calibri" w:hAnsi="Calibri"/>
                <w:color w:val="1E1E2E"/>
                <w:sz w:val="22"/>
                <w:szCs w:val="22"/>
              </w:rPr>
              <w:t xml:space="preserve">The Twelve Constitutional Pillars — Full Text</w:t>
            </w:r>
          </w:p>
        </w:tc>
      </w:tr>
    </w:tbl>
    <w:p>
      <w:r>
        <w:br w:type="page"/>
      </w:r>
    </w:p>
    <w:p>
      <w:pPr>
        <w:shd w:fill="0C2340" w:val="clear"/>
        <w:spacing w:before="360" w:after="60"/>
        <w:jc w:val="center"/>
      </w:pPr>
      <w:r>
        <w:rPr>
          <w:rFonts w:ascii="Georgia" w:cs="Georgia" w:eastAsia="Georgia" w:hAnsi="Georgia"/>
          <w:b/>
          <w:bCs/>
          <w:color w:val="B8972A"/>
          <w:sz w:val="26"/>
          <w:szCs w:val="26"/>
        </w:rPr>
        <w:t xml:space="preserve">PART I</w:t>
      </w:r>
    </w:p>
    <w:p>
      <w:pPr>
        <w:shd w:fill="0C2340" w:val="clear"/>
        <w:spacing w:before="0" w:after="0"/>
        <w:jc w:val="center"/>
      </w:pPr>
      <w:r>
        <w:rPr>
          <w:rFonts w:ascii="Georgia" w:cs="Georgia" w:eastAsia="Georgia" w:hAnsi="Georgia"/>
          <w:b/>
          <w:bCs/>
          <w:color w:val="FFFFFF"/>
          <w:sz w:val="48"/>
          <w:szCs w:val="48"/>
        </w:rPr>
        <w:t xml:space="preserve">THE PROBLEM</w:t>
      </w:r>
    </w:p>
    <w:p>
      <w:pPr>
        <w:shd w:fill="0C2340" w:val="clear"/>
        <w:spacing w:before="0" w:after="360"/>
        <w:jc w:val="center"/>
      </w:pPr>
      <w:r>
        <w:rPr>
          <w:rFonts w:ascii="Calibri" w:cs="Calibri" w:eastAsia="Calibri" w:hAnsi="Calibri"/>
          <w:i/>
          <w:iCs/>
          <w:color w:val="B8972A"/>
          <w:sz w:val="20"/>
          <w:szCs w:val="20"/>
        </w:rPr>
        <w:t xml:space="preserve">Why new infrastructure is needed for this phase of civilization</w:t>
      </w:r>
    </w:p>
    <w:p>
      <w:pPr>
        <w:pBdr>
          <w:bottom w:val="single" w:color="C9A84C" w:sz="8" w:space="4"/>
        </w:pBdr>
        <w:spacing w:before="440" w:after="120"/>
      </w:pPr>
      <w:r>
        <w:rPr>
          <w:rFonts w:ascii="Georgia" w:cs="Georgia" w:eastAsia="Georgia" w:hAnsi="Georgia"/>
          <w:b/>
          <w:bCs/>
          <w:color w:val="B8972A"/>
          <w:sz w:val="28"/>
          <w:szCs w:val="28"/>
        </w:rPr>
        <w:t xml:space="preserve">1.1  </w:t>
      </w:r>
      <w:r>
        <w:rPr>
          <w:rFonts w:ascii="Georgia" w:cs="Georgia" w:eastAsia="Georgia" w:hAnsi="Georgia"/>
          <w:b/>
          <w:bCs/>
          <w:color w:val="0C2340"/>
          <w:sz w:val="28"/>
          <w:szCs w:val="28"/>
        </w:rPr>
        <w:t xml:space="preserve">The Structural Condition</w:t>
      </w:r>
    </w:p>
    <w:p>
      <w:pPr>
        <w:spacing w:before="140" w:after="160"/>
        <w:jc w:val="both"/>
      </w:pPr>
      <w:r>
        <w:rPr>
          <w:rFonts w:ascii="Georgia" w:cs="Georgia" w:eastAsia="Georgia" w:hAnsi="Georgia"/>
          <w:i/>
          <w:iCs/>
          <w:color w:val="5A5A72"/>
          <w:sz w:val="24"/>
          <w:szCs w:val="24"/>
        </w:rPr>
        <w:t xml:space="preserve">Existing systems solved earlier problems. New infrastructure is needed for the next phase.</w:t>
      </w:r>
    </w:p>
    <w:p>
      <w:pPr>
        <w:spacing w:before="80" w:after="80"/>
        <w:jc w:val="both"/>
      </w:pPr>
      <w:r>
        <w:rPr>
          <w:rFonts w:ascii="Calibri" w:cs="Calibri" w:eastAsia="Calibri" w:hAnsi="Calibri"/>
          <w:color w:val="1E1E2E"/>
          <w:sz w:val="22"/>
          <w:szCs w:val="22"/>
        </w:rPr>
        <w:t xml:space="preserve">Industrial-era governance was designed to coordinate physical production. Financial systems were built to allocate capital at national scale. Educational frameworks were engineered for industrial workforce standardization. These systems were highly effective for the problems they were designed to solve.</w:t>
      </w:r>
    </w:p>
    <w:p>
      <w:pPr>
        <w:spacing w:before="80" w:after="80"/>
        <w:jc w:val="both"/>
      </w:pPr>
      <w:r>
        <w:rPr>
          <w:rFonts w:ascii="Calibri" w:cs="Calibri" w:eastAsia="Calibri" w:hAnsi="Calibri"/>
          <w:color w:val="1E1E2E"/>
          <w:sz w:val="22"/>
          <w:szCs w:val="22"/>
        </w:rPr>
        <w:t xml:space="preserve">The challenge is that the problems have changed faster than the systems built to address them. Artificial intelligence is being deployed across industries faster than regulatory frameworks can assess. Capital moves across borders in milliseconds while accountability remains primarily national. Technology is creating economic transition at a pace that outstrips workforce adaptation. The result is institutional misalignment — not failure, but a gap between design parameters and current requirements.</w:t>
      </w:r>
    </w:p>
    <w:p>
      <w:pPr>
        <w:spacing w:before="80" w:after="80"/>
        <w:jc w:val="both"/>
      </w:pPr>
      <w:r>
        <w:rPr>
          <w:rFonts w:ascii="Calibri" w:cs="Calibri" w:eastAsia="Calibri" w:hAnsi="Calibri"/>
          <w:color w:val="1E1E2E"/>
          <w:sz w:val="22"/>
          <w:szCs w:val="22"/>
        </w:rPr>
        <w:t xml:space="preserve">G.O.D.S is designed to close that gap. Not to replace existing institutions, but to build the coordination infrastructure that allows them to operate effectively in a changed environment.</w:t>
      </w:r>
    </w:p>
    <w:p>
      <w:pPr>
        <w:spacing w:before="160" w:after="0"/>
      </w:pPr>
    </w:p>
    <w:p>
      <w:pPr>
        <w:pBdr>
          <w:bottom w:val="single" w:color="C9A84C" w:sz="8" w:space="4"/>
        </w:pBdr>
        <w:spacing w:before="440" w:after="120"/>
      </w:pPr>
      <w:r>
        <w:rPr>
          <w:rFonts w:ascii="Georgia" w:cs="Georgia" w:eastAsia="Georgia" w:hAnsi="Georgia"/>
          <w:b/>
          <w:bCs/>
          <w:color w:val="B8972A"/>
          <w:sz w:val="28"/>
          <w:szCs w:val="28"/>
        </w:rPr>
        <w:t xml:space="preserve">1.2  </w:t>
      </w:r>
      <w:r>
        <w:rPr>
          <w:rFonts w:ascii="Georgia" w:cs="Georgia" w:eastAsia="Georgia" w:hAnsi="Georgia"/>
          <w:b/>
          <w:bCs/>
          <w:color w:val="0C2340"/>
          <w:sz w:val="28"/>
          <w:szCs w:val="28"/>
        </w:rPr>
        <w:t xml:space="preserve">Seven Structural Pressures: 2026–2045</w:t>
      </w:r>
    </w:p>
    <w:p>
      <w:pPr>
        <w:spacing w:before="140" w:after="160"/>
        <w:jc w:val="both"/>
      </w:pPr>
      <w:r>
        <w:rPr>
          <w:rFonts w:ascii="Georgia" w:cs="Georgia" w:eastAsia="Georgia" w:hAnsi="Georgia"/>
          <w:i/>
          <w:iCs/>
          <w:color w:val="5A5A72"/>
          <w:sz w:val="24"/>
          <w:szCs w:val="24"/>
        </w:rPr>
        <w:t xml:space="preserve">These are documented, measurable trends — not projections. Each one represents both a structural challenge and a commercial opportunity for infrastructure companies positioned to address it.</w:t>
      </w:r>
    </w:p>
    <w:p>
      <w:pPr>
        <w:spacing w:before="280" w:after="80"/>
      </w:pPr>
      <w:r>
        <w:rPr>
          <w:rFonts w:ascii="Georgia" w:cs="Georgia" w:eastAsia="Georgia" w:hAnsi="Georgia"/>
          <w:b/>
          <w:bCs/>
          <w:color w:val="0C2340"/>
          <w:sz w:val="24"/>
          <w:szCs w:val="24"/>
        </w:rPr>
        <w:t xml:space="preserve">1. AI-Driven Workforce Transition</w:t>
      </w:r>
    </w:p>
    <w:p>
      <w:pPr>
        <w:spacing w:before="80" w:after="80"/>
        <w:jc w:val="both"/>
      </w:pPr>
      <w:r>
        <w:rPr>
          <w:rFonts w:ascii="Calibri" w:cs="Calibri" w:eastAsia="Calibri" w:hAnsi="Calibri"/>
          <w:color w:val="1E1E2E"/>
          <w:sz w:val="22"/>
          <w:szCs w:val="22"/>
        </w:rPr>
        <w:t xml:space="preserve">Conservative academic projections indicate that 10–30% of existing roles will require structural modification within ten years. The critical variable is not the scale of displacement — labor transitions have always been a feature of economic development. It is the speed. Historical transitions unfolded across decades. This one is unfolding across years. Without structured workforce transition infrastructure, the result is mass structural unemployment that produces fiscal and social instability.</w:t>
      </w:r>
    </w:p>
    <w:p>
      <w:pPr>
        <w:spacing w:before="80" w:after="80"/>
        <w:jc w:val="both"/>
      </w:pPr>
      <w:r>
        <w:rPr>
          <w:rFonts w:ascii="Calibri" w:cs="Calibri" w:eastAsia="Calibri" w:hAnsi="Calibri"/>
          <w:color w:val="1E1E2E"/>
          <w:sz w:val="22"/>
          <w:szCs w:val="22"/>
        </w:rPr>
        <w:t xml:space="preserve">G.O.D.S addresses this through the S.E.T.H.S human capacity engine and UDOC's workforce impact modeling capability.</w:t>
      </w:r>
    </w:p>
    <w:p>
      <w:pPr>
        <w:spacing w:before="280" w:after="80"/>
      </w:pPr>
      <w:r>
        <w:rPr>
          <w:rFonts w:ascii="Georgia" w:cs="Georgia" w:eastAsia="Georgia" w:hAnsi="Georgia"/>
          <w:b/>
          <w:bCs/>
          <w:color w:val="0C2340"/>
          <w:sz w:val="24"/>
          <w:szCs w:val="24"/>
        </w:rPr>
        <w:t xml:space="preserve">2. Institutional Trust Deficit</w:t>
      </w:r>
    </w:p>
    <w:p>
      <w:pPr>
        <w:spacing w:before="80" w:after="80"/>
        <w:jc w:val="both"/>
      </w:pPr>
      <w:r>
        <w:rPr>
          <w:rFonts w:ascii="Calibri" w:cs="Calibri" w:eastAsia="Calibri" w:hAnsi="Calibri"/>
          <w:color w:val="1E1E2E"/>
          <w:sz w:val="22"/>
          <w:szCs w:val="22"/>
        </w:rPr>
        <w:t xml:space="preserve">Trust in public institutions has declined across most surveyed economies over the past two decades. The economic cost is measurable: foreign direct investment declines in low-trust environments; long-term capital planning becomes uncertain without institutional continuity; and public service delivery suffers when accountability mechanisms are not credible. The cause is rarely bad intent. It is structural — the absence of transparent, auditable governance systems that demonstrate performance rather than assert it.</w:t>
      </w:r>
    </w:p>
    <w:p>
      <w:pPr>
        <w:spacing w:before="80" w:after="80"/>
        <w:jc w:val="both"/>
      </w:pPr>
      <w:r>
        <w:rPr>
          <w:rFonts w:ascii="Calibri" w:cs="Calibri" w:eastAsia="Calibri" w:hAnsi="Calibri"/>
          <w:color w:val="1E1E2E"/>
          <w:sz w:val="22"/>
          <w:szCs w:val="22"/>
        </w:rPr>
        <w:t xml:space="preserve">UDOC provides the technology infrastructure for transparent, verifiable governance. It builds trust through demonstrated performance rather than communication.</w:t>
      </w:r>
    </w:p>
    <w:p>
      <w:pPr>
        <w:spacing w:before="280" w:after="80"/>
      </w:pPr>
      <w:r>
        <w:rPr>
          <w:rFonts w:ascii="Georgia" w:cs="Georgia" w:eastAsia="Georgia" w:hAnsi="Georgia"/>
          <w:b/>
          <w:bCs/>
          <w:color w:val="0C2340"/>
          <w:sz w:val="24"/>
          <w:szCs w:val="24"/>
        </w:rPr>
        <w:t xml:space="preserve">3. Digital Sovereignty Gap</w:t>
      </w:r>
    </w:p>
    <w:p>
      <w:pPr>
        <w:spacing w:before="80" w:after="80"/>
        <w:jc w:val="both"/>
      </w:pPr>
      <w:r>
        <w:rPr>
          <w:rFonts w:ascii="Calibri" w:cs="Calibri" w:eastAsia="Calibri" w:hAnsi="Calibri"/>
          <w:color w:val="1E1E2E"/>
          <w:sz w:val="22"/>
          <w:szCs w:val="22"/>
        </w:rPr>
        <w:t xml:space="preserve">Advanced AI and quantum computing infrastructure is concentrated in a small number of entities. For the majority of the world's nations — including all of sub-Saharan Africa — this creates a structural dependency: reliance on digital systems whose governance, security, and data handling falls outside sovereign authority. Nations that cannot govern their own digital infrastructure face both geopolitical and practical governance constraints.</w:t>
      </w:r>
    </w:p>
    <w:p>
      <w:pPr>
        <w:spacing w:before="80" w:after="80"/>
        <w:jc w:val="both"/>
      </w:pPr>
      <w:r>
        <w:rPr>
          <w:rFonts w:ascii="Calibri" w:cs="Calibri" w:eastAsia="Calibri" w:hAnsi="Calibri"/>
          <w:color w:val="1E1E2E"/>
          <w:sz w:val="22"/>
          <w:szCs w:val="22"/>
        </w:rPr>
        <w:t xml:space="preserve">G.O.D.S addresses this through UDOC's sovereign digital backbone architecture — purpose-built so that data generated within a national jurisdiction remains under that jurisdiction's legal and operational custody.</w:t>
      </w:r>
    </w:p>
    <w:p>
      <w:pPr>
        <w:spacing w:before="280" w:after="80"/>
      </w:pPr>
      <w:r>
        <w:rPr>
          <w:rFonts w:ascii="Georgia" w:cs="Georgia" w:eastAsia="Georgia" w:hAnsi="Georgia"/>
          <w:b/>
          <w:bCs/>
          <w:color w:val="0C2340"/>
          <w:sz w:val="24"/>
          <w:szCs w:val="24"/>
        </w:rPr>
        <w:t xml:space="preserve">4. Africa's Demographic Opportunity Window</w:t>
      </w:r>
    </w:p>
    <w:p>
      <w:pPr>
        <w:spacing w:before="80" w:after="80"/>
        <w:jc w:val="both"/>
      </w:pPr>
      <w:r>
        <w:rPr>
          <w:rFonts w:ascii="Calibri" w:cs="Calibri" w:eastAsia="Calibri" w:hAnsi="Calibri"/>
          <w:color w:val="1E1E2E"/>
          <w:sz w:val="22"/>
          <w:szCs w:val="22"/>
        </w:rPr>
        <w:t xml:space="preserve">Africa's population structure is the defining economic variable of the next thirty years. The continent will have 1.5 billion young people by 2050 — the largest young workforce in history. Whether this represents an economic dividend or a stability challenge depends entirely on whether sufficient economic infrastructure, skills systems, and governance capacity is built to employ and develop that population productively.</w:t>
      </w:r>
    </w:p>
    <w:p>
      <w:pPr>
        <w:spacing w:before="80" w:after="80"/>
        <w:jc w:val="both"/>
      </w:pPr>
      <w:r>
        <w:rPr>
          <w:rFonts w:ascii="Calibri" w:cs="Calibri" w:eastAsia="Calibri" w:hAnsi="Calibri"/>
          <w:color w:val="1E1E2E"/>
          <w:sz w:val="22"/>
          <w:szCs w:val="22"/>
        </w:rPr>
        <w:t xml:space="preserve">South Africa concentrates this dynamic. Youth unemployment exceeds 60% in several provinces. Rehabilitation pathways to employment are structurally disconnected from labor markets. The G.O.D.S system enters this environment as commercial infrastructure — generating economic value by solving these exact conditions.</w:t>
      </w:r>
    </w:p>
    <w:p>
      <w:pPr>
        <w:spacing w:before="280" w:after="80"/>
      </w:pPr>
      <w:r>
        <w:rPr>
          <w:rFonts w:ascii="Georgia" w:cs="Georgia" w:eastAsia="Georgia" w:hAnsi="Georgia"/>
          <w:b/>
          <w:bCs/>
          <w:color w:val="0C2340"/>
          <w:sz w:val="24"/>
          <w:szCs w:val="24"/>
        </w:rPr>
        <w:t xml:space="preserve">5. Climate Adaptation Coordination</w:t>
      </w:r>
    </w:p>
    <w:p>
      <w:pPr>
        <w:spacing w:before="80" w:after="80"/>
        <w:jc w:val="both"/>
      </w:pPr>
      <w:r>
        <w:rPr>
          <w:rFonts w:ascii="Calibri" w:cs="Calibri" w:eastAsia="Calibri" w:hAnsi="Calibri"/>
          <w:color w:val="1E1E2E"/>
          <w:sz w:val="22"/>
          <w:szCs w:val="22"/>
        </w:rPr>
        <w:t xml:space="preserve">The governance challenge of climate adaptation — coordinating responses across water systems, agricultural planning, energy transition, and urban resilience — exceeds the planning capacity of most national governments operating without structural support. This is a coordination infrastructure requirement, not a policy one. G.O.D.S's Technological Sector and UDOC provide planning and coordination tools for adaptation without requiring sovereign authority to be ceded.</w:t>
      </w:r>
    </w:p>
    <w:p>
      <w:pPr>
        <w:spacing w:before="280" w:after="80"/>
      </w:pPr>
      <w:r>
        <w:rPr>
          <w:rFonts w:ascii="Georgia" w:cs="Georgia" w:eastAsia="Georgia" w:hAnsi="Georgia"/>
          <w:b/>
          <w:bCs/>
          <w:color w:val="0C2340"/>
          <w:sz w:val="24"/>
          <w:szCs w:val="24"/>
        </w:rPr>
        <w:t xml:space="preserve">6. Sovereign Debt Constraint on Infrastructure Investment</w:t>
      </w:r>
    </w:p>
    <w:p>
      <w:pPr>
        <w:spacing w:before="80" w:after="80"/>
        <w:jc w:val="both"/>
      </w:pPr>
      <w:r>
        <w:rPr>
          <w:rFonts w:ascii="Calibri" w:cs="Calibri" w:eastAsia="Calibri" w:hAnsi="Calibri"/>
          <w:color w:val="1E1E2E"/>
          <w:sz w:val="22"/>
          <w:szCs w:val="22"/>
        </w:rPr>
        <w:t xml:space="preserve">Sovereign debt levels across both developed and emerging economies are at historic highs. The fiscal space for structural investment in workforce development, digital infrastructure, and governance modernization is constrained precisely when it is most needed. New mechanisms that create infrastructure assets rather than expenditure liabilities are required by governments that want to invest in their institutional capacity without adding to sovereign debt burdens.</w:t>
      </w:r>
    </w:p>
    <w:p>
      <w:pPr>
        <w:spacing w:before="80" w:after="80"/>
        <w:jc w:val="both"/>
      </w:pPr>
      <w:r>
        <w:rPr>
          <w:rFonts w:ascii="Calibri" w:cs="Calibri" w:eastAsia="Calibri" w:hAnsi="Calibri"/>
          <w:color w:val="1E1E2E"/>
          <w:sz w:val="22"/>
          <w:szCs w:val="22"/>
        </w:rPr>
        <w:t xml:space="preserve">The G.O.D.S National Digital Infrastructure SPV structure creates this mechanism.</w:t>
      </w:r>
    </w:p>
    <w:p>
      <w:pPr>
        <w:spacing w:before="280" w:after="80"/>
      </w:pPr>
      <w:r>
        <w:rPr>
          <w:rFonts w:ascii="Georgia" w:cs="Georgia" w:eastAsia="Georgia" w:hAnsi="Georgia"/>
          <w:b/>
          <w:bCs/>
          <w:color w:val="0C2340"/>
          <w:sz w:val="24"/>
          <w:szCs w:val="24"/>
        </w:rPr>
        <w:t xml:space="preserve">7. Social Cohesion Pressure</w:t>
      </w:r>
    </w:p>
    <w:p>
      <w:pPr>
        <w:spacing w:before="80" w:after="80"/>
        <w:jc w:val="both"/>
      </w:pPr>
      <w:r>
        <w:rPr>
          <w:rFonts w:ascii="Calibri" w:cs="Calibri" w:eastAsia="Calibri" w:hAnsi="Calibri"/>
          <w:color w:val="1E1E2E"/>
          <w:sz w:val="22"/>
          <w:szCs w:val="22"/>
        </w:rPr>
        <w:t xml:space="preserve">The convergence of economic uncertainty, technology-driven disruption, and institutional trust deficit creates social cohesion pressure that is structural in origin. Addiction rates, economic disengagement, and social withdrawal are not primarily individual failures. They are structural responses to environments that offer insufficient pathways for economic participation, dignity, and meaningful contribution.</w:t>
      </w:r>
    </w:p>
    <w:p>
      <w:pPr>
        <w:spacing w:before="80" w:after="80"/>
        <w:jc w:val="both"/>
      </w:pPr>
      <w:r>
        <w:rPr>
          <w:rFonts w:ascii="Calibri" w:cs="Calibri" w:eastAsia="Calibri" w:hAnsi="Calibri"/>
          <w:color w:val="1E1E2E"/>
          <w:sz w:val="22"/>
          <w:szCs w:val="22"/>
        </w:rPr>
        <w:t xml:space="preserve">S.E.T.H.S addresses the structural dimension of this challenge — not through social programming, but through commercially structured rehabilitation and employment pathways.</w:t>
      </w:r>
    </w:p>
    <w:p>
      <w:pPr>
        <w:spacing w:before="160" w:after="0"/>
      </w:pPr>
    </w:p>
    <w:p>
      <w:pPr>
        <w:pBdr>
          <w:bottom w:val="single" w:color="C9A84C" w:sz="8" w:space="4"/>
        </w:pBdr>
        <w:spacing w:before="440" w:after="120"/>
      </w:pPr>
      <w:r>
        <w:rPr>
          <w:rFonts w:ascii="Georgia" w:cs="Georgia" w:eastAsia="Georgia" w:hAnsi="Georgia"/>
          <w:b/>
          <w:bCs/>
          <w:color w:val="B8972A"/>
          <w:sz w:val="28"/>
          <w:szCs w:val="28"/>
        </w:rPr>
        <w:t xml:space="preserve">1.3  </w:t>
      </w:r>
      <w:r>
        <w:rPr>
          <w:rFonts w:ascii="Georgia" w:cs="Georgia" w:eastAsia="Georgia" w:hAnsi="Georgia"/>
          <w:b/>
          <w:bCs/>
          <w:color w:val="0C2340"/>
          <w:sz w:val="28"/>
          <w:szCs w:val="28"/>
        </w:rPr>
        <w:t xml:space="preserve">Why South Africa Is the Right Starting Point</w:t>
      </w:r>
    </w:p>
    <w:p>
      <w:pPr>
        <w:pBdr>
          <w:left w:val="single" w:color="B8972A" w:sz="14" w:space="1"/>
        </w:pBdr>
        <w:shd w:fill="FBF7EE" w:val="clear"/>
        <w:spacing w:before="200" w:after="200"/>
        <w:ind w:left="480" w:right="480"/>
        <w:jc w:val="both"/>
      </w:pPr>
      <w:r>
        <w:rPr>
          <w:rFonts w:ascii="Georgia" w:cs="Georgia" w:eastAsia="Georgia" w:hAnsi="Georgia"/>
          <w:i/>
          <w:iCs/>
          <w:color w:val="1E1E2E"/>
          <w:sz w:val="22"/>
          <w:szCs w:val="22"/>
        </w:rPr>
        <w:t xml:space="preserve">G.O.D.S begins in South Africa not despite its challenges, but because of them. If the system performs in South Africa's conditions, the replication case for every comparable emerging market is documented and defensible.</w:t>
      </w:r>
    </w:p>
    <w:p>
      <w:pPr>
        <w:spacing w:before="80" w:after="80"/>
        <w:jc w:val="both"/>
      </w:pPr>
      <w:r>
        <w:rPr>
          <w:rFonts w:ascii="Calibri" w:cs="Calibri" w:eastAsia="Calibri" w:hAnsi="Calibri"/>
          <w:color w:val="1E1E2E"/>
          <w:sz w:val="22"/>
          <w:szCs w:val="22"/>
        </w:rPr>
        <w:t xml:space="preserve">South Africa presents, in concentrated form, every structural pressure described above: unemployment exceeding 32% nationally; youth unemployment above 60% in key provinces; a correctional system with high reoffending rates; chronic municipal governance challenges in key economic centers; and rapid technology adoption occurring without workforce transition infrastructure.</w:t>
      </w:r>
    </w:p>
    <w:p>
      <w:pPr>
        <w:spacing w:before="80" w:after="80"/>
        <w:jc w:val="both"/>
      </w:pPr>
      <w:r>
        <w:rPr>
          <w:rFonts w:ascii="Calibri" w:cs="Calibri" w:eastAsia="Calibri" w:hAnsi="Calibri"/>
          <w:color w:val="1E1E2E"/>
          <w:sz w:val="22"/>
          <w:szCs w:val="22"/>
        </w:rPr>
        <w:t xml:space="preserve">For investors and governments evaluating G.O.D.S, the proof-of-concept value of beginning in South Africa is clear. The question is not whether the system can work in favorable conditions. The question is whether it can work in difficult ones. South Africa answers that question definitively.</w:t>
      </w:r>
    </w:p>
    <w:p>
      <w:r>
        <w:br w:type="page"/>
      </w:r>
    </w:p>
    <w:p>
      <w:pPr>
        <w:shd w:fill="0C2340" w:val="clear"/>
        <w:spacing w:before="360" w:after="60"/>
        <w:jc w:val="center"/>
      </w:pPr>
      <w:r>
        <w:rPr>
          <w:rFonts w:ascii="Georgia" w:cs="Georgia" w:eastAsia="Georgia" w:hAnsi="Georgia"/>
          <w:b/>
          <w:bCs/>
          <w:color w:val="B8972A"/>
          <w:sz w:val="26"/>
          <w:szCs w:val="26"/>
        </w:rPr>
        <w:t xml:space="preserve">PART II</w:t>
      </w:r>
    </w:p>
    <w:p>
      <w:pPr>
        <w:shd w:fill="0C2340" w:val="clear"/>
        <w:spacing w:before="0" w:after="0"/>
        <w:jc w:val="center"/>
      </w:pPr>
      <w:r>
        <w:rPr>
          <w:rFonts w:ascii="Georgia" w:cs="Georgia" w:eastAsia="Georgia" w:hAnsi="Georgia"/>
          <w:b/>
          <w:bCs/>
          <w:color w:val="FFFFFF"/>
          <w:sz w:val="48"/>
          <w:szCs w:val="48"/>
        </w:rPr>
        <w:t xml:space="preserve">THE IDEA</w:t>
      </w:r>
    </w:p>
    <w:p>
      <w:pPr>
        <w:shd w:fill="0C2340" w:val="clear"/>
        <w:spacing w:before="0" w:after="360"/>
        <w:jc w:val="center"/>
      </w:pPr>
      <w:r>
        <w:rPr>
          <w:rFonts w:ascii="Calibri" w:cs="Calibri" w:eastAsia="Calibri" w:hAnsi="Calibri"/>
          <w:i/>
          <w:iCs/>
          <w:color w:val="B8972A"/>
          <w:sz w:val="20"/>
          <w:szCs w:val="20"/>
        </w:rPr>
        <w:t xml:space="preserve">What G.O.D.S is, how it is structured, and why it is positioned this way</w:t>
      </w:r>
    </w:p>
    <w:p>
      <w:pPr>
        <w:pBdr>
          <w:bottom w:val="single" w:color="C9A84C" w:sz="8" w:space="4"/>
        </w:pBdr>
        <w:spacing w:before="440" w:after="120"/>
      </w:pPr>
      <w:r>
        <w:rPr>
          <w:rFonts w:ascii="Georgia" w:cs="Georgia" w:eastAsia="Georgia" w:hAnsi="Georgia"/>
          <w:b/>
          <w:bCs/>
          <w:color w:val="B8972A"/>
          <w:sz w:val="28"/>
          <w:szCs w:val="28"/>
        </w:rPr>
        <w:t xml:space="preserve">2.1  </w:t>
      </w:r>
      <w:r>
        <w:rPr>
          <w:rFonts w:ascii="Georgia" w:cs="Georgia" w:eastAsia="Georgia" w:hAnsi="Georgia"/>
          <w:b/>
          <w:bCs/>
          <w:color w:val="0C2340"/>
          <w:sz w:val="28"/>
          <w:szCs w:val="28"/>
        </w:rPr>
        <w:t xml:space="preserve">Defining G.O.D.S</w:t>
      </w:r>
    </w:p>
    <w:p>
      <w:pPr>
        <w:spacing w:before="140" w:after="160"/>
        <w:jc w:val="both"/>
      </w:pPr>
      <w:r>
        <w:rPr>
          <w:rFonts w:ascii="Georgia" w:cs="Georgia" w:eastAsia="Georgia" w:hAnsi="Georgia"/>
          <w:i/>
          <w:iCs/>
          <w:color w:val="5A5A72"/>
          <w:sz w:val="24"/>
          <w:szCs w:val="24"/>
        </w:rPr>
        <w:t xml:space="preserve">G.O.D.S is a global systems company — a multi-division holding architecture that builds the coordination systems required for sustainable economic development.</w:t>
      </w:r>
    </w:p>
    <w:p>
      <w:pPr>
        <w:spacing w:before="80" w:after="80"/>
        <w:jc w:val="both"/>
      </w:pPr>
      <w:r>
        <w:rPr>
          <w:rFonts w:ascii="Calibri" w:cs="Calibri" w:eastAsia="Calibri" w:hAnsi="Calibri"/>
          <w:color w:val="1E1E2E"/>
          <w:sz w:val="22"/>
          <w:szCs w:val="22"/>
        </w:rPr>
        <w:t xml:space="preserve">The term 'civilization infrastructure' is precise. Roads, ports, electricity grids, financial clearing systems, and digital communication networks are civilization infrastructure. They do not produce final goods — they enable the production of everything else. Their value is embedded at the base layer of economic activity.</w:t>
      </w:r>
    </w:p>
    <w:p>
      <w:pPr>
        <w:spacing w:before="80" w:after="80"/>
        <w:jc w:val="both"/>
      </w:pPr>
      <w:r>
        <w:rPr>
          <w:rFonts w:ascii="Calibri" w:cs="Calibri" w:eastAsia="Calibri" w:hAnsi="Calibri"/>
          <w:color w:val="1E1E2E"/>
          <w:sz w:val="22"/>
          <w:szCs w:val="22"/>
        </w:rPr>
        <w:t xml:space="preserve">G.O.D.S builds that base layer for human systems, digital governance, and economic stability. It operates below the headline economy. It enables the headline economy to function more effectively.</w:t>
      </w:r>
    </w:p>
    <w:p>
      <w:pPr>
        <w:spacing w:before="120" w:after="0"/>
      </w:pP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2600"/>
        <w:gridCol w:w="6400"/>
      </w:tblGrid>
      <w:tr>
        <w:tc>
          <w:tcPr>
            <w:tcW w:type="dxa" w:w="2600"/>
            <w:tcBorders>
              <w:top w:val="single" w:color="CCCCBB" w:sz="1" w:space="0"/>
              <w:left w:val="single" w:color="CCCCBB" w:sz="1" w:space="0"/>
              <w:bottom w:val="single" w:color="CCCCBB" w:sz="1" w:space="0"/>
              <w:right w:val="single" w:color="CCCCBB" w:sz="1" w:space="0"/>
            </w:tcBorders>
            <w:shd w:fill="EDE8D8" w:val="clear"/>
            <w:tcMar>
              <w:top w:type="dxa" w:w="80"/>
              <w:left w:type="dxa" w:w="160"/>
              <w:bottom w:type="dxa" w:w="80"/>
              <w:right w:type="dxa" w:w="160"/>
            </w:tcMar>
          </w:tcPr>
          <w:p>
            <w:r>
              <w:rPr>
                <w:rFonts w:ascii="Calibri" w:cs="Calibri" w:eastAsia="Calibri" w:hAnsi="Calibri"/>
                <w:b/>
                <w:bCs/>
                <w:color w:val="0C2340"/>
                <w:sz w:val="22"/>
                <w:szCs w:val="22"/>
              </w:rPr>
              <w:t xml:space="preserve">Full Name</w:t>
            </w:r>
          </w:p>
        </w:tc>
        <w:tc>
          <w:tcPr>
            <w:tcW w:type="dxa" w:w="6400"/>
            <w:tcBorders>
              <w:top w:val="single" w:color="CCCCBB" w:sz="1" w:space="0"/>
              <w:left w:val="single" w:color="CCCCBB" w:sz="1" w:space="0"/>
              <w:bottom w:val="single" w:color="CCCCBB" w:sz="1" w:space="0"/>
              <w:right w:val="single" w:color="CCCCBB" w:sz="1" w:space="0"/>
            </w:tcBorders>
            <w:shd w:fill="FFFFFF" w:val="clear"/>
            <w:tcMar>
              <w:top w:type="dxa" w:w="80"/>
              <w:left w:type="dxa" w:w="160"/>
              <w:bottom w:type="dxa" w:w="80"/>
              <w:right w:type="dxa" w:w="160"/>
            </w:tcMar>
          </w:tcPr>
          <w:p>
            <w:r>
              <w:rPr>
                <w:rFonts w:ascii="Calibri" w:cs="Calibri" w:eastAsia="Calibri" w:hAnsi="Calibri"/>
                <w:color w:val="1E1E2E"/>
                <w:sz w:val="22"/>
                <w:szCs w:val="22"/>
              </w:rPr>
              <w:t xml:space="preserve">Good Orderly Directional Systems</w:t>
            </w:r>
          </w:p>
        </w:tc>
      </w:tr>
      <w:tr>
        <w:tc>
          <w:tcPr>
            <w:tcW w:type="dxa" w:w="2600"/>
            <w:tcBorders>
              <w:top w:val="single" w:color="CCCCBB" w:sz="1" w:space="0"/>
              <w:left w:val="single" w:color="CCCCBB" w:sz="1" w:space="0"/>
              <w:bottom w:val="single" w:color="CCCCBB" w:sz="1" w:space="0"/>
              <w:right w:val="single" w:color="CCCCBB" w:sz="1" w:space="0"/>
            </w:tcBorders>
            <w:shd w:fill="F5F2EA" w:val="clear"/>
            <w:tcMar>
              <w:top w:type="dxa" w:w="80"/>
              <w:left w:type="dxa" w:w="160"/>
              <w:bottom w:type="dxa" w:w="80"/>
              <w:right w:type="dxa" w:w="160"/>
            </w:tcMar>
          </w:tcPr>
          <w:p>
            <w:r>
              <w:rPr>
                <w:rFonts w:ascii="Calibri" w:cs="Calibri" w:eastAsia="Calibri" w:hAnsi="Calibri"/>
                <w:b/>
                <w:bCs/>
                <w:color w:val="0C2340"/>
                <w:sz w:val="22"/>
                <w:szCs w:val="22"/>
              </w:rPr>
              <w:t xml:space="preserve">Category</w:t>
            </w:r>
          </w:p>
        </w:tc>
        <w:tc>
          <w:tcPr>
            <w:tcW w:type="dxa" w:w="6400"/>
            <w:tcBorders>
              <w:top w:val="single" w:color="CCCCBB" w:sz="1" w:space="0"/>
              <w:left w:val="single" w:color="CCCCBB" w:sz="1" w:space="0"/>
              <w:bottom w:val="single" w:color="CCCCBB" w:sz="1" w:space="0"/>
              <w:right w:val="single" w:color="CCCCBB" w:sz="1" w:space="0"/>
            </w:tcBorders>
            <w:shd w:fill="FAFAF5" w:val="clear"/>
            <w:tcMar>
              <w:top w:type="dxa" w:w="80"/>
              <w:left w:type="dxa" w:w="160"/>
              <w:bottom w:type="dxa" w:w="80"/>
              <w:right w:type="dxa" w:w="160"/>
            </w:tcMar>
          </w:tcPr>
          <w:p>
            <w:r>
              <w:rPr>
                <w:rFonts w:ascii="Calibri" w:cs="Calibri" w:eastAsia="Calibri" w:hAnsi="Calibri"/>
                <w:color w:val="1E1E2E"/>
                <w:sz w:val="22"/>
                <w:szCs w:val="22"/>
              </w:rPr>
              <w:t xml:space="preserve">Global Systems Company</w:t>
            </w:r>
          </w:p>
        </w:tc>
      </w:tr>
      <w:tr>
        <w:tc>
          <w:tcPr>
            <w:tcW w:type="dxa" w:w="2600"/>
            <w:tcBorders>
              <w:top w:val="single" w:color="CCCCBB" w:sz="1" w:space="0"/>
              <w:left w:val="single" w:color="CCCCBB" w:sz="1" w:space="0"/>
              <w:bottom w:val="single" w:color="CCCCBB" w:sz="1" w:space="0"/>
              <w:right w:val="single" w:color="CCCCBB" w:sz="1" w:space="0"/>
            </w:tcBorders>
            <w:shd w:fill="EDE8D8" w:val="clear"/>
            <w:tcMar>
              <w:top w:type="dxa" w:w="80"/>
              <w:left w:type="dxa" w:w="160"/>
              <w:bottom w:type="dxa" w:w="80"/>
              <w:right w:type="dxa" w:w="160"/>
            </w:tcMar>
          </w:tcPr>
          <w:p>
            <w:r>
              <w:rPr>
                <w:rFonts w:ascii="Calibri" w:cs="Calibri" w:eastAsia="Calibri" w:hAnsi="Calibri"/>
                <w:b/>
                <w:bCs/>
                <w:color w:val="0C2340"/>
                <w:sz w:val="22"/>
                <w:szCs w:val="22"/>
              </w:rPr>
              <w:t xml:space="preserve">Primary Structure</w:t>
            </w:r>
          </w:p>
        </w:tc>
        <w:tc>
          <w:tcPr>
            <w:tcW w:type="dxa" w:w="6400"/>
            <w:tcBorders>
              <w:top w:val="single" w:color="CCCCBB" w:sz="1" w:space="0"/>
              <w:left w:val="single" w:color="CCCCBB" w:sz="1" w:space="0"/>
              <w:bottom w:val="single" w:color="CCCCBB" w:sz="1" w:space="0"/>
              <w:right w:val="single" w:color="CCCCBB" w:sz="1" w:space="0"/>
            </w:tcBorders>
            <w:shd w:fill="FFFFFF" w:val="clear"/>
            <w:tcMar>
              <w:top w:type="dxa" w:w="80"/>
              <w:left w:type="dxa" w:w="160"/>
              <w:bottom w:type="dxa" w:w="80"/>
              <w:right w:type="dxa" w:w="160"/>
            </w:tcMar>
          </w:tcPr>
          <w:p>
            <w:r>
              <w:rPr>
                <w:rFonts w:ascii="Calibri" w:cs="Calibri" w:eastAsia="Calibri" w:hAnsi="Calibri"/>
                <w:color w:val="1E1E2E"/>
                <w:sz w:val="22"/>
                <w:szCs w:val="22"/>
              </w:rPr>
              <w:t xml:space="preserve">Private Capital Engine with Public Integration Capability</w:t>
            </w:r>
          </w:p>
        </w:tc>
      </w:tr>
      <w:tr>
        <w:tc>
          <w:tcPr>
            <w:tcW w:type="dxa" w:w="2600"/>
            <w:tcBorders>
              <w:top w:val="single" w:color="CCCCBB" w:sz="1" w:space="0"/>
              <w:left w:val="single" w:color="CCCCBB" w:sz="1" w:space="0"/>
              <w:bottom w:val="single" w:color="CCCCBB" w:sz="1" w:space="0"/>
              <w:right w:val="single" w:color="CCCCBB" w:sz="1" w:space="0"/>
            </w:tcBorders>
            <w:shd w:fill="F5F2EA" w:val="clear"/>
            <w:tcMar>
              <w:top w:type="dxa" w:w="80"/>
              <w:left w:type="dxa" w:w="160"/>
              <w:bottom w:type="dxa" w:w="80"/>
              <w:right w:type="dxa" w:w="160"/>
            </w:tcMar>
          </w:tcPr>
          <w:p>
            <w:r>
              <w:rPr>
                <w:rFonts w:ascii="Calibri" w:cs="Calibri" w:eastAsia="Calibri" w:hAnsi="Calibri"/>
                <w:b/>
                <w:bCs/>
                <w:color w:val="0C2340"/>
                <w:sz w:val="22"/>
                <w:szCs w:val="22"/>
              </w:rPr>
              <w:t xml:space="preserve">Parent Entity</w:t>
            </w:r>
          </w:p>
        </w:tc>
        <w:tc>
          <w:tcPr>
            <w:tcW w:type="dxa" w:w="6400"/>
            <w:tcBorders>
              <w:top w:val="single" w:color="CCCCBB" w:sz="1" w:space="0"/>
              <w:left w:val="single" w:color="CCCCBB" w:sz="1" w:space="0"/>
              <w:bottom w:val="single" w:color="CCCCBB" w:sz="1" w:space="0"/>
              <w:right w:val="single" w:color="CCCCBB" w:sz="1" w:space="0"/>
            </w:tcBorders>
            <w:shd w:fill="FAFAF5" w:val="clear"/>
            <w:tcMar>
              <w:top w:type="dxa" w:w="80"/>
              <w:left w:type="dxa" w:w="160"/>
              <w:bottom w:type="dxa" w:w="80"/>
              <w:right w:type="dxa" w:w="160"/>
            </w:tcMar>
          </w:tcPr>
          <w:p>
            <w:r>
              <w:rPr>
                <w:rFonts w:ascii="Calibri" w:cs="Calibri" w:eastAsia="Calibri" w:hAnsi="Calibri"/>
                <w:color w:val="1E1E2E"/>
                <w:sz w:val="22"/>
                <w:szCs w:val="22"/>
              </w:rPr>
              <w:t xml:space="preserve">G.O.D.S Holdings (Pty) Ltd — Constitutional parent, mission custody</w:t>
            </w:r>
          </w:p>
        </w:tc>
      </w:tr>
      <w:tr>
        <w:tc>
          <w:tcPr>
            <w:tcW w:type="dxa" w:w="2600"/>
            <w:tcBorders>
              <w:top w:val="single" w:color="CCCCBB" w:sz="1" w:space="0"/>
              <w:left w:val="single" w:color="CCCCBB" w:sz="1" w:space="0"/>
              <w:bottom w:val="single" w:color="CCCCBB" w:sz="1" w:space="0"/>
              <w:right w:val="single" w:color="CCCCBB" w:sz="1" w:space="0"/>
            </w:tcBorders>
            <w:shd w:fill="EDE8D8" w:val="clear"/>
            <w:tcMar>
              <w:top w:type="dxa" w:w="80"/>
              <w:left w:type="dxa" w:w="160"/>
              <w:bottom w:type="dxa" w:w="80"/>
              <w:right w:type="dxa" w:w="160"/>
            </w:tcMar>
          </w:tcPr>
          <w:p>
            <w:r>
              <w:rPr>
                <w:rFonts w:ascii="Calibri" w:cs="Calibri" w:eastAsia="Calibri" w:hAnsi="Calibri"/>
                <w:b/>
                <w:bCs/>
                <w:color w:val="0C2340"/>
                <w:sz w:val="22"/>
                <w:szCs w:val="22"/>
              </w:rPr>
              <w:t xml:space="preserve">Commercial Engine</w:t>
            </w:r>
          </w:p>
        </w:tc>
        <w:tc>
          <w:tcPr>
            <w:tcW w:type="dxa" w:w="6400"/>
            <w:tcBorders>
              <w:top w:val="single" w:color="CCCCBB" w:sz="1" w:space="0"/>
              <w:left w:val="single" w:color="CCCCBB" w:sz="1" w:space="0"/>
              <w:bottom w:val="single" w:color="CCCCBB" w:sz="1" w:space="0"/>
              <w:right w:val="single" w:color="CCCCBB" w:sz="1" w:space="0"/>
            </w:tcBorders>
            <w:shd w:fill="FFFFFF" w:val="clear"/>
            <w:tcMar>
              <w:top w:type="dxa" w:w="80"/>
              <w:left w:type="dxa" w:w="160"/>
              <w:bottom w:type="dxa" w:w="80"/>
              <w:right w:type="dxa" w:w="160"/>
            </w:tcMar>
          </w:tcPr>
          <w:p>
            <w:r>
              <w:rPr>
                <w:rFonts w:ascii="Calibri" w:cs="Calibri" w:eastAsia="Calibri" w:hAnsi="Calibri"/>
                <w:color w:val="1E1E2E"/>
                <w:sz w:val="22"/>
                <w:szCs w:val="22"/>
              </w:rPr>
              <w:t xml:space="preserve">G.O.D.S TS Holdings (Pty) Ltd — 8-division commercial conglomerate</w:t>
            </w:r>
          </w:p>
        </w:tc>
      </w:tr>
      <w:tr>
        <w:tc>
          <w:tcPr>
            <w:tcW w:type="dxa" w:w="2600"/>
            <w:tcBorders>
              <w:top w:val="single" w:color="CCCCBB" w:sz="1" w:space="0"/>
              <w:left w:val="single" w:color="CCCCBB" w:sz="1" w:space="0"/>
              <w:bottom w:val="single" w:color="CCCCBB" w:sz="1" w:space="0"/>
              <w:right w:val="single" w:color="CCCCBB" w:sz="1" w:space="0"/>
            </w:tcBorders>
            <w:shd w:fill="F5F2EA" w:val="clear"/>
            <w:tcMar>
              <w:top w:type="dxa" w:w="80"/>
              <w:left w:type="dxa" w:w="160"/>
              <w:bottom w:type="dxa" w:w="80"/>
              <w:right w:type="dxa" w:w="160"/>
            </w:tcMar>
          </w:tcPr>
          <w:p>
            <w:r>
              <w:rPr>
                <w:rFonts w:ascii="Calibri" w:cs="Calibri" w:eastAsia="Calibri" w:hAnsi="Calibri"/>
                <w:b/>
                <w:bCs/>
                <w:color w:val="0C2340"/>
                <w:sz w:val="22"/>
                <w:szCs w:val="22"/>
              </w:rPr>
              <w:t xml:space="preserve">Core Divisions</w:t>
            </w:r>
          </w:p>
        </w:tc>
        <w:tc>
          <w:tcPr>
            <w:tcW w:type="dxa" w:w="6400"/>
            <w:tcBorders>
              <w:top w:val="single" w:color="CCCCBB" w:sz="1" w:space="0"/>
              <w:left w:val="single" w:color="CCCCBB" w:sz="1" w:space="0"/>
              <w:bottom w:val="single" w:color="CCCCBB" w:sz="1" w:space="0"/>
              <w:right w:val="single" w:color="CCCCBB" w:sz="1" w:space="0"/>
            </w:tcBorders>
            <w:shd w:fill="FAFAF5" w:val="clear"/>
            <w:tcMar>
              <w:top w:type="dxa" w:w="80"/>
              <w:left w:type="dxa" w:w="160"/>
              <w:bottom w:type="dxa" w:w="80"/>
              <w:right w:type="dxa" w:w="160"/>
            </w:tcMar>
          </w:tcPr>
          <w:p>
            <w:r>
              <w:rPr>
                <w:rFonts w:ascii="Calibri" w:cs="Calibri" w:eastAsia="Calibri" w:hAnsi="Calibri"/>
                <w:color w:val="1E1E2E"/>
                <w:sz w:val="22"/>
                <w:szCs w:val="22"/>
              </w:rPr>
              <w:t xml:space="preserve">S.E.T.H.S  |  M.A.D.I.B.A  |  UDOC  |  T.S</w:t>
            </w:r>
          </w:p>
        </w:tc>
      </w:tr>
      <w:tr>
        <w:tc>
          <w:tcPr>
            <w:tcW w:type="dxa" w:w="2600"/>
            <w:tcBorders>
              <w:top w:val="single" w:color="CCCCBB" w:sz="1" w:space="0"/>
              <w:left w:val="single" w:color="CCCCBB" w:sz="1" w:space="0"/>
              <w:bottom w:val="single" w:color="CCCCBB" w:sz="1" w:space="0"/>
              <w:right w:val="single" w:color="CCCCBB" w:sz="1" w:space="0"/>
            </w:tcBorders>
            <w:shd w:fill="EDE8D8" w:val="clear"/>
            <w:tcMar>
              <w:top w:type="dxa" w:w="80"/>
              <w:left w:type="dxa" w:w="160"/>
              <w:bottom w:type="dxa" w:w="80"/>
              <w:right w:type="dxa" w:w="160"/>
            </w:tcMar>
          </w:tcPr>
          <w:p>
            <w:r>
              <w:rPr>
                <w:rFonts w:ascii="Calibri" w:cs="Calibri" w:eastAsia="Calibri" w:hAnsi="Calibri"/>
                <w:b/>
                <w:bCs/>
                <w:color w:val="0C2340"/>
                <w:sz w:val="22"/>
                <w:szCs w:val="22"/>
              </w:rPr>
              <w:t xml:space="preserve">Headquarters</w:t>
            </w:r>
          </w:p>
        </w:tc>
        <w:tc>
          <w:tcPr>
            <w:tcW w:type="dxa" w:w="6400"/>
            <w:tcBorders>
              <w:top w:val="single" w:color="CCCCBB" w:sz="1" w:space="0"/>
              <w:left w:val="single" w:color="CCCCBB" w:sz="1" w:space="0"/>
              <w:bottom w:val="single" w:color="CCCCBB" w:sz="1" w:space="0"/>
              <w:right w:val="single" w:color="CCCCBB" w:sz="1" w:space="0"/>
            </w:tcBorders>
            <w:shd w:fill="FFFFFF" w:val="clear"/>
            <w:tcMar>
              <w:top w:type="dxa" w:w="80"/>
              <w:left w:type="dxa" w:w="160"/>
              <w:bottom w:type="dxa" w:w="80"/>
              <w:right w:type="dxa" w:w="160"/>
            </w:tcMar>
          </w:tcPr>
          <w:p>
            <w:r>
              <w:rPr>
                <w:rFonts w:ascii="Calibri" w:cs="Calibri" w:eastAsia="Calibri" w:hAnsi="Calibri"/>
                <w:color w:val="1E1E2E"/>
                <w:sz w:val="22"/>
                <w:szCs w:val="22"/>
              </w:rPr>
              <w:t xml:space="preserve">Johannesburg, South Africa</w:t>
            </w:r>
          </w:p>
        </w:tc>
      </w:tr>
      <w:tr>
        <w:tc>
          <w:tcPr>
            <w:tcW w:type="dxa" w:w="2600"/>
            <w:tcBorders>
              <w:top w:val="single" w:color="CCCCBB" w:sz="1" w:space="0"/>
              <w:left w:val="single" w:color="CCCCBB" w:sz="1" w:space="0"/>
              <w:bottom w:val="single" w:color="CCCCBB" w:sz="1" w:space="0"/>
              <w:right w:val="single" w:color="CCCCBB" w:sz="1" w:space="0"/>
            </w:tcBorders>
            <w:shd w:fill="F5F2EA" w:val="clear"/>
            <w:tcMar>
              <w:top w:type="dxa" w:w="80"/>
              <w:left w:type="dxa" w:w="160"/>
              <w:bottom w:type="dxa" w:w="80"/>
              <w:right w:type="dxa" w:w="160"/>
            </w:tcMar>
          </w:tcPr>
          <w:p>
            <w:r>
              <w:rPr>
                <w:rFonts w:ascii="Calibri" w:cs="Calibri" w:eastAsia="Calibri" w:hAnsi="Calibri"/>
                <w:b/>
                <w:bCs/>
                <w:color w:val="0C2340"/>
                <w:sz w:val="22"/>
                <w:szCs w:val="22"/>
              </w:rPr>
              <w:t xml:space="preserve">Initial Market</w:t>
            </w:r>
          </w:p>
        </w:tc>
        <w:tc>
          <w:tcPr>
            <w:tcW w:type="dxa" w:w="6400"/>
            <w:tcBorders>
              <w:top w:val="single" w:color="CCCCBB" w:sz="1" w:space="0"/>
              <w:left w:val="single" w:color="CCCCBB" w:sz="1" w:space="0"/>
              <w:bottom w:val="single" w:color="CCCCBB" w:sz="1" w:space="0"/>
              <w:right w:val="single" w:color="CCCCBB" w:sz="1" w:space="0"/>
            </w:tcBorders>
            <w:shd w:fill="FAFAF5" w:val="clear"/>
            <w:tcMar>
              <w:top w:type="dxa" w:w="80"/>
              <w:left w:type="dxa" w:w="160"/>
              <w:bottom w:type="dxa" w:w="80"/>
              <w:right w:type="dxa" w:w="160"/>
            </w:tcMar>
          </w:tcPr>
          <w:p>
            <w:r>
              <w:rPr>
                <w:rFonts w:ascii="Calibri" w:cs="Calibri" w:eastAsia="Calibri" w:hAnsi="Calibri"/>
                <w:color w:val="1E1E2E"/>
                <w:sz w:val="22"/>
                <w:szCs w:val="22"/>
              </w:rPr>
              <w:t xml:space="preserve">South Africa (proof-of-concept); SADC region (Years 5–15)</w:t>
            </w:r>
          </w:p>
        </w:tc>
      </w:tr>
      <w:tr>
        <w:tc>
          <w:tcPr>
            <w:tcW w:type="dxa" w:w="2600"/>
            <w:tcBorders>
              <w:top w:val="single" w:color="CCCCBB" w:sz="1" w:space="0"/>
              <w:left w:val="single" w:color="CCCCBB" w:sz="1" w:space="0"/>
              <w:bottom w:val="single" w:color="CCCCBB" w:sz="1" w:space="0"/>
              <w:right w:val="single" w:color="CCCCBB" w:sz="1" w:space="0"/>
            </w:tcBorders>
            <w:shd w:fill="EDE8D8" w:val="clear"/>
            <w:tcMar>
              <w:top w:type="dxa" w:w="80"/>
              <w:left w:type="dxa" w:w="160"/>
              <w:bottom w:type="dxa" w:w="80"/>
              <w:right w:type="dxa" w:w="160"/>
            </w:tcMar>
          </w:tcPr>
          <w:p>
            <w:r>
              <w:rPr>
                <w:rFonts w:ascii="Calibri" w:cs="Calibri" w:eastAsia="Calibri" w:hAnsi="Calibri"/>
                <w:b/>
                <w:bCs/>
                <w:color w:val="0C2340"/>
                <w:sz w:val="22"/>
                <w:szCs w:val="22"/>
              </w:rPr>
              <w:t xml:space="preserve">Vision Horizon</w:t>
            </w:r>
          </w:p>
        </w:tc>
        <w:tc>
          <w:tcPr>
            <w:tcW w:type="dxa" w:w="6400"/>
            <w:tcBorders>
              <w:top w:val="single" w:color="CCCCBB" w:sz="1" w:space="0"/>
              <w:left w:val="single" w:color="CCCCBB" w:sz="1" w:space="0"/>
              <w:bottom w:val="single" w:color="CCCCBB" w:sz="1" w:space="0"/>
              <w:right w:val="single" w:color="CCCCBB" w:sz="1" w:space="0"/>
            </w:tcBorders>
            <w:shd w:fill="FFFFFF" w:val="clear"/>
            <w:tcMar>
              <w:top w:type="dxa" w:w="80"/>
              <w:left w:type="dxa" w:w="160"/>
              <w:bottom w:type="dxa" w:w="80"/>
              <w:right w:type="dxa" w:w="160"/>
            </w:tcMar>
          </w:tcPr>
          <w:p>
            <w:r>
              <w:rPr>
                <w:rFonts w:ascii="Calibri" w:cs="Calibri" w:eastAsia="Calibri" w:hAnsi="Calibri"/>
                <w:color w:val="1E1E2E"/>
                <w:sz w:val="22"/>
                <w:szCs w:val="22"/>
              </w:rPr>
              <w:t xml:space="preserve">250 years — generational institutional mandate</w:t>
            </w:r>
          </w:p>
        </w:tc>
      </w:tr>
      <w:tr>
        <w:tc>
          <w:tcPr>
            <w:tcW w:type="dxa" w:w="2600"/>
            <w:tcBorders>
              <w:top w:val="single" w:color="CCCCBB" w:sz="1" w:space="0"/>
              <w:left w:val="single" w:color="CCCCBB" w:sz="1" w:space="0"/>
              <w:bottom w:val="single" w:color="CCCCBB" w:sz="1" w:space="0"/>
              <w:right w:val="single" w:color="CCCCBB" w:sz="1" w:space="0"/>
            </w:tcBorders>
            <w:shd w:fill="F5F2EA" w:val="clear"/>
            <w:tcMar>
              <w:top w:type="dxa" w:w="80"/>
              <w:left w:type="dxa" w:w="160"/>
              <w:bottom w:type="dxa" w:w="80"/>
              <w:right w:type="dxa" w:w="160"/>
            </w:tcMar>
          </w:tcPr>
          <w:p>
            <w:r>
              <w:rPr>
                <w:rFonts w:ascii="Calibri" w:cs="Calibri" w:eastAsia="Calibri" w:hAnsi="Calibri"/>
                <w:b/>
                <w:bCs/>
                <w:color w:val="0C2340"/>
                <w:sz w:val="22"/>
                <w:szCs w:val="22"/>
              </w:rPr>
              <w:t xml:space="preserve">Founder</w:t>
            </w:r>
          </w:p>
        </w:tc>
        <w:tc>
          <w:tcPr>
            <w:tcW w:type="dxa" w:w="6400"/>
            <w:tcBorders>
              <w:top w:val="single" w:color="CCCCBB" w:sz="1" w:space="0"/>
              <w:left w:val="single" w:color="CCCCBB" w:sz="1" w:space="0"/>
              <w:bottom w:val="single" w:color="CCCCBB" w:sz="1" w:space="0"/>
              <w:right w:val="single" w:color="CCCCBB" w:sz="1" w:space="0"/>
            </w:tcBorders>
            <w:shd w:fill="FAFAF5" w:val="clear"/>
            <w:tcMar>
              <w:top w:type="dxa" w:w="80"/>
              <w:left w:type="dxa" w:w="160"/>
              <w:bottom w:type="dxa" w:w="80"/>
              <w:right w:type="dxa" w:w="160"/>
            </w:tcMar>
          </w:tcPr>
          <w:p>
            <w:r>
              <w:rPr>
                <w:rFonts w:ascii="Calibri" w:cs="Calibri" w:eastAsia="Calibri" w:hAnsi="Calibri"/>
                <w:color w:val="1E1E2E"/>
                <w:sz w:val="22"/>
                <w:szCs w:val="22"/>
              </w:rPr>
              <w:t xml:space="preserve">Sashin J. Singh</w:t>
            </w:r>
          </w:p>
        </w:tc>
      </w:tr>
    </w:tbl>
    <w:p>
      <w:pPr>
        <w:spacing w:before="160" w:after="0"/>
      </w:pPr>
    </w:p>
    <w:p>
      <w:pPr>
        <w:pBdr>
          <w:bottom w:val="single" w:color="C9A84C" w:sz="8" w:space="4"/>
        </w:pBdr>
        <w:spacing w:before="440" w:after="120"/>
      </w:pPr>
      <w:r>
        <w:rPr>
          <w:rFonts w:ascii="Georgia" w:cs="Georgia" w:eastAsia="Georgia" w:hAnsi="Georgia"/>
          <w:b/>
          <w:bCs/>
          <w:color w:val="B8972A"/>
          <w:sz w:val="28"/>
          <w:szCs w:val="28"/>
        </w:rPr>
        <w:t xml:space="preserve">2.2  </w:t>
      </w:r>
      <w:r>
        <w:rPr>
          <w:rFonts w:ascii="Georgia" w:cs="Georgia" w:eastAsia="Georgia" w:hAnsi="Georgia"/>
          <w:b/>
          <w:bCs/>
          <w:color w:val="0C2340"/>
          <w:sz w:val="28"/>
          <w:szCs w:val="28"/>
        </w:rPr>
        <w:t xml:space="preserve">What G.O.D.S Is Not</w:t>
      </w:r>
    </w:p>
    <w:p>
      <w:pPr>
        <w:spacing w:before="80" w:after="80"/>
        <w:jc w:val="both"/>
      </w:pPr>
      <w:r>
        <w:rPr>
          <w:rFonts w:ascii="Calibri" w:cs="Calibri" w:eastAsia="Calibri" w:hAnsi="Calibri"/>
          <w:color w:val="1E1E2E"/>
          <w:sz w:val="22"/>
          <w:szCs w:val="22"/>
        </w:rPr>
        <w:t xml:space="preserve">Clarity about boundaries is as important as clarity about purpose. G.O.D.S is not a charity — its divisions operate commercially and are designed to be financially self-sustaining. Positive social outcomes are the consequence of disciplined commercial execution, not the substitute for it.</w:t>
      </w:r>
    </w:p>
    <w:p>
      <w:pPr>
        <w:spacing w:before="80" w:after="80"/>
        <w:jc w:val="both"/>
      </w:pPr>
      <w:r>
        <w:rPr>
          <w:rFonts w:ascii="Calibri" w:cs="Calibri" w:eastAsia="Calibri" w:hAnsi="Calibri"/>
          <w:color w:val="1E1E2E"/>
          <w:sz w:val="22"/>
          <w:szCs w:val="22"/>
        </w:rPr>
        <w:t xml:space="preserve">G.O.D.S is not a political movement. It does not campaign for parties or policies. It is not a government replacement — it builds infrastructure that strengthens government capacity. It is not a technology company — technology is a delivery tool within the architecture, not its purpose. And it is not a short-horizon investment — returns compound across years and decades.</w:t>
      </w:r>
    </w:p>
    <w:p>
      <w:pPr>
        <w:spacing w:before="160" w:after="0"/>
      </w:pPr>
    </w:p>
    <w:p>
      <w:pPr>
        <w:pBdr>
          <w:bottom w:val="single" w:color="C9A84C" w:sz="8" w:space="4"/>
        </w:pBdr>
        <w:spacing w:before="440" w:after="120"/>
      </w:pPr>
      <w:r>
        <w:rPr>
          <w:rFonts w:ascii="Georgia" w:cs="Georgia" w:eastAsia="Georgia" w:hAnsi="Georgia"/>
          <w:b/>
          <w:bCs/>
          <w:color w:val="B8972A"/>
          <w:sz w:val="28"/>
          <w:szCs w:val="28"/>
        </w:rPr>
        <w:t xml:space="preserve">2.3  </w:t>
      </w:r>
      <w:r>
        <w:rPr>
          <w:rFonts w:ascii="Georgia" w:cs="Georgia" w:eastAsia="Georgia" w:hAnsi="Georgia"/>
          <w:b/>
          <w:bCs/>
          <w:color w:val="0C2340"/>
          <w:sz w:val="28"/>
          <w:szCs w:val="28"/>
        </w:rPr>
        <w:t xml:space="preserve">The Institutional Origin</w:t>
      </w:r>
    </w:p>
    <w:p>
      <w:pPr>
        <w:spacing w:before="80" w:after="80"/>
        <w:jc w:val="both"/>
      </w:pPr>
      <w:r>
        <w:rPr>
          <w:rFonts w:ascii="Calibri" w:cs="Calibri" w:eastAsia="Calibri" w:hAnsi="Calibri"/>
          <w:color w:val="1E1E2E"/>
          <w:sz w:val="22"/>
          <w:szCs w:val="22"/>
        </w:rPr>
        <w:t xml:space="preserve">The G.O.D.S architecture grew from a single observation by its founder, Sashin J. Singh: the problem is rarely a lack of talent. The problem is structural misalignment.</w:t>
      </w:r>
    </w:p>
    <w:p>
      <w:pPr>
        <w:spacing w:before="80" w:after="80"/>
        <w:jc w:val="both"/>
      </w:pPr>
      <w:r>
        <w:rPr>
          <w:rFonts w:ascii="Calibri" w:cs="Calibri" w:eastAsia="Calibri" w:hAnsi="Calibri"/>
          <w:color w:val="1E1E2E"/>
          <w:sz w:val="22"/>
          <w:szCs w:val="22"/>
        </w:rPr>
        <w:t xml:space="preserve">This observation was grounded in direct experience. Singh's journey through addiction, recovery, entrepreneurial failure, and systematic rebuilding provided the empirical foundation for S.E.T.H.S's core methodology: that behavioral instability follows identifiable patterns, that structured intervention at the right points can redirect those patterns, and that individuals produced by that redirection represent significant untapped economic capacity.</w:t>
      </w:r>
    </w:p>
    <w:p>
      <w:pPr>
        <w:spacing w:before="80" w:after="80"/>
        <w:jc w:val="both"/>
      </w:pPr>
      <w:r>
        <w:rPr>
          <w:rFonts w:ascii="Calibri" w:cs="Calibri" w:eastAsia="Calibri" w:hAnsi="Calibri"/>
          <w:color w:val="1E1E2E"/>
          <w:sz w:val="22"/>
          <w:szCs w:val="22"/>
        </w:rPr>
        <w:t xml:space="preserve">What began in 2016 as Seth Empires — a South African rehabilitation and workforce placement concept — evolved through successive iterations as institutional understanding deepened. The rehabilitation concept became a human systems division. The local model became a multi-national framework. The founding insight remained constant throughout: structure over sentiment, measurable outcomes over good intentions.</w:t>
      </w:r>
    </w:p>
    <w:p>
      <w:pPr>
        <w:spacing w:before="160" w:after="0"/>
      </w:pPr>
    </w:p>
    <w:p>
      <w:pPr>
        <w:pBdr>
          <w:bottom w:val="single" w:color="C9A84C" w:sz="8" w:space="4"/>
        </w:pBdr>
        <w:spacing w:before="440" w:after="120"/>
      </w:pPr>
      <w:r>
        <w:rPr>
          <w:rFonts w:ascii="Georgia" w:cs="Georgia" w:eastAsia="Georgia" w:hAnsi="Georgia"/>
          <w:b/>
          <w:bCs/>
          <w:color w:val="B8972A"/>
          <w:sz w:val="28"/>
          <w:szCs w:val="28"/>
        </w:rPr>
        <w:t xml:space="preserve">2.4  </w:t>
      </w:r>
      <w:r>
        <w:rPr>
          <w:rFonts w:ascii="Georgia" w:cs="Georgia" w:eastAsia="Georgia" w:hAnsi="Georgia"/>
          <w:b/>
          <w:bCs/>
          <w:color w:val="0C2340"/>
          <w:sz w:val="28"/>
          <w:szCs w:val="28"/>
        </w:rPr>
        <w:t xml:space="preserve">The Three-Tier Holding Architecture</w:t>
      </w:r>
    </w:p>
    <w:p>
      <w:pPr>
        <w:spacing w:before="140" w:after="160"/>
        <w:jc w:val="both"/>
      </w:pPr>
      <w:r>
        <w:rPr>
          <w:rFonts w:ascii="Georgia" w:cs="Georgia" w:eastAsia="Georgia" w:hAnsi="Georgia"/>
          <w:i/>
          <w:iCs/>
          <w:color w:val="5A5A72"/>
          <w:sz w:val="24"/>
          <w:szCs w:val="24"/>
        </w:rPr>
        <w:t xml:space="preserve">Three tiers. Four divisions. One constitutional framework.</w:t>
      </w:r>
    </w:p>
    <w:p>
      <w:pPr>
        <w:spacing w:before="80" w:after="0"/>
      </w:pP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2250"/>
        <w:gridCol w:w="2250"/>
        <w:gridCol w:w="2250"/>
        <w:gridCol w:w="2250"/>
      </w:tblGrid>
      <w:tr>
        <w:tc>
          <w:tcPr>
            <w:tcW w:type="dxa" w:w="2250"/>
            <w:tcBorders>
              <w:top w:val="single" w:color="CCCCBB" w:sz="1" w:space="0"/>
              <w:left w:val="single" w:color="CCCCBB" w:sz="1" w:space="0"/>
              <w:bottom w:val="single" w:color="CCCCBB" w:sz="1" w:space="0"/>
              <w:right w:val="single" w:color="CCCCBB" w:sz="1" w:space="0"/>
            </w:tcBorders>
            <w:shd w:fill="0C2340" w:val="clear"/>
            <w:tcMar>
              <w:top w:type="dxa" w:w="160"/>
              <w:left w:type="dxa" w:w="140"/>
              <w:bottom w:type="dxa" w:w="160"/>
              <w:right w:type="dxa" w:w="140"/>
            </w:tcMar>
          </w:tcPr>
          <w:p>
            <w:pPr>
              <w:jc w:val="center"/>
            </w:pPr>
            <w:r>
              <w:rPr>
                <w:rFonts w:ascii="Calibri" w:cs="Calibri" w:eastAsia="Calibri" w:hAnsi="Calibri"/>
                <w:b/>
                <w:bCs/>
                <w:color w:val="B8972A"/>
                <w:sz w:val="15"/>
                <w:szCs w:val="15"/>
              </w:rPr>
              <w:t xml:space="preserve">LEVEL 1</w:t>
            </w:r>
          </w:p>
          <w:p>
            <w:pPr>
              <w:spacing w:before="60" w:after="60"/>
              <w:jc w:val="center"/>
            </w:pPr>
            <w:r>
              <w:rPr>
                <w:rFonts w:ascii="Georgia" w:cs="Georgia" w:eastAsia="Georgia" w:hAnsi="Georgia"/>
                <w:b/>
                <w:bCs/>
                <w:color w:val="FFFFFF"/>
                <w:sz w:val="26"/>
                <w:szCs w:val="26"/>
              </w:rPr>
              <w:t xml:space="preserve">G.O.D.S</w:t>
            </w:r>
          </w:p>
          <w:p>
            <w:pPr>
              <w:spacing w:before="0" w:after="80"/>
              <w:jc w:val="center"/>
            </w:pPr>
            <w:r>
              <w:rPr>
                <w:rFonts w:ascii="Calibri" w:cs="Calibri" w:eastAsia="Calibri" w:hAnsi="Calibri"/>
                <w:i/>
                <w:iCs/>
                <w:color w:val="B8972A"/>
                <w:sz w:val="17"/>
                <w:szCs w:val="17"/>
              </w:rPr>
              <w:t xml:space="preserve">Constitutional Parent</w:t>
            </w:r>
          </w:p>
          <w:p>
            <w:pPr>
              <w:spacing w:before="30" w:after="30"/>
              <w:jc w:val="center"/>
            </w:pPr>
            <w:r>
              <w:rPr>
                <w:rFonts w:ascii="Calibri" w:cs="Calibri" w:eastAsia="Calibri" w:hAnsi="Calibri"/>
                <w:color w:val="FFFFFF"/>
                <w:sz w:val="16"/>
                <w:szCs w:val="16"/>
              </w:rPr>
              <w:t xml:space="preserve">• Mission custody</w:t>
            </w:r>
          </w:p>
          <w:p>
            <w:pPr>
              <w:spacing w:before="30" w:after="30"/>
              <w:jc w:val="center"/>
            </w:pPr>
            <w:r>
              <w:rPr>
                <w:rFonts w:ascii="Calibri" w:cs="Calibri" w:eastAsia="Calibri" w:hAnsi="Calibri"/>
                <w:color w:val="FFFFFF"/>
                <w:sz w:val="16"/>
                <w:szCs w:val="16"/>
              </w:rPr>
              <w:t xml:space="preserve">• 12 Constitutional Pillars</w:t>
            </w:r>
          </w:p>
          <w:p>
            <w:pPr>
              <w:spacing w:before="30" w:after="30"/>
              <w:jc w:val="center"/>
            </w:pPr>
            <w:r>
              <w:rPr>
                <w:rFonts w:ascii="Calibri" w:cs="Calibri" w:eastAsia="Calibri" w:hAnsi="Calibri"/>
                <w:color w:val="FFFFFF"/>
                <w:sz w:val="16"/>
                <w:szCs w:val="16"/>
              </w:rPr>
              <w:t xml:space="preserve">• IP Trust oversight</w:t>
            </w:r>
          </w:p>
          <w:p>
            <w:pPr>
              <w:spacing w:before="30" w:after="30"/>
              <w:jc w:val="center"/>
            </w:pPr>
            <w:r>
              <w:rPr>
                <w:rFonts w:ascii="Calibri" w:cs="Calibri" w:eastAsia="Calibri" w:hAnsi="Calibri"/>
                <w:color w:val="FFFFFF"/>
                <w:sz w:val="16"/>
                <w:szCs w:val="16"/>
              </w:rPr>
              <w:t xml:space="preserve">• Governance architecture</w:t>
            </w:r>
          </w:p>
          <w:p>
            <w:pPr>
              <w:spacing w:before="30" w:after="30"/>
              <w:jc w:val="center"/>
            </w:pPr>
            <w:r>
              <w:rPr>
                <w:rFonts w:ascii="Calibri" w:cs="Calibri" w:eastAsia="Calibri" w:hAnsi="Calibri"/>
                <w:color w:val="FFFFFF"/>
                <w:sz w:val="16"/>
                <w:szCs w:val="16"/>
              </w:rPr>
              <w:t xml:space="preserve">• No direct commercial activity</w:t>
            </w:r>
          </w:p>
        </w:tc>
        <w:tc>
          <w:tcPr>
            <w:tcW w:type="dxa" w:w="2250"/>
            <w:tcBorders>
              <w:top w:val="single" w:color="CCCCBB" w:sz="1" w:space="0"/>
              <w:left w:val="single" w:color="CCCCBB" w:sz="1" w:space="0"/>
              <w:bottom w:val="single" w:color="CCCCBB" w:sz="1" w:space="0"/>
              <w:right w:val="single" w:color="CCCCBB" w:sz="1" w:space="0"/>
            </w:tcBorders>
            <w:shd w:fill="1A3A6B" w:val="clear"/>
            <w:tcMar>
              <w:top w:type="dxa" w:w="160"/>
              <w:left w:type="dxa" w:w="140"/>
              <w:bottom w:type="dxa" w:w="160"/>
              <w:right w:type="dxa" w:w="140"/>
            </w:tcMar>
          </w:tcPr>
          <w:p>
            <w:pPr>
              <w:jc w:val="center"/>
            </w:pPr>
            <w:r>
              <w:rPr>
                <w:rFonts w:ascii="Calibri" w:cs="Calibri" w:eastAsia="Calibri" w:hAnsi="Calibri"/>
                <w:b/>
                <w:bCs/>
                <w:color w:val="B8972A"/>
                <w:sz w:val="15"/>
                <w:szCs w:val="15"/>
              </w:rPr>
              <w:t xml:space="preserve">LEVEL 2</w:t>
            </w:r>
          </w:p>
          <w:p>
            <w:pPr>
              <w:spacing w:before="60" w:after="60"/>
              <w:jc w:val="center"/>
            </w:pPr>
            <w:r>
              <w:rPr>
                <w:rFonts w:ascii="Georgia" w:cs="Georgia" w:eastAsia="Georgia" w:hAnsi="Georgia"/>
                <w:b/>
                <w:bCs/>
                <w:color w:val="FFFFFF"/>
                <w:sz w:val="26"/>
                <w:szCs w:val="26"/>
              </w:rPr>
              <w:t xml:space="preserve">TS Holdings</w:t>
            </w:r>
          </w:p>
          <w:p>
            <w:pPr>
              <w:spacing w:before="0" w:after="80"/>
              <w:jc w:val="center"/>
            </w:pPr>
            <w:r>
              <w:rPr>
                <w:rFonts w:ascii="Calibri" w:cs="Calibri" w:eastAsia="Calibri" w:hAnsi="Calibri"/>
                <w:i/>
                <w:iCs/>
                <w:color w:val="B8972A"/>
                <w:sz w:val="17"/>
                <w:szCs w:val="17"/>
              </w:rPr>
              <w:t xml:space="preserve">Commercial Engine</w:t>
            </w:r>
          </w:p>
          <w:p>
            <w:pPr>
              <w:spacing w:before="30" w:after="30"/>
              <w:jc w:val="center"/>
            </w:pPr>
            <w:r>
              <w:rPr>
                <w:rFonts w:ascii="Calibri" w:cs="Calibri" w:eastAsia="Calibri" w:hAnsi="Calibri"/>
                <w:color w:val="FFFFFF"/>
                <w:sz w:val="16"/>
                <w:szCs w:val="16"/>
              </w:rPr>
              <w:t xml:space="preserve">• 8 revenue divisions</w:t>
            </w:r>
          </w:p>
          <w:p>
            <w:pPr>
              <w:spacing w:before="30" w:after="30"/>
              <w:jc w:val="center"/>
            </w:pPr>
            <w:r>
              <w:rPr>
                <w:rFonts w:ascii="Calibri" w:cs="Calibri" w:eastAsia="Calibri" w:hAnsi="Calibri"/>
                <w:color w:val="FFFFFF"/>
                <w:sz w:val="16"/>
                <w:szCs w:val="16"/>
              </w:rPr>
              <w:t xml:space="preserve">• Capital raising</w:t>
            </w:r>
          </w:p>
          <w:p>
            <w:pPr>
              <w:spacing w:before="30" w:after="30"/>
              <w:jc w:val="center"/>
            </w:pPr>
            <w:r>
              <w:rPr>
                <w:rFonts w:ascii="Calibri" w:cs="Calibri" w:eastAsia="Calibri" w:hAnsi="Calibri"/>
                <w:color w:val="FFFFFF"/>
                <w:sz w:val="16"/>
                <w:szCs w:val="16"/>
              </w:rPr>
              <w:t xml:space="preserve">• Asset acquisition</w:t>
            </w:r>
          </w:p>
          <w:p>
            <w:pPr>
              <w:spacing w:before="30" w:after="30"/>
              <w:jc w:val="center"/>
            </w:pPr>
            <w:r>
              <w:rPr>
                <w:rFonts w:ascii="Calibri" w:cs="Calibri" w:eastAsia="Calibri" w:hAnsi="Calibri"/>
                <w:color w:val="FFFFFF"/>
                <w:sz w:val="16"/>
                <w:szCs w:val="16"/>
              </w:rPr>
              <w:t xml:space="preserve">• Investor relationships</w:t>
            </w:r>
          </w:p>
          <w:p>
            <w:pPr>
              <w:spacing w:before="30" w:after="30"/>
              <w:jc w:val="center"/>
            </w:pPr>
            <w:r>
              <w:rPr>
                <w:rFonts w:ascii="Calibri" w:cs="Calibri" w:eastAsia="Calibri" w:hAnsi="Calibri"/>
                <w:color w:val="FFFFFF"/>
                <w:sz w:val="16"/>
                <w:szCs w:val="16"/>
              </w:rPr>
              <w:t xml:space="preserve">• Consolidated reporting</w:t>
            </w:r>
          </w:p>
        </w:tc>
        <w:tc>
          <w:tcPr>
            <w:tcW w:type="dxa" w:w="2250"/>
            <w:tcBorders>
              <w:top w:val="single" w:color="CCCCBB" w:sz="1" w:space="0"/>
              <w:left w:val="single" w:color="CCCCBB" w:sz="1" w:space="0"/>
              <w:bottom w:val="single" w:color="CCCCBB" w:sz="1" w:space="0"/>
              <w:right w:val="single" w:color="CCCCBB" w:sz="1" w:space="0"/>
            </w:tcBorders>
            <w:shd w:fill="2A5298" w:val="clear"/>
            <w:tcMar>
              <w:top w:type="dxa" w:w="160"/>
              <w:left w:type="dxa" w:w="140"/>
              <w:bottom w:type="dxa" w:w="160"/>
              <w:right w:type="dxa" w:w="140"/>
            </w:tcMar>
          </w:tcPr>
          <w:p>
            <w:pPr>
              <w:jc w:val="center"/>
            </w:pPr>
            <w:r>
              <w:rPr>
                <w:rFonts w:ascii="Calibri" w:cs="Calibri" w:eastAsia="Calibri" w:hAnsi="Calibri"/>
                <w:b/>
                <w:bCs/>
                <w:color w:val="B8972A"/>
                <w:sz w:val="15"/>
                <w:szCs w:val="15"/>
              </w:rPr>
              <w:t xml:space="preserve">LEVEL 3</w:t>
            </w:r>
          </w:p>
          <w:p>
            <w:pPr>
              <w:spacing w:before="60" w:after="60"/>
              <w:jc w:val="center"/>
            </w:pPr>
            <w:r>
              <w:rPr>
                <w:rFonts w:ascii="Georgia" w:cs="Georgia" w:eastAsia="Georgia" w:hAnsi="Georgia"/>
                <w:b/>
                <w:bCs/>
                <w:color w:val="FFFFFF"/>
                <w:sz w:val="26"/>
                <w:szCs w:val="26"/>
              </w:rPr>
              <w:t xml:space="preserve">Divisions</w:t>
            </w:r>
          </w:p>
          <w:p>
            <w:pPr>
              <w:spacing w:before="0" w:after="80"/>
              <w:jc w:val="center"/>
            </w:pPr>
            <w:r>
              <w:rPr>
                <w:rFonts w:ascii="Calibri" w:cs="Calibri" w:eastAsia="Calibri" w:hAnsi="Calibri"/>
                <w:i/>
                <w:iCs/>
                <w:color w:val="B8972A"/>
                <w:sz w:val="17"/>
                <w:szCs w:val="17"/>
              </w:rPr>
              <w:t xml:space="preserve">Operating Companies</w:t>
            </w:r>
          </w:p>
          <w:p>
            <w:pPr>
              <w:spacing w:before="30" w:after="30"/>
              <w:jc w:val="center"/>
            </w:pPr>
            <w:r>
              <w:rPr>
                <w:rFonts w:ascii="Calibri" w:cs="Calibri" w:eastAsia="Calibri" w:hAnsi="Calibri"/>
                <w:color w:val="FFFFFF"/>
                <w:sz w:val="16"/>
                <w:szCs w:val="16"/>
              </w:rPr>
              <w:t xml:space="preserve">• S.E.T.H.S — Human Systems</w:t>
            </w:r>
          </w:p>
          <w:p>
            <w:pPr>
              <w:spacing w:before="30" w:after="30"/>
              <w:jc w:val="center"/>
            </w:pPr>
            <w:r>
              <w:rPr>
                <w:rFonts w:ascii="Calibri" w:cs="Calibri" w:eastAsia="Calibri" w:hAnsi="Calibri"/>
                <w:color w:val="FFFFFF"/>
                <w:sz w:val="16"/>
                <w:szCs w:val="16"/>
              </w:rPr>
              <w:t xml:space="preserve">• M.A.D.I.B.A — Capital &amp; Sovereign</w:t>
            </w:r>
          </w:p>
          <w:p>
            <w:pPr>
              <w:spacing w:before="30" w:after="30"/>
              <w:jc w:val="center"/>
            </w:pPr>
            <w:r>
              <w:rPr>
                <w:rFonts w:ascii="Calibri" w:cs="Calibri" w:eastAsia="Calibri" w:hAnsi="Calibri"/>
                <w:color w:val="FFFFFF"/>
                <w:sz w:val="16"/>
                <w:szCs w:val="16"/>
              </w:rPr>
              <w:t xml:space="preserve">• UDOC — Governance Technology</w:t>
            </w:r>
          </w:p>
          <w:p>
            <w:pPr>
              <w:spacing w:before="30" w:after="30"/>
              <w:jc w:val="center"/>
            </w:pPr>
            <w:r>
              <w:rPr>
                <w:rFonts w:ascii="Calibri" w:cs="Calibri" w:eastAsia="Calibri" w:hAnsi="Calibri"/>
                <w:color w:val="FFFFFF"/>
                <w:sz w:val="16"/>
                <w:szCs w:val="16"/>
              </w:rPr>
              <w:t xml:space="preserve">• T.S — Production &amp; Infrastructure</w:t>
            </w:r>
          </w:p>
        </w:tc>
        <w:tc>
          <w:tcPr>
            <w:tcW w:type="dxa" w:w="2250"/>
            <w:tcBorders>
              <w:top w:val="single" w:color="CCCCBB" w:sz="1" w:space="0"/>
              <w:left w:val="single" w:color="CCCCBB" w:sz="1" w:space="0"/>
              <w:bottom w:val="single" w:color="CCCCBB" w:sz="1" w:space="0"/>
              <w:right w:val="single" w:color="CCCCBB" w:sz="1" w:space="0"/>
            </w:tcBorders>
            <w:shd w:fill="3A72C4" w:val="clear"/>
            <w:tcMar>
              <w:top w:type="dxa" w:w="160"/>
              <w:left w:type="dxa" w:w="140"/>
              <w:bottom w:type="dxa" w:w="160"/>
              <w:right w:type="dxa" w:w="140"/>
            </w:tcMar>
          </w:tcPr>
          <w:p>
            <w:pPr>
              <w:jc w:val="center"/>
            </w:pPr>
            <w:r>
              <w:rPr>
                <w:rFonts w:ascii="Calibri" w:cs="Calibri" w:eastAsia="Calibri" w:hAnsi="Calibri"/>
                <w:b/>
                <w:bCs/>
                <w:color w:val="B8972A"/>
                <w:sz w:val="15"/>
                <w:szCs w:val="15"/>
              </w:rPr>
              <w:t xml:space="preserve">IP TRUST</w:t>
            </w:r>
          </w:p>
          <w:p>
            <w:pPr>
              <w:spacing w:before="60" w:after="60"/>
              <w:jc w:val="center"/>
            </w:pPr>
            <w:r>
              <w:rPr>
                <w:rFonts w:ascii="Georgia" w:cs="Georgia" w:eastAsia="Georgia" w:hAnsi="Georgia"/>
                <w:b/>
                <w:bCs/>
                <w:color w:val="FFFFFF"/>
                <w:sz w:val="26"/>
                <w:szCs w:val="26"/>
              </w:rPr>
              <w:t xml:space="preserve">Trust</w:t>
            </w:r>
          </w:p>
          <w:p>
            <w:pPr>
              <w:spacing w:before="0" w:after="80"/>
              <w:jc w:val="center"/>
            </w:pPr>
            <w:r>
              <w:rPr>
                <w:rFonts w:ascii="Calibri" w:cs="Calibri" w:eastAsia="Calibri" w:hAnsi="Calibri"/>
                <w:i/>
                <w:iCs/>
                <w:color w:val="B8972A"/>
                <w:sz w:val="17"/>
                <w:szCs w:val="17"/>
              </w:rPr>
              <w:t xml:space="preserve">Perpetual Asset Custody</w:t>
            </w:r>
          </w:p>
          <w:p>
            <w:pPr>
              <w:spacing w:before="30" w:after="30"/>
              <w:jc w:val="center"/>
            </w:pPr>
            <w:r>
              <w:rPr>
                <w:rFonts w:ascii="Calibri" w:cs="Calibri" w:eastAsia="Calibri" w:hAnsi="Calibri"/>
                <w:color w:val="FFFFFF"/>
                <w:sz w:val="16"/>
                <w:szCs w:val="16"/>
              </w:rPr>
              <w:t xml:space="preserve">• All core patents</w:t>
            </w:r>
          </w:p>
          <w:p>
            <w:pPr>
              <w:spacing w:before="30" w:after="30"/>
              <w:jc w:val="center"/>
            </w:pPr>
            <w:r>
              <w:rPr>
                <w:rFonts w:ascii="Calibri" w:cs="Calibri" w:eastAsia="Calibri" w:hAnsi="Calibri"/>
                <w:color w:val="FFFFFF"/>
                <w:sz w:val="16"/>
                <w:szCs w:val="16"/>
              </w:rPr>
              <w:t xml:space="preserve">• Methodology documentation</w:t>
            </w:r>
          </w:p>
          <w:p>
            <w:pPr>
              <w:spacing w:before="30" w:after="30"/>
              <w:jc w:val="center"/>
            </w:pPr>
            <w:r>
              <w:rPr>
                <w:rFonts w:ascii="Calibri" w:cs="Calibri" w:eastAsia="Calibri" w:hAnsi="Calibri"/>
                <w:color w:val="FFFFFF"/>
                <w:sz w:val="16"/>
                <w:szCs w:val="16"/>
              </w:rPr>
              <w:t xml:space="preserve">• Brand portfolio</w:t>
            </w:r>
          </w:p>
          <w:p>
            <w:pPr>
              <w:spacing w:before="30" w:after="30"/>
              <w:jc w:val="center"/>
            </w:pPr>
            <w:r>
              <w:rPr>
                <w:rFonts w:ascii="Calibri" w:cs="Calibri" w:eastAsia="Calibri" w:hAnsi="Calibri"/>
                <w:color w:val="FFFFFF"/>
                <w:sz w:val="16"/>
                <w:szCs w:val="16"/>
              </w:rPr>
              <w:t xml:space="preserve">• Independently governed</w:t>
            </w:r>
          </w:p>
          <w:p>
            <w:pPr>
              <w:spacing w:before="30" w:after="30"/>
              <w:jc w:val="center"/>
            </w:pPr>
            <w:r>
              <w:rPr>
                <w:rFonts w:ascii="Calibri" w:cs="Calibri" w:eastAsia="Calibri" w:hAnsi="Calibri"/>
                <w:color w:val="FFFFFF"/>
                <w:sz w:val="16"/>
                <w:szCs w:val="16"/>
              </w:rPr>
              <w:t xml:space="preserve">• Cannot be sold</w:t>
            </w:r>
          </w:p>
        </w:tc>
      </w:tr>
    </w:tbl>
    <w:p>
      <w:pPr>
        <w:spacing w:before="160" w:after="0"/>
      </w:pPr>
    </w:p>
    <w:p>
      <w:pPr>
        <w:pBdr>
          <w:bottom w:val="single" w:color="C9A84C" w:sz="8" w:space="4"/>
        </w:pBdr>
        <w:spacing w:before="440" w:after="120"/>
      </w:pPr>
      <w:r>
        <w:rPr>
          <w:rFonts w:ascii="Georgia" w:cs="Georgia" w:eastAsia="Georgia" w:hAnsi="Georgia"/>
          <w:b/>
          <w:bCs/>
          <w:color w:val="B8972A"/>
          <w:sz w:val="28"/>
          <w:szCs w:val="28"/>
        </w:rPr>
        <w:t xml:space="preserve">2.5  </w:t>
      </w:r>
      <w:r>
        <w:rPr>
          <w:rFonts w:ascii="Georgia" w:cs="Georgia" w:eastAsia="Georgia" w:hAnsi="Georgia"/>
          <w:b/>
          <w:bCs/>
          <w:color w:val="0C2340"/>
          <w:sz w:val="28"/>
          <w:szCs w:val="28"/>
        </w:rPr>
        <w:t xml:space="preserve">The Twelve Constitutional Pillars — Summary</w:t>
      </w:r>
    </w:p>
    <w:p>
      <w:pPr>
        <w:spacing w:before="140" w:after="160"/>
        <w:jc w:val="both"/>
      </w:pPr>
      <w:r>
        <w:rPr>
          <w:rFonts w:ascii="Georgia" w:cs="Georgia" w:eastAsia="Georgia" w:hAnsi="Georgia"/>
          <w:i/>
          <w:iCs/>
          <w:color w:val="5A5A72"/>
          <w:sz w:val="24"/>
          <w:szCs w:val="24"/>
        </w:rPr>
        <w:t xml:space="preserve">These are structural constraints, not aspirational statements. Every material operational decision is evaluated against them. Full text is in Annexure K.</w:t>
      </w:r>
    </w:p>
    <w:p>
      <w:pPr>
        <w:spacing w:before="80" w:after="0"/>
      </w:pP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2600"/>
        <w:gridCol w:w="6400"/>
      </w:tblGrid>
      <w:tr>
        <w:tc>
          <w:tcPr>
            <w:tcW w:type="dxa" w:w="2600"/>
            <w:tcBorders>
              <w:top w:val="single" w:color="CCCCBB" w:sz="1" w:space="0"/>
              <w:left w:val="single" w:color="CCCCBB" w:sz="1" w:space="0"/>
              <w:bottom w:val="single" w:color="CCCCBB" w:sz="1" w:space="0"/>
              <w:right w:val="single" w:color="CCCCBB" w:sz="1" w:space="0"/>
            </w:tcBorders>
            <w:shd w:fill="EDE8D8" w:val="clear"/>
            <w:tcMar>
              <w:top w:type="dxa" w:w="80"/>
              <w:left w:type="dxa" w:w="160"/>
              <w:bottom w:type="dxa" w:w="80"/>
              <w:right w:type="dxa" w:w="160"/>
            </w:tcMar>
          </w:tcPr>
          <w:p>
            <w:r>
              <w:rPr>
                <w:rFonts w:ascii="Calibri" w:cs="Calibri" w:eastAsia="Calibri" w:hAnsi="Calibri"/>
                <w:b/>
                <w:bCs/>
                <w:color w:val="0C2340"/>
                <w:sz w:val="22"/>
                <w:szCs w:val="22"/>
              </w:rPr>
              <w:t xml:space="preserve">I.   Human Dignity</w:t>
            </w:r>
          </w:p>
        </w:tc>
        <w:tc>
          <w:tcPr>
            <w:tcW w:type="dxa" w:w="6400"/>
            <w:tcBorders>
              <w:top w:val="single" w:color="CCCCBB" w:sz="1" w:space="0"/>
              <w:left w:val="single" w:color="CCCCBB" w:sz="1" w:space="0"/>
              <w:bottom w:val="single" w:color="CCCCBB" w:sz="1" w:space="0"/>
              <w:right w:val="single" w:color="CCCCBB" w:sz="1" w:space="0"/>
            </w:tcBorders>
            <w:shd w:fill="FFFFFF" w:val="clear"/>
            <w:tcMar>
              <w:top w:type="dxa" w:w="80"/>
              <w:left w:type="dxa" w:w="160"/>
              <w:bottom w:type="dxa" w:w="80"/>
              <w:right w:type="dxa" w:w="160"/>
            </w:tcMar>
          </w:tcPr>
          <w:p>
            <w:r>
              <w:rPr>
                <w:rFonts w:ascii="Calibri" w:cs="Calibri" w:eastAsia="Calibri" w:hAnsi="Calibri"/>
                <w:color w:val="1E1E2E"/>
                <w:sz w:val="22"/>
                <w:szCs w:val="22"/>
              </w:rPr>
              <w:t xml:space="preserve">All operations must preserve and actively elevate human dignity. Basic needs are not leverage points.</w:t>
            </w:r>
          </w:p>
        </w:tc>
      </w:tr>
      <w:tr>
        <w:tc>
          <w:tcPr>
            <w:tcW w:type="dxa" w:w="2600"/>
            <w:tcBorders>
              <w:top w:val="single" w:color="CCCCBB" w:sz="1" w:space="0"/>
              <w:left w:val="single" w:color="CCCCBB" w:sz="1" w:space="0"/>
              <w:bottom w:val="single" w:color="CCCCBB" w:sz="1" w:space="0"/>
              <w:right w:val="single" w:color="CCCCBB" w:sz="1" w:space="0"/>
            </w:tcBorders>
            <w:shd w:fill="F5F2EA" w:val="clear"/>
            <w:tcMar>
              <w:top w:type="dxa" w:w="80"/>
              <w:left w:type="dxa" w:w="160"/>
              <w:bottom w:type="dxa" w:w="80"/>
              <w:right w:type="dxa" w:w="160"/>
            </w:tcMar>
          </w:tcPr>
          <w:p>
            <w:r>
              <w:rPr>
                <w:rFonts w:ascii="Calibri" w:cs="Calibri" w:eastAsia="Calibri" w:hAnsi="Calibri"/>
                <w:b/>
                <w:bCs/>
                <w:color w:val="0C2340"/>
                <w:sz w:val="22"/>
                <w:szCs w:val="22"/>
              </w:rPr>
              <w:t xml:space="preserve">II.  Contribution First</w:t>
            </w:r>
          </w:p>
        </w:tc>
        <w:tc>
          <w:tcPr>
            <w:tcW w:type="dxa" w:w="6400"/>
            <w:tcBorders>
              <w:top w:val="single" w:color="CCCCBB" w:sz="1" w:space="0"/>
              <w:left w:val="single" w:color="CCCCBB" w:sz="1" w:space="0"/>
              <w:bottom w:val="single" w:color="CCCCBB" w:sz="1" w:space="0"/>
              <w:right w:val="single" w:color="CCCCBB" w:sz="1" w:space="0"/>
            </w:tcBorders>
            <w:shd w:fill="FAFAF5" w:val="clear"/>
            <w:tcMar>
              <w:top w:type="dxa" w:w="80"/>
              <w:left w:type="dxa" w:w="160"/>
              <w:bottom w:type="dxa" w:w="80"/>
              <w:right w:type="dxa" w:w="160"/>
            </w:tcMar>
          </w:tcPr>
          <w:p>
            <w:r>
              <w:rPr>
                <w:rFonts w:ascii="Calibri" w:cs="Calibri" w:eastAsia="Calibri" w:hAnsi="Calibri"/>
                <w:color w:val="1E1E2E"/>
                <w:sz w:val="22"/>
                <w:szCs w:val="22"/>
              </w:rPr>
              <w:t xml:space="preserve">Systems reward meaningful contribution over speculative extraction.</w:t>
            </w:r>
          </w:p>
        </w:tc>
      </w:tr>
      <w:tr>
        <w:tc>
          <w:tcPr>
            <w:tcW w:type="dxa" w:w="2600"/>
            <w:tcBorders>
              <w:top w:val="single" w:color="CCCCBB" w:sz="1" w:space="0"/>
              <w:left w:val="single" w:color="CCCCBB" w:sz="1" w:space="0"/>
              <w:bottom w:val="single" w:color="CCCCBB" w:sz="1" w:space="0"/>
              <w:right w:val="single" w:color="CCCCBB" w:sz="1" w:space="0"/>
            </w:tcBorders>
            <w:shd w:fill="EDE8D8" w:val="clear"/>
            <w:tcMar>
              <w:top w:type="dxa" w:w="80"/>
              <w:left w:type="dxa" w:w="160"/>
              <w:bottom w:type="dxa" w:w="80"/>
              <w:right w:type="dxa" w:w="160"/>
            </w:tcMar>
          </w:tcPr>
          <w:p>
            <w:r>
              <w:rPr>
                <w:rFonts w:ascii="Calibri" w:cs="Calibri" w:eastAsia="Calibri" w:hAnsi="Calibri"/>
                <w:b/>
                <w:bCs/>
                <w:color w:val="0C2340"/>
                <w:sz w:val="22"/>
                <w:szCs w:val="22"/>
              </w:rPr>
              <w:t xml:space="preserve">III. Sovereign Respect</w:t>
            </w:r>
          </w:p>
        </w:tc>
        <w:tc>
          <w:tcPr>
            <w:tcW w:type="dxa" w:w="6400"/>
            <w:tcBorders>
              <w:top w:val="single" w:color="CCCCBB" w:sz="1" w:space="0"/>
              <w:left w:val="single" w:color="CCCCBB" w:sz="1" w:space="0"/>
              <w:bottom w:val="single" w:color="CCCCBB" w:sz="1" w:space="0"/>
              <w:right w:val="single" w:color="CCCCBB" w:sz="1" w:space="0"/>
            </w:tcBorders>
            <w:shd w:fill="FFFFFF" w:val="clear"/>
            <w:tcMar>
              <w:top w:type="dxa" w:w="80"/>
              <w:left w:type="dxa" w:w="160"/>
              <w:bottom w:type="dxa" w:w="80"/>
              <w:right w:type="dxa" w:w="160"/>
            </w:tcMar>
          </w:tcPr>
          <w:p>
            <w:r>
              <w:rPr>
                <w:rFonts w:ascii="Calibri" w:cs="Calibri" w:eastAsia="Calibri" w:hAnsi="Calibri"/>
                <w:color w:val="1E1E2E"/>
                <w:sz w:val="22"/>
                <w:szCs w:val="22"/>
              </w:rPr>
              <w:t xml:space="preserve">Alignment with governments is voluntary. No coercive dependency is created.</w:t>
            </w:r>
          </w:p>
        </w:tc>
      </w:tr>
      <w:tr>
        <w:tc>
          <w:tcPr>
            <w:tcW w:type="dxa" w:w="2600"/>
            <w:tcBorders>
              <w:top w:val="single" w:color="CCCCBB" w:sz="1" w:space="0"/>
              <w:left w:val="single" w:color="CCCCBB" w:sz="1" w:space="0"/>
              <w:bottom w:val="single" w:color="CCCCBB" w:sz="1" w:space="0"/>
              <w:right w:val="single" w:color="CCCCBB" w:sz="1" w:space="0"/>
            </w:tcBorders>
            <w:shd w:fill="F5F2EA" w:val="clear"/>
            <w:tcMar>
              <w:top w:type="dxa" w:w="80"/>
              <w:left w:type="dxa" w:w="160"/>
              <w:bottom w:type="dxa" w:w="80"/>
              <w:right w:type="dxa" w:w="160"/>
            </w:tcMar>
          </w:tcPr>
          <w:p>
            <w:r>
              <w:rPr>
                <w:rFonts w:ascii="Calibri" w:cs="Calibri" w:eastAsia="Calibri" w:hAnsi="Calibri"/>
                <w:b/>
                <w:bCs/>
                <w:color w:val="0C2340"/>
                <w:sz w:val="22"/>
                <w:szCs w:val="22"/>
              </w:rPr>
              <w:t xml:space="preserve">IV.  Ethical Profitability</w:t>
            </w:r>
          </w:p>
        </w:tc>
        <w:tc>
          <w:tcPr>
            <w:tcW w:type="dxa" w:w="6400"/>
            <w:tcBorders>
              <w:top w:val="single" w:color="CCCCBB" w:sz="1" w:space="0"/>
              <w:left w:val="single" w:color="CCCCBB" w:sz="1" w:space="0"/>
              <w:bottom w:val="single" w:color="CCCCBB" w:sz="1" w:space="0"/>
              <w:right w:val="single" w:color="CCCCBB" w:sz="1" w:space="0"/>
            </w:tcBorders>
            <w:shd w:fill="FAFAF5" w:val="clear"/>
            <w:tcMar>
              <w:top w:type="dxa" w:w="80"/>
              <w:left w:type="dxa" w:w="160"/>
              <w:bottom w:type="dxa" w:w="80"/>
              <w:right w:type="dxa" w:w="160"/>
            </w:tcMar>
          </w:tcPr>
          <w:p>
            <w:r>
              <w:rPr>
                <w:rFonts w:ascii="Calibri" w:cs="Calibri" w:eastAsia="Calibri" w:hAnsi="Calibri"/>
                <w:color w:val="1E1E2E"/>
                <w:sz w:val="22"/>
                <w:szCs w:val="22"/>
              </w:rPr>
              <w:t xml:space="preserve">Profit is required and pursued. Never through destabilization or engineered scarcity.</w:t>
            </w:r>
          </w:p>
        </w:tc>
      </w:tr>
      <w:tr>
        <w:tc>
          <w:tcPr>
            <w:tcW w:type="dxa" w:w="2600"/>
            <w:tcBorders>
              <w:top w:val="single" w:color="CCCCBB" w:sz="1" w:space="0"/>
              <w:left w:val="single" w:color="CCCCBB" w:sz="1" w:space="0"/>
              <w:bottom w:val="single" w:color="CCCCBB" w:sz="1" w:space="0"/>
              <w:right w:val="single" w:color="CCCCBB" w:sz="1" w:space="0"/>
            </w:tcBorders>
            <w:shd w:fill="EDE8D8" w:val="clear"/>
            <w:tcMar>
              <w:top w:type="dxa" w:w="80"/>
              <w:left w:type="dxa" w:w="160"/>
              <w:bottom w:type="dxa" w:w="80"/>
              <w:right w:type="dxa" w:w="160"/>
            </w:tcMar>
          </w:tcPr>
          <w:p>
            <w:r>
              <w:rPr>
                <w:rFonts w:ascii="Calibri" w:cs="Calibri" w:eastAsia="Calibri" w:hAnsi="Calibri"/>
                <w:b/>
                <w:bCs/>
                <w:color w:val="0C2340"/>
                <w:sz w:val="22"/>
                <w:szCs w:val="22"/>
              </w:rPr>
              <w:t xml:space="preserve">V.   Governance Before Scale</w:t>
            </w:r>
          </w:p>
        </w:tc>
        <w:tc>
          <w:tcPr>
            <w:tcW w:type="dxa" w:w="6400"/>
            <w:tcBorders>
              <w:top w:val="single" w:color="CCCCBB" w:sz="1" w:space="0"/>
              <w:left w:val="single" w:color="CCCCBB" w:sz="1" w:space="0"/>
              <w:bottom w:val="single" w:color="CCCCBB" w:sz="1" w:space="0"/>
              <w:right w:val="single" w:color="CCCCBB" w:sz="1" w:space="0"/>
            </w:tcBorders>
            <w:shd w:fill="FFFFFF" w:val="clear"/>
            <w:tcMar>
              <w:top w:type="dxa" w:w="80"/>
              <w:left w:type="dxa" w:w="160"/>
              <w:bottom w:type="dxa" w:w="80"/>
              <w:right w:type="dxa" w:w="160"/>
            </w:tcMar>
          </w:tcPr>
          <w:p>
            <w:r>
              <w:rPr>
                <w:rFonts w:ascii="Calibri" w:cs="Calibri" w:eastAsia="Calibri" w:hAnsi="Calibri"/>
                <w:color w:val="1E1E2E"/>
                <w:sz w:val="22"/>
                <w:szCs w:val="22"/>
              </w:rPr>
              <w:t xml:space="preserve">No expansion without governance capacity adequate to manage it.</w:t>
            </w:r>
          </w:p>
        </w:tc>
      </w:tr>
      <w:tr>
        <w:tc>
          <w:tcPr>
            <w:tcW w:type="dxa" w:w="2600"/>
            <w:tcBorders>
              <w:top w:val="single" w:color="CCCCBB" w:sz="1" w:space="0"/>
              <w:left w:val="single" w:color="CCCCBB" w:sz="1" w:space="0"/>
              <w:bottom w:val="single" w:color="CCCCBB" w:sz="1" w:space="0"/>
              <w:right w:val="single" w:color="CCCCBB" w:sz="1" w:space="0"/>
            </w:tcBorders>
            <w:shd w:fill="F5F2EA" w:val="clear"/>
            <w:tcMar>
              <w:top w:type="dxa" w:w="80"/>
              <w:left w:type="dxa" w:w="160"/>
              <w:bottom w:type="dxa" w:w="80"/>
              <w:right w:type="dxa" w:w="160"/>
            </w:tcMar>
          </w:tcPr>
          <w:p>
            <w:r>
              <w:rPr>
                <w:rFonts w:ascii="Calibri" w:cs="Calibri" w:eastAsia="Calibri" w:hAnsi="Calibri"/>
                <w:b/>
                <w:bCs/>
                <w:color w:val="0C2340"/>
                <w:sz w:val="22"/>
                <w:szCs w:val="22"/>
              </w:rPr>
              <w:t xml:space="preserve">VI.  Transparency</w:t>
            </w:r>
          </w:p>
        </w:tc>
        <w:tc>
          <w:tcPr>
            <w:tcW w:type="dxa" w:w="6400"/>
            <w:tcBorders>
              <w:top w:val="single" w:color="CCCCBB" w:sz="1" w:space="0"/>
              <w:left w:val="single" w:color="CCCCBB" w:sz="1" w:space="0"/>
              <w:bottom w:val="single" w:color="CCCCBB" w:sz="1" w:space="0"/>
              <w:right w:val="single" w:color="CCCCBB" w:sz="1" w:space="0"/>
            </w:tcBorders>
            <w:shd w:fill="FAFAF5" w:val="clear"/>
            <w:tcMar>
              <w:top w:type="dxa" w:w="80"/>
              <w:left w:type="dxa" w:w="160"/>
              <w:bottom w:type="dxa" w:w="80"/>
              <w:right w:type="dxa" w:w="160"/>
            </w:tcMar>
          </w:tcPr>
          <w:p>
            <w:r>
              <w:rPr>
                <w:rFonts w:ascii="Calibri" w:cs="Calibri" w:eastAsia="Calibri" w:hAnsi="Calibri"/>
                <w:color w:val="1E1E2E"/>
                <w:sz w:val="22"/>
                <w:szCs w:val="22"/>
              </w:rPr>
              <w:t xml:space="preserve">Financial operations and technology systems remain independently auditable at all times.</w:t>
            </w:r>
          </w:p>
        </w:tc>
      </w:tr>
      <w:tr>
        <w:tc>
          <w:tcPr>
            <w:tcW w:type="dxa" w:w="2600"/>
            <w:tcBorders>
              <w:top w:val="single" w:color="CCCCBB" w:sz="1" w:space="0"/>
              <w:left w:val="single" w:color="CCCCBB" w:sz="1" w:space="0"/>
              <w:bottom w:val="single" w:color="CCCCBB" w:sz="1" w:space="0"/>
              <w:right w:val="single" w:color="CCCCBB" w:sz="1" w:space="0"/>
            </w:tcBorders>
            <w:shd w:fill="EDE8D8" w:val="clear"/>
            <w:tcMar>
              <w:top w:type="dxa" w:w="80"/>
              <w:left w:type="dxa" w:w="160"/>
              <w:bottom w:type="dxa" w:w="80"/>
              <w:right w:type="dxa" w:w="160"/>
            </w:tcMar>
          </w:tcPr>
          <w:p>
            <w:r>
              <w:rPr>
                <w:rFonts w:ascii="Calibri" w:cs="Calibri" w:eastAsia="Calibri" w:hAnsi="Calibri"/>
                <w:b/>
                <w:bCs/>
                <w:color w:val="0C2340"/>
                <w:sz w:val="22"/>
                <w:szCs w:val="22"/>
              </w:rPr>
              <w:t xml:space="preserve">VII. Founder Constraint</w:t>
            </w:r>
          </w:p>
        </w:tc>
        <w:tc>
          <w:tcPr>
            <w:tcW w:type="dxa" w:w="6400"/>
            <w:tcBorders>
              <w:top w:val="single" w:color="CCCCBB" w:sz="1" w:space="0"/>
              <w:left w:val="single" w:color="CCCCBB" w:sz="1" w:space="0"/>
              <w:bottom w:val="single" w:color="CCCCBB" w:sz="1" w:space="0"/>
              <w:right w:val="single" w:color="CCCCBB" w:sz="1" w:space="0"/>
            </w:tcBorders>
            <w:shd w:fill="FFFFFF" w:val="clear"/>
            <w:tcMar>
              <w:top w:type="dxa" w:w="80"/>
              <w:left w:type="dxa" w:w="160"/>
              <w:bottom w:type="dxa" w:w="80"/>
              <w:right w:type="dxa" w:w="160"/>
            </w:tcMar>
          </w:tcPr>
          <w:p>
            <w:r>
              <w:rPr>
                <w:rFonts w:ascii="Calibri" w:cs="Calibri" w:eastAsia="Calibri" w:hAnsi="Calibri"/>
                <w:color w:val="1E1E2E"/>
                <w:sz w:val="22"/>
                <w:szCs w:val="22"/>
              </w:rPr>
              <w:t xml:space="preserve">No individual supersedes the institution. Removal mechanisms are constitutionally embedded.</w:t>
            </w:r>
          </w:p>
        </w:tc>
      </w:tr>
      <w:tr>
        <w:tc>
          <w:tcPr>
            <w:tcW w:type="dxa" w:w="2600"/>
            <w:tcBorders>
              <w:top w:val="single" w:color="CCCCBB" w:sz="1" w:space="0"/>
              <w:left w:val="single" w:color="CCCCBB" w:sz="1" w:space="0"/>
              <w:bottom w:val="single" w:color="CCCCBB" w:sz="1" w:space="0"/>
              <w:right w:val="single" w:color="CCCCBB" w:sz="1" w:space="0"/>
            </w:tcBorders>
            <w:shd w:fill="F5F2EA" w:val="clear"/>
            <w:tcMar>
              <w:top w:type="dxa" w:w="80"/>
              <w:left w:type="dxa" w:w="160"/>
              <w:bottom w:type="dxa" w:w="80"/>
              <w:right w:type="dxa" w:w="160"/>
            </w:tcMar>
          </w:tcPr>
          <w:p>
            <w:r>
              <w:rPr>
                <w:rFonts w:ascii="Calibri" w:cs="Calibri" w:eastAsia="Calibri" w:hAnsi="Calibri"/>
                <w:b/>
                <w:bCs/>
                <w:color w:val="0C2340"/>
                <w:sz w:val="22"/>
                <w:szCs w:val="22"/>
              </w:rPr>
              <w:t xml:space="preserve">VIII.Human Primacy in AI</w:t>
            </w:r>
          </w:p>
        </w:tc>
        <w:tc>
          <w:tcPr>
            <w:tcW w:type="dxa" w:w="6400"/>
            <w:tcBorders>
              <w:top w:val="single" w:color="CCCCBB" w:sz="1" w:space="0"/>
              <w:left w:val="single" w:color="CCCCBB" w:sz="1" w:space="0"/>
              <w:bottom w:val="single" w:color="CCCCBB" w:sz="1" w:space="0"/>
              <w:right w:val="single" w:color="CCCCBB" w:sz="1" w:space="0"/>
            </w:tcBorders>
            <w:shd w:fill="FAFAF5" w:val="clear"/>
            <w:tcMar>
              <w:top w:type="dxa" w:w="80"/>
              <w:left w:type="dxa" w:w="160"/>
              <w:bottom w:type="dxa" w:w="80"/>
              <w:right w:type="dxa" w:w="160"/>
            </w:tcMar>
          </w:tcPr>
          <w:p>
            <w:r>
              <w:rPr>
                <w:rFonts w:ascii="Calibri" w:cs="Calibri" w:eastAsia="Calibri" w:hAnsi="Calibri"/>
                <w:color w:val="1E1E2E"/>
                <w:sz w:val="22"/>
                <w:szCs w:val="22"/>
              </w:rPr>
              <w:t xml:space="preserve">AI serves human wellbeing. Human oversight is preserved for all consequential decisions.</w:t>
            </w:r>
          </w:p>
        </w:tc>
      </w:tr>
      <w:tr>
        <w:tc>
          <w:tcPr>
            <w:tcW w:type="dxa" w:w="2600"/>
            <w:tcBorders>
              <w:top w:val="single" w:color="CCCCBB" w:sz="1" w:space="0"/>
              <w:left w:val="single" w:color="CCCCBB" w:sz="1" w:space="0"/>
              <w:bottom w:val="single" w:color="CCCCBB" w:sz="1" w:space="0"/>
              <w:right w:val="single" w:color="CCCCBB" w:sz="1" w:space="0"/>
            </w:tcBorders>
            <w:shd w:fill="EDE8D8" w:val="clear"/>
            <w:tcMar>
              <w:top w:type="dxa" w:w="80"/>
              <w:left w:type="dxa" w:w="160"/>
              <w:bottom w:type="dxa" w:w="80"/>
              <w:right w:type="dxa" w:w="160"/>
            </w:tcMar>
          </w:tcPr>
          <w:p>
            <w:r>
              <w:rPr>
                <w:rFonts w:ascii="Calibri" w:cs="Calibri" w:eastAsia="Calibri" w:hAnsi="Calibri"/>
                <w:b/>
                <w:bCs/>
                <w:color w:val="0C2340"/>
                <w:sz w:val="22"/>
                <w:szCs w:val="22"/>
              </w:rPr>
              <w:t xml:space="preserve">IX.  Reintegration</w:t>
            </w:r>
          </w:p>
        </w:tc>
        <w:tc>
          <w:tcPr>
            <w:tcW w:type="dxa" w:w="6400"/>
            <w:tcBorders>
              <w:top w:val="single" w:color="CCCCBB" w:sz="1" w:space="0"/>
              <w:left w:val="single" w:color="CCCCBB" w:sz="1" w:space="0"/>
              <w:bottom w:val="single" w:color="CCCCBB" w:sz="1" w:space="0"/>
              <w:right w:val="single" w:color="CCCCBB" w:sz="1" w:space="0"/>
            </w:tcBorders>
            <w:shd w:fill="FFFFFF" w:val="clear"/>
            <w:tcMar>
              <w:top w:type="dxa" w:w="80"/>
              <w:left w:type="dxa" w:w="160"/>
              <w:bottom w:type="dxa" w:w="80"/>
              <w:right w:type="dxa" w:w="160"/>
            </w:tcMar>
          </w:tcPr>
          <w:p>
            <w:r>
              <w:rPr>
                <w:rFonts w:ascii="Calibri" w:cs="Calibri" w:eastAsia="Calibri" w:hAnsi="Calibri"/>
                <w:color w:val="1E1E2E"/>
                <w:sz w:val="22"/>
                <w:szCs w:val="22"/>
              </w:rPr>
              <w:t xml:space="preserve">Structured recovery pathways remain operational. Failure does not permanently exclude.</w:t>
            </w:r>
          </w:p>
        </w:tc>
      </w:tr>
      <w:tr>
        <w:tc>
          <w:tcPr>
            <w:tcW w:type="dxa" w:w="2600"/>
            <w:tcBorders>
              <w:top w:val="single" w:color="CCCCBB" w:sz="1" w:space="0"/>
              <w:left w:val="single" w:color="CCCCBB" w:sz="1" w:space="0"/>
              <w:bottom w:val="single" w:color="CCCCBB" w:sz="1" w:space="0"/>
              <w:right w:val="single" w:color="CCCCBB" w:sz="1" w:space="0"/>
            </w:tcBorders>
            <w:shd w:fill="F5F2EA" w:val="clear"/>
            <w:tcMar>
              <w:top w:type="dxa" w:w="80"/>
              <w:left w:type="dxa" w:w="160"/>
              <w:bottom w:type="dxa" w:w="80"/>
              <w:right w:type="dxa" w:w="160"/>
            </w:tcMar>
          </w:tcPr>
          <w:p>
            <w:r>
              <w:rPr>
                <w:rFonts w:ascii="Calibri" w:cs="Calibri" w:eastAsia="Calibri" w:hAnsi="Calibri"/>
                <w:b/>
                <w:bCs/>
                <w:color w:val="0C2340"/>
                <w:sz w:val="22"/>
                <w:szCs w:val="22"/>
              </w:rPr>
              <w:t xml:space="preserve">X.   Long-Horizon Discipline</w:t>
            </w:r>
          </w:p>
        </w:tc>
        <w:tc>
          <w:tcPr>
            <w:tcW w:type="dxa" w:w="6400"/>
            <w:tcBorders>
              <w:top w:val="single" w:color="CCCCBB" w:sz="1" w:space="0"/>
              <w:left w:val="single" w:color="CCCCBB" w:sz="1" w:space="0"/>
              <w:bottom w:val="single" w:color="CCCCBB" w:sz="1" w:space="0"/>
              <w:right w:val="single" w:color="CCCCBB" w:sz="1" w:space="0"/>
            </w:tcBorders>
            <w:shd w:fill="FAFAF5" w:val="clear"/>
            <w:tcMar>
              <w:top w:type="dxa" w:w="80"/>
              <w:left w:type="dxa" w:w="160"/>
              <w:bottom w:type="dxa" w:w="80"/>
              <w:right w:type="dxa" w:w="160"/>
            </w:tcMar>
          </w:tcPr>
          <w:p>
            <w:r>
              <w:rPr>
                <w:rFonts w:ascii="Calibri" w:cs="Calibri" w:eastAsia="Calibri" w:hAnsi="Calibri"/>
                <w:color w:val="1E1E2E"/>
                <w:sz w:val="22"/>
                <w:szCs w:val="22"/>
              </w:rPr>
              <w:t xml:space="preserve">Decisions are evaluated for generational impact, not only quarterly performance.</w:t>
            </w:r>
          </w:p>
        </w:tc>
      </w:tr>
      <w:tr>
        <w:tc>
          <w:tcPr>
            <w:tcW w:type="dxa" w:w="2600"/>
            <w:tcBorders>
              <w:top w:val="single" w:color="CCCCBB" w:sz="1" w:space="0"/>
              <w:left w:val="single" w:color="CCCCBB" w:sz="1" w:space="0"/>
              <w:bottom w:val="single" w:color="CCCCBB" w:sz="1" w:space="0"/>
              <w:right w:val="single" w:color="CCCCBB" w:sz="1" w:space="0"/>
            </w:tcBorders>
            <w:shd w:fill="EDE8D8" w:val="clear"/>
            <w:tcMar>
              <w:top w:type="dxa" w:w="80"/>
              <w:left w:type="dxa" w:w="160"/>
              <w:bottom w:type="dxa" w:w="80"/>
              <w:right w:type="dxa" w:w="160"/>
            </w:tcMar>
          </w:tcPr>
          <w:p>
            <w:r>
              <w:rPr>
                <w:rFonts w:ascii="Calibri" w:cs="Calibri" w:eastAsia="Calibri" w:hAnsi="Calibri"/>
                <w:b/>
                <w:bCs/>
                <w:color w:val="0C2340"/>
                <w:sz w:val="22"/>
                <w:szCs w:val="22"/>
              </w:rPr>
              <w:t xml:space="preserve">XI.  Anti-Corruption</w:t>
            </w:r>
          </w:p>
        </w:tc>
        <w:tc>
          <w:tcPr>
            <w:tcW w:type="dxa" w:w="6400"/>
            <w:tcBorders>
              <w:top w:val="single" w:color="CCCCBB" w:sz="1" w:space="0"/>
              <w:left w:val="single" w:color="CCCCBB" w:sz="1" w:space="0"/>
              <w:bottom w:val="single" w:color="CCCCBB" w:sz="1" w:space="0"/>
              <w:right w:val="single" w:color="CCCCBB" w:sz="1" w:space="0"/>
            </w:tcBorders>
            <w:shd w:fill="FFFFFF" w:val="clear"/>
            <w:tcMar>
              <w:top w:type="dxa" w:w="80"/>
              <w:left w:type="dxa" w:w="160"/>
              <w:bottom w:type="dxa" w:w="80"/>
              <w:right w:type="dxa" w:w="160"/>
            </w:tcMar>
          </w:tcPr>
          <w:p>
            <w:r>
              <w:rPr>
                <w:rFonts w:ascii="Calibri" w:cs="Calibri" w:eastAsia="Calibri" w:hAnsi="Calibri"/>
                <w:color w:val="1E1E2E"/>
                <w:sz w:val="22"/>
                <w:szCs w:val="22"/>
              </w:rPr>
              <w:t xml:space="preserve">Structural safeguards prevent institutional capture by political, financial, or personal interests.</w:t>
            </w:r>
          </w:p>
        </w:tc>
      </w:tr>
      <w:tr>
        <w:tc>
          <w:tcPr>
            <w:tcW w:type="dxa" w:w="2600"/>
            <w:tcBorders>
              <w:top w:val="single" w:color="CCCCBB" w:sz="1" w:space="0"/>
              <w:left w:val="single" w:color="CCCCBB" w:sz="1" w:space="0"/>
              <w:bottom w:val="single" w:color="CCCCBB" w:sz="1" w:space="0"/>
              <w:right w:val="single" w:color="CCCCBB" w:sz="1" w:space="0"/>
            </w:tcBorders>
            <w:shd w:fill="F5F2EA" w:val="clear"/>
            <w:tcMar>
              <w:top w:type="dxa" w:w="80"/>
              <w:left w:type="dxa" w:w="160"/>
              <w:bottom w:type="dxa" w:w="80"/>
              <w:right w:type="dxa" w:w="160"/>
            </w:tcMar>
          </w:tcPr>
          <w:p>
            <w:r>
              <w:rPr>
                <w:rFonts w:ascii="Calibri" w:cs="Calibri" w:eastAsia="Calibri" w:hAnsi="Calibri"/>
                <w:b/>
                <w:bCs/>
                <w:color w:val="0C2340"/>
                <w:sz w:val="22"/>
                <w:szCs w:val="22"/>
              </w:rPr>
              <w:t xml:space="preserve">XII. Evidence-Driven Evolution</w:t>
            </w:r>
          </w:p>
        </w:tc>
        <w:tc>
          <w:tcPr>
            <w:tcW w:type="dxa" w:w="6400"/>
            <w:tcBorders>
              <w:top w:val="single" w:color="CCCCBB" w:sz="1" w:space="0"/>
              <w:left w:val="single" w:color="CCCCBB" w:sz="1" w:space="0"/>
              <w:bottom w:val="single" w:color="CCCCBB" w:sz="1" w:space="0"/>
              <w:right w:val="single" w:color="CCCCBB" w:sz="1" w:space="0"/>
            </w:tcBorders>
            <w:shd w:fill="FAFAF5" w:val="clear"/>
            <w:tcMar>
              <w:top w:type="dxa" w:w="80"/>
              <w:left w:type="dxa" w:w="160"/>
              <w:bottom w:type="dxa" w:w="80"/>
              <w:right w:type="dxa" w:w="160"/>
            </w:tcMar>
          </w:tcPr>
          <w:p>
            <w:r>
              <w:rPr>
                <w:rFonts w:ascii="Calibri" w:cs="Calibri" w:eastAsia="Calibri" w:hAnsi="Calibri"/>
                <w:color w:val="1E1E2E"/>
                <w:sz w:val="22"/>
                <w:szCs w:val="22"/>
              </w:rPr>
              <w:t xml:space="preserve">The system adapts based on measurable outcomes. Ideology does not override demonstrable reality.</w:t>
            </w:r>
          </w:p>
        </w:tc>
      </w:tr>
    </w:tbl>
    <w:p>
      <w:r>
        <w:br w:type="page"/>
      </w:r>
    </w:p>
    <w:p>
      <w:pPr>
        <w:shd w:fill="0C2340" w:val="clear"/>
        <w:spacing w:before="360" w:after="60"/>
        <w:jc w:val="center"/>
      </w:pPr>
      <w:r>
        <w:rPr>
          <w:rFonts w:ascii="Georgia" w:cs="Georgia" w:eastAsia="Georgia" w:hAnsi="Georgia"/>
          <w:b/>
          <w:bCs/>
          <w:color w:val="B8972A"/>
          <w:sz w:val="26"/>
          <w:szCs w:val="26"/>
        </w:rPr>
        <w:t xml:space="preserve">PART III</w:t>
      </w:r>
    </w:p>
    <w:p>
      <w:pPr>
        <w:shd w:fill="0C2340" w:val="clear"/>
        <w:spacing w:before="0" w:after="0"/>
        <w:jc w:val="center"/>
      </w:pPr>
      <w:r>
        <w:rPr>
          <w:rFonts w:ascii="Georgia" w:cs="Georgia" w:eastAsia="Georgia" w:hAnsi="Georgia"/>
          <w:b/>
          <w:bCs/>
          <w:color w:val="FFFFFF"/>
          <w:sz w:val="48"/>
          <w:szCs w:val="48"/>
        </w:rPr>
        <w:t xml:space="preserve">THE SYSTEM</w:t>
      </w:r>
    </w:p>
    <w:p>
      <w:pPr>
        <w:shd w:fill="0C2340" w:val="clear"/>
        <w:spacing w:before="0" w:after="360"/>
        <w:jc w:val="center"/>
      </w:pPr>
      <w:r>
        <w:rPr>
          <w:rFonts w:ascii="Calibri" w:cs="Calibri" w:eastAsia="Calibri" w:hAnsi="Calibri"/>
          <w:i/>
          <w:iCs/>
          <w:color w:val="B8972A"/>
          <w:sz w:val="20"/>
          <w:szCs w:val="20"/>
        </w:rPr>
        <w:t xml:space="preserve">S.E.T.H.S  ·  M.A.D.I.B.A  ·  UDOC  ·  T.S</w:t>
      </w:r>
    </w:p>
    <w:p>
      <w:pPr>
        <w:pBdr>
          <w:bottom w:val="single" w:color="C9A84C" w:sz="8" w:space="4"/>
        </w:pBdr>
        <w:spacing w:before="440" w:after="120"/>
      </w:pPr>
      <w:r>
        <w:rPr>
          <w:rFonts w:ascii="Georgia" w:cs="Georgia" w:eastAsia="Georgia" w:hAnsi="Georgia"/>
          <w:b/>
          <w:bCs/>
          <w:color w:val="B8972A"/>
          <w:sz w:val="28"/>
          <w:szCs w:val="28"/>
        </w:rPr>
        <w:t xml:space="preserve">3.0  </w:t>
      </w:r>
      <w:r>
        <w:rPr>
          <w:rFonts w:ascii="Georgia" w:cs="Georgia" w:eastAsia="Georgia" w:hAnsi="Georgia"/>
          <w:b/>
          <w:bCs/>
          <w:color w:val="0C2340"/>
          <w:sz w:val="28"/>
          <w:szCs w:val="28"/>
        </w:rPr>
        <w:t xml:space="preserve">How the Four Divisions Work as One System</w:t>
      </w:r>
    </w:p>
    <w:p>
      <w:pPr>
        <w:spacing w:before="140" w:after="160"/>
        <w:jc w:val="both"/>
      </w:pPr>
      <w:r>
        <w:rPr>
          <w:rFonts w:ascii="Georgia" w:cs="Georgia" w:eastAsia="Georgia" w:hAnsi="Georgia"/>
          <w:i/>
          <w:iCs/>
          <w:color w:val="5A5A72"/>
          <w:sz w:val="24"/>
          <w:szCs w:val="24"/>
        </w:rPr>
        <w:t xml:space="preserve">The divisions are not independent businesses sharing a holding company. They are integrated system components whose interaction creates value no single component can produce alone.</w:t>
      </w:r>
    </w:p>
    <w:p>
      <w:pPr>
        <w:spacing w:before="80" w:after="80"/>
        <w:jc w:val="both"/>
      </w:pPr>
      <w:r>
        <w:rPr>
          <w:rFonts w:ascii="Calibri" w:cs="Calibri" w:eastAsia="Calibri" w:hAnsi="Calibri"/>
          <w:color w:val="1E1E2E"/>
          <w:sz w:val="22"/>
          <w:szCs w:val="22"/>
        </w:rPr>
        <w:t xml:space="preserve">The logic is a closed loop. S.E.T.H.S identifies, assesses, and certifies excluded human capital. T.S deploys that capital in structured production and infrastructure environments. UDOC provides the governance and compliance infrastructure that makes S.E.T.H.S behavioral data systems legally defensible and institutionally trustworthy. M.A.D.I.B.A provides the capital and government partnership architecture that funds S.E.T.H.S programs and scales T.S infrastructure.</w:t>
      </w:r>
    </w:p>
    <w:p>
      <w:pPr>
        <w:spacing w:before="80" w:after="80"/>
        <w:jc w:val="both"/>
      </w:pPr>
      <w:r>
        <w:rPr>
          <w:rFonts w:ascii="Calibri" w:cs="Calibri" w:eastAsia="Calibri" w:hAnsi="Calibri"/>
          <w:color w:val="1E1E2E"/>
          <w:sz w:val="22"/>
          <w:szCs w:val="22"/>
        </w:rPr>
        <w:t xml:space="preserve">The output compounds: excluded individuals enter the pipeline and emerge as productive economic contributors; commercial returns fund further expansion; government partners receive measurable outcomes justifying continued investment; and the institutional evidence base deepens with each cycle.</w:t>
      </w:r>
    </w:p>
    <w:p>
      <w:pPr>
        <w:spacing w:before="160" w:after="0"/>
      </w:pPr>
    </w:p>
    <w:p>
      <w:pPr>
        <w:pBdr>
          <w:bottom w:val="single" w:color="C9A84C" w:sz="8" w:space="4"/>
        </w:pBdr>
        <w:spacing w:before="440" w:after="120"/>
      </w:pPr>
      <w:r>
        <w:rPr>
          <w:rFonts w:ascii="Georgia" w:cs="Georgia" w:eastAsia="Georgia" w:hAnsi="Georgia"/>
          <w:b/>
          <w:bCs/>
          <w:color w:val="B8972A"/>
          <w:sz w:val="28"/>
          <w:szCs w:val="28"/>
        </w:rPr>
        <w:t xml:space="preserve">3.1  </w:t>
      </w:r>
      <w:r>
        <w:rPr>
          <w:rFonts w:ascii="Georgia" w:cs="Georgia" w:eastAsia="Georgia" w:hAnsi="Georgia"/>
          <w:b/>
          <w:bCs/>
          <w:color w:val="0C2340"/>
          <w:sz w:val="28"/>
          <w:szCs w:val="28"/>
        </w:rPr>
        <w:t xml:space="preserve">S.E.T.H.S — Human Capacity Engine</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1800"/>
        <w:gridCol w:w="7200"/>
      </w:tblGrid>
      <w:tr>
        <w:tc>
          <w:tcPr>
            <w:tcW w:type="dxa" w:w="1800"/>
            <w:tcBorders>
              <w:top w:val="single" w:color="CCCCBB" w:sz="1" w:space="0"/>
              <w:left w:val="single" w:color="CCCCBB" w:sz="1" w:space="0"/>
              <w:bottom w:val="single" w:color="CCCCBB" w:sz="1" w:space="0"/>
              <w:right w:val="single" w:color="CCCCBB" w:sz="1" w:space="0"/>
            </w:tcBorders>
            <w:shd w:fill="0C2340" w:val="clear"/>
            <w:tcMar>
              <w:top w:type="dxa" w:w="160"/>
              <w:left w:type="dxa" w:w="160"/>
              <w:bottom w:type="dxa" w:w="160"/>
              <w:right w:type="dxa" w:w="160"/>
            </w:tcMar>
          </w:tcPr>
          <w:p>
            <w:pPr>
              <w:jc w:val="center"/>
            </w:pPr>
            <w:r>
              <w:rPr>
                <w:rFonts w:ascii="Georgia" w:cs="Georgia" w:eastAsia="Georgia" w:hAnsi="Georgia"/>
                <w:b/>
                <w:bCs/>
                <w:color w:val="B8972A"/>
                <w:sz w:val="40"/>
                <w:szCs w:val="40"/>
              </w:rPr>
              <w:t xml:space="preserve">S.E.T.H.S</w:t>
            </w:r>
          </w:p>
          <w:p>
            <w:pPr>
              <w:spacing w:before="80" w:after="0"/>
              <w:jc w:val="center"/>
            </w:pPr>
            <w:r>
              <w:rPr>
                <w:rFonts w:ascii="Calibri" w:cs="Calibri" w:eastAsia="Calibri" w:hAnsi="Calibri"/>
                <w:i/>
                <w:iCs/>
                <w:color w:val="FFFFFF"/>
                <w:sz w:val="14"/>
                <w:szCs w:val="14"/>
              </w:rPr>
              <w:t xml:space="preserve">Human Capacity Acceleration</w:t>
            </w:r>
          </w:p>
        </w:tc>
        <w:tc>
          <w:tcPr>
            <w:tcW w:type="dxa" w:w="7200"/>
            <w:tcBorders>
              <w:top w:val="single" w:color="CCCCBB" w:sz="1" w:space="0"/>
              <w:left w:val="single" w:color="CCCCBB" w:sz="1" w:space="0"/>
              <w:bottom w:val="single" w:color="CCCCBB" w:sz="1" w:space="0"/>
              <w:right w:val="single" w:color="CCCCBB" w:sz="1" w:space="0"/>
            </w:tcBorders>
            <w:shd w:fill="F8F5EC" w:val="clear"/>
            <w:tcMar>
              <w:top w:type="dxa" w:w="160"/>
              <w:left w:type="dxa" w:w="240"/>
              <w:bottom w:type="dxa" w:w="160"/>
              <w:right w:type="dxa" w:w="240"/>
            </w:tcMar>
          </w:tcPr>
          <w:p>
            <w:pPr>
              <w:spacing w:before="0" w:after="60"/>
            </w:pPr>
            <w:r>
              <w:rPr>
                <w:rFonts w:ascii="Georgia" w:cs="Georgia" w:eastAsia="Georgia" w:hAnsi="Georgia"/>
                <w:b/>
                <w:bCs/>
                <w:color w:val="0C2340"/>
                <w:sz w:val="26"/>
                <w:szCs w:val="26"/>
              </w:rPr>
              <w:t xml:space="preserve">Systematically Engineered To Hinder Speculators</w:t>
            </w:r>
          </w:p>
          <w:p>
            <w:pPr>
              <w:spacing w:before="0" w:after="100"/>
            </w:pPr>
            <w:r>
              <w:rPr>
                <w:rFonts w:ascii="Calibri" w:cs="Calibri" w:eastAsia="Calibri" w:hAnsi="Calibri"/>
                <w:i/>
                <w:iCs/>
                <w:color w:val="5A5A72"/>
                <w:sz w:val="20"/>
                <w:szCs w:val="20"/>
              </w:rPr>
              <w:t xml:space="preserve">A disciplined human capital system — not a welfare program — that applies structured behavioral assessment, identity reconstruction, and employment matching to convert long-term unemployment, addiction, and incarceration records from fiscal liabilities into economic assets.</w:t>
            </w:r>
          </w:p>
          <w:p>
            <w:pPr>
              <w:spacing w:before="0" w:after="60"/>
            </w:pPr>
            <w:r>
              <w:rPr>
                <w:rFonts w:ascii="Calibri" w:cs="Calibri" w:eastAsia="Calibri" w:hAnsi="Calibri"/>
                <w:b/>
                <w:bCs/>
                <w:color w:val="0C2340"/>
                <w:sz w:val="20"/>
                <w:szCs w:val="20"/>
              </w:rPr>
              <w:t xml:space="preserve">Revenue streams:</w:t>
            </w:r>
          </w:p>
          <w:p>
            <w:pPr>
              <w:spacing w:before="40" w:after="40"/>
            </w:pPr>
            <w:r>
              <w:rPr>
                <w:rFonts w:ascii="Calibri" w:cs="Calibri" w:eastAsia="Calibri" w:hAnsi="Calibri"/>
                <w:b/>
                <w:bCs/>
                <w:color w:val="B8972A"/>
                <w:sz w:val="20"/>
                <w:szCs w:val="20"/>
              </w:rPr>
              <w:t xml:space="preserve">• </w:t>
            </w:r>
            <w:r>
              <w:rPr>
                <w:rFonts w:ascii="Calibri" w:cs="Calibri" w:eastAsia="Calibri" w:hAnsi="Calibri"/>
                <w:color w:val="1E1E2E"/>
                <w:sz w:val="20"/>
                <w:szCs w:val="20"/>
              </w:rPr>
              <w:t xml:space="preserve">Government rehabilitation contracts — multi-year, recurring</w:t>
            </w:r>
          </w:p>
          <w:p>
            <w:pPr>
              <w:spacing w:before="40" w:after="40"/>
            </w:pPr>
            <w:r>
              <w:rPr>
                <w:rFonts w:ascii="Calibri" w:cs="Calibri" w:eastAsia="Calibri" w:hAnsi="Calibri"/>
                <w:b/>
                <w:bCs/>
                <w:color w:val="B8972A"/>
                <w:sz w:val="20"/>
                <w:szCs w:val="20"/>
              </w:rPr>
              <w:t xml:space="preserve">• </w:t>
            </w:r>
            <w:r>
              <w:rPr>
                <w:rFonts w:ascii="Calibri" w:cs="Calibri" w:eastAsia="Calibri" w:hAnsi="Calibri"/>
                <w:color w:val="1E1E2E"/>
                <w:sz w:val="20"/>
                <w:szCs w:val="20"/>
              </w:rPr>
              <w:t xml:space="preserve">Corporate workforce stabilization programs</w:t>
            </w:r>
          </w:p>
          <w:p>
            <w:pPr>
              <w:spacing w:before="40" w:after="40"/>
            </w:pPr>
            <w:r>
              <w:rPr>
                <w:rFonts w:ascii="Calibri" w:cs="Calibri" w:eastAsia="Calibri" w:hAnsi="Calibri"/>
                <w:b/>
                <w:bCs/>
                <w:color w:val="B8972A"/>
                <w:sz w:val="20"/>
                <w:szCs w:val="20"/>
              </w:rPr>
              <w:t xml:space="preserve">• </w:t>
            </w:r>
            <w:r>
              <w:rPr>
                <w:rFonts w:ascii="Calibri" w:cs="Calibri" w:eastAsia="Calibri" w:hAnsi="Calibri"/>
                <w:color w:val="1E1E2E"/>
                <w:sz w:val="20"/>
                <w:szCs w:val="20"/>
              </w:rPr>
              <w:t xml:space="preserve">Correctional reintegration service contracts</w:t>
            </w:r>
          </w:p>
          <w:p>
            <w:pPr>
              <w:spacing w:before="40" w:after="40"/>
            </w:pPr>
            <w:r>
              <w:rPr>
                <w:rFonts w:ascii="Calibri" w:cs="Calibri" w:eastAsia="Calibri" w:hAnsi="Calibri"/>
                <w:b/>
                <w:bCs/>
                <w:color w:val="B8972A"/>
                <w:sz w:val="20"/>
                <w:szCs w:val="20"/>
              </w:rPr>
              <w:t xml:space="preserve">• </w:t>
            </w:r>
            <w:r>
              <w:rPr>
                <w:rFonts w:ascii="Calibri" w:cs="Calibri" w:eastAsia="Calibri" w:hAnsi="Calibri"/>
                <w:color w:val="1E1E2E"/>
                <w:sz w:val="20"/>
                <w:szCs w:val="20"/>
              </w:rPr>
              <w:t xml:space="preserve">Behavioral monitoring SaaS — subscription employer tools</w:t>
            </w:r>
          </w:p>
          <w:p>
            <w:pPr>
              <w:spacing w:before="40" w:after="40"/>
            </w:pPr>
            <w:r>
              <w:rPr>
                <w:rFonts w:ascii="Calibri" w:cs="Calibri" w:eastAsia="Calibri" w:hAnsi="Calibri"/>
                <w:b/>
                <w:bCs/>
                <w:color w:val="B8972A"/>
                <w:sz w:val="20"/>
                <w:szCs w:val="20"/>
              </w:rPr>
              <w:t xml:space="preserve">• </w:t>
            </w:r>
            <w:r>
              <w:rPr>
                <w:rFonts w:ascii="Calibri" w:cs="Calibri" w:eastAsia="Calibri" w:hAnsi="Calibri"/>
                <w:color w:val="1E1E2E"/>
                <w:sz w:val="20"/>
                <w:szCs w:val="20"/>
              </w:rPr>
              <w:t xml:space="preserve">Training and certification licensing to third parties</w:t>
            </w:r>
          </w:p>
          <w:p>
            <w:pPr>
              <w:spacing w:before="40" w:after="40"/>
            </w:pPr>
            <w:r>
              <w:rPr>
                <w:rFonts w:ascii="Calibri" w:cs="Calibri" w:eastAsia="Calibri" w:hAnsi="Calibri"/>
                <w:b/>
                <w:bCs/>
                <w:color w:val="B8972A"/>
                <w:sz w:val="20"/>
                <w:szCs w:val="20"/>
              </w:rPr>
              <w:t xml:space="preserve">• </w:t>
            </w:r>
            <w:r>
              <w:rPr>
                <w:rFonts w:ascii="Calibri" w:cs="Calibri" w:eastAsia="Calibri" w:hAnsi="Calibri"/>
                <w:color w:val="1E1E2E"/>
                <w:sz w:val="20"/>
                <w:szCs w:val="20"/>
              </w:rPr>
              <w:t xml:space="preserve">Behavioral data analytics (aggregated, anonymized)</w:t>
            </w:r>
          </w:p>
        </w:tc>
      </w:tr>
    </w:tbl>
    <w:p>
      <w:pPr>
        <w:spacing w:before="160" w:after="0"/>
      </w:pPr>
    </w:p>
    <w:p>
      <w:pPr>
        <w:spacing w:before="280" w:after="80"/>
      </w:pPr>
      <w:r>
        <w:rPr>
          <w:rFonts w:ascii="Georgia" w:cs="Georgia" w:eastAsia="Georgia" w:hAnsi="Georgia"/>
          <w:b/>
          <w:bCs/>
          <w:color w:val="0C2340"/>
          <w:sz w:val="24"/>
          <w:szCs w:val="24"/>
        </w:rPr>
        <w:t xml:space="preserve">The Five Operational Pillars</w:t>
      </w:r>
    </w:p>
    <w:p>
      <w:pPr>
        <w:spacing w:before="80" w:after="80"/>
        <w:jc w:val="both"/>
      </w:pPr>
      <w:r>
        <w:rPr>
          <w:rFonts w:ascii="Calibri" w:cs="Calibri" w:eastAsia="Calibri" w:hAnsi="Calibri"/>
          <w:color w:val="1E1E2E"/>
          <w:sz w:val="22"/>
          <w:szCs w:val="22"/>
        </w:rPr>
        <w:t xml:space="preserve">S.E.T.H.S is built on five operational principles that govern every aspect of program design. These are functional specifications that determine how the system is designed, staffed, measured, and reported — not values to be cited at events.</w:t>
      </w:r>
    </w:p>
    <w:p>
      <w:pPr>
        <w:spacing w:before="200" w:after="60"/>
      </w:pPr>
      <w:r>
        <w:rPr>
          <w:rFonts w:ascii="Calibri" w:cs="Calibri" w:eastAsia="Calibri" w:hAnsi="Calibri"/>
          <w:b/>
          <w:bCs/>
          <w:color w:val="1A5276"/>
          <w:sz w:val="22"/>
          <w:szCs w:val="22"/>
        </w:rPr>
        <w:t xml:space="preserve">1. Honesty</w:t>
      </w:r>
    </w:p>
    <w:p>
      <w:pPr>
        <w:spacing w:before="80" w:after="80"/>
        <w:jc w:val="both"/>
      </w:pPr>
      <w:r>
        <w:rPr>
          <w:rFonts w:ascii="Calibri" w:cs="Calibri" w:eastAsia="Calibri" w:hAnsi="Calibri"/>
          <w:color w:val="1E1E2E"/>
          <w:sz w:val="22"/>
          <w:szCs w:val="22"/>
        </w:rPr>
        <w:t xml:space="preserve">Radical, structured honesty applied symmetrically. Participants are honest about relapse risk and behavioral history. The system is transparent about consequences. Employers are clear about requirements and limitations. Performance data is auditable. Honesty is the mechanism by which behavioral data becomes trustworthy — and employer confidence is what the system is ultimately selling.</w:t>
      </w:r>
    </w:p>
    <w:p>
      <w:pPr>
        <w:spacing w:before="200" w:after="60"/>
      </w:pPr>
      <w:r>
        <w:rPr>
          <w:rFonts w:ascii="Calibri" w:cs="Calibri" w:eastAsia="Calibri" w:hAnsi="Calibri"/>
          <w:b/>
          <w:bCs/>
          <w:color w:val="1A5276"/>
          <w:sz w:val="22"/>
          <w:szCs w:val="22"/>
        </w:rPr>
        <w:t xml:space="preserve">2. Tolerance</w:t>
      </w:r>
    </w:p>
    <w:p>
      <w:pPr>
        <w:spacing w:before="80" w:after="80"/>
        <w:jc w:val="both"/>
      </w:pPr>
      <w:r>
        <w:rPr>
          <w:rFonts w:ascii="Calibri" w:cs="Calibri" w:eastAsia="Calibri" w:hAnsi="Calibri"/>
          <w:color w:val="1E1E2E"/>
          <w:sz w:val="22"/>
          <w:szCs w:val="22"/>
        </w:rPr>
        <w:t xml:space="preserve">Structured tolerance of the recovery process — not of destructive behavior. A relapse is a documented breach of program structure requiring a proportionate, defined response. It is not permanent disqualification. Systems that treat any failure as permanent disqualification create incentives for concealment, which undermines the honesty on which everything else depends.</w:t>
      </w:r>
    </w:p>
    <w:p>
      <w:pPr>
        <w:spacing w:before="200" w:after="60"/>
      </w:pPr>
      <w:r>
        <w:rPr>
          <w:rFonts w:ascii="Calibri" w:cs="Calibri" w:eastAsia="Calibri" w:hAnsi="Calibri"/>
          <w:b/>
          <w:bCs/>
          <w:color w:val="1A5276"/>
          <w:sz w:val="22"/>
          <w:szCs w:val="22"/>
        </w:rPr>
        <w:t xml:space="preserve">3. Belief Systems</w:t>
      </w:r>
    </w:p>
    <w:p>
      <w:pPr>
        <w:spacing w:before="80" w:after="80"/>
        <w:jc w:val="both"/>
      </w:pPr>
      <w:r>
        <w:rPr>
          <w:rFonts w:ascii="Calibri" w:cs="Calibri" w:eastAsia="Calibri" w:hAnsi="Calibri"/>
          <w:color w:val="1E1E2E"/>
          <w:sz w:val="22"/>
          <w:szCs w:val="22"/>
        </w:rPr>
        <w:t xml:space="preserve">S.E.T.H.S cannot impose belief and does not attempt to. Faith and spiritual anchors are respected as dimensions of human dignity without being imposed as program conditions. This makes the system scalable across diverse cultural contexts without compromising integrity or creating religious liability.</w:t>
      </w:r>
    </w:p>
    <w:p>
      <w:pPr>
        <w:spacing w:before="200" w:after="60"/>
      </w:pPr>
      <w:r>
        <w:rPr>
          <w:rFonts w:ascii="Calibri" w:cs="Calibri" w:eastAsia="Calibri" w:hAnsi="Calibri"/>
          <w:b/>
          <w:bCs/>
          <w:color w:val="1A5276"/>
          <w:sz w:val="22"/>
          <w:szCs w:val="22"/>
        </w:rPr>
        <w:t xml:space="preserve">4. Equality</w:t>
      </w:r>
    </w:p>
    <w:p>
      <w:pPr>
        <w:spacing w:before="80" w:after="80"/>
        <w:jc w:val="both"/>
      </w:pPr>
      <w:r>
        <w:rPr>
          <w:rFonts w:ascii="Calibri" w:cs="Calibri" w:eastAsia="Calibri" w:hAnsi="Calibri"/>
          <w:color w:val="1E1E2E"/>
          <w:sz w:val="22"/>
          <w:szCs w:val="22"/>
        </w:rPr>
        <w:t xml:space="preserve">Equal access to structured opportunity. Equal accountability standards. Equal measurement criteria. Every participant faces the same performance requirements. No demographic characteristic provides exemption from accountability or advantage in advancement. Consistency of standards is the commercial guarantee that makes the S.E.T.H.S certification meaningful. Employers need to know it means the same thing regardless of who holds it.</w:t>
      </w:r>
    </w:p>
    <w:p>
      <w:pPr>
        <w:spacing w:before="200" w:after="60"/>
      </w:pPr>
      <w:r>
        <w:rPr>
          <w:rFonts w:ascii="Calibri" w:cs="Calibri" w:eastAsia="Calibri" w:hAnsi="Calibri"/>
          <w:b/>
          <w:bCs/>
          <w:color w:val="1A5276"/>
          <w:sz w:val="22"/>
          <w:szCs w:val="22"/>
        </w:rPr>
        <w:t xml:space="preserve">5. Pride</w:t>
      </w:r>
    </w:p>
    <w:p>
      <w:pPr>
        <w:spacing w:before="80" w:after="80"/>
        <w:jc w:val="both"/>
      </w:pPr>
      <w:r>
        <w:rPr>
          <w:rFonts w:ascii="Calibri" w:cs="Calibri" w:eastAsia="Calibri" w:hAnsi="Calibri"/>
          <w:color w:val="1E1E2E"/>
          <w:sz w:val="22"/>
          <w:szCs w:val="22"/>
        </w:rPr>
        <w:t xml:space="preserve">The restoration of pride is the most durable behavioral intervention available. Not ego — but pride in showing up on time, completing tasks, being trusted, earning honestly. People protect what gives them dignity. When S.E.T.H.S restores genuine pride, relapse risk decreases because participants have rebuilt something worth protecting. This is the mechanism through which the system creates lasting behavioral change rather than temporary compliance.</w:t>
      </w:r>
    </w:p>
    <w:p>
      <w:pPr>
        <w:spacing w:before="160" w:after="0"/>
      </w:pPr>
    </w:p>
    <w:p>
      <w:pPr>
        <w:spacing w:before="280" w:after="80"/>
      </w:pPr>
      <w:r>
        <w:rPr>
          <w:rFonts w:ascii="Georgia" w:cs="Georgia" w:eastAsia="Georgia" w:hAnsi="Georgia"/>
          <w:b/>
          <w:bCs/>
          <w:color w:val="0C2340"/>
          <w:sz w:val="24"/>
          <w:szCs w:val="24"/>
        </w:rPr>
        <w:t xml:space="preserve">The Five-Phase Program Architecture</w:t>
      </w:r>
    </w:p>
    <w:p>
      <w:pPr>
        <w:spacing w:before="200" w:after="60"/>
      </w:pPr>
      <w:r>
        <w:rPr>
          <w:rFonts w:ascii="Calibri" w:cs="Calibri" w:eastAsia="Calibri" w:hAnsi="Calibri"/>
          <w:b/>
          <w:bCs/>
          <w:color w:val="1A5276"/>
          <w:sz w:val="22"/>
          <w:szCs w:val="22"/>
        </w:rPr>
        <w:t xml:space="preserve">Phase 0 — Eligibility Gate</w:t>
      </w:r>
    </w:p>
    <w:p>
      <w:pPr>
        <w:spacing w:before="80" w:after="80"/>
        <w:jc w:val="both"/>
      </w:pPr>
      <w:r>
        <w:rPr>
          <w:rFonts w:ascii="Calibri" w:cs="Calibri" w:eastAsia="Calibri" w:hAnsi="Calibri"/>
          <w:color w:val="1E1E2E"/>
          <w:sz w:val="22"/>
          <w:szCs w:val="22"/>
        </w:rPr>
        <w:t xml:space="preserve">Voluntary enrollment confirmed; proof of rehabilitation pathway or clean period (minimum 30 days); legal clearance screening appropriate to intended employment sector; consent to structured accountability program. Participation is always voluntary — structure must be chosen, not imposed. Coerced participation produces compliance theater. Chosen structure produces behavioral change.</w:t>
      </w:r>
    </w:p>
    <w:p>
      <w:pPr>
        <w:spacing w:before="200" w:after="60"/>
      </w:pPr>
      <w:r>
        <w:rPr>
          <w:rFonts w:ascii="Calibri" w:cs="Calibri" w:eastAsia="Calibri" w:hAnsi="Calibri"/>
          <w:b/>
          <w:bCs/>
          <w:color w:val="1A5276"/>
          <w:sz w:val="22"/>
          <w:szCs w:val="22"/>
        </w:rPr>
        <w:t xml:space="preserve">Phase 1 — Foundational Accountability Assessment</w:t>
      </w:r>
    </w:p>
    <w:p>
      <w:pPr>
        <w:spacing w:before="80" w:after="80"/>
        <w:jc w:val="both"/>
      </w:pPr>
      <w:r>
        <w:rPr>
          <w:rFonts w:ascii="Calibri" w:cs="Calibri" w:eastAsia="Calibri" w:hAnsi="Calibri"/>
          <w:color w:val="1E1E2E"/>
          <w:sz w:val="22"/>
          <w:szCs w:val="22"/>
        </w:rPr>
        <w:t xml:space="preserve">Duration calibrated to risk profile: 90 days for new rehabilitation entrants; 30 days for medium-risk participants; 14 days for stable long-recovery candidates. Core tools: the Foundational Accountability Interview (structured life timeline mapping for pattern recognition, not emotional processing); the Identity Reconstruction Framework (who did you choose to become?); and the Personal Recovery Contract (truth agreement, relapse disclosure policy, growth objective declaration). This is behavioral readiness assessment, not therapy. Clinical referral is triggered where clinical need is identified.</w:t>
      </w:r>
    </w:p>
    <w:p>
      <w:pPr>
        <w:spacing w:before="200" w:after="60"/>
      </w:pPr>
      <w:r>
        <w:rPr>
          <w:rFonts w:ascii="Calibri" w:cs="Calibri" w:eastAsia="Calibri" w:hAnsi="Calibri"/>
          <w:b/>
          <w:bCs/>
          <w:color w:val="1A5276"/>
          <w:sz w:val="22"/>
          <w:szCs w:val="22"/>
        </w:rPr>
        <w:t xml:space="preserve">Phase 2 — Psychometric and Functional Assessment</w:t>
      </w:r>
    </w:p>
    <w:p>
      <w:pPr>
        <w:spacing w:before="80" w:after="80"/>
        <w:jc w:val="both"/>
      </w:pPr>
      <w:r>
        <w:rPr>
          <w:rFonts w:ascii="Calibri" w:cs="Calibri" w:eastAsia="Calibri" w:hAnsi="Calibri"/>
          <w:color w:val="1E1E2E"/>
          <w:sz w:val="22"/>
          <w:szCs w:val="22"/>
        </w:rPr>
        <w:t xml:space="preserve">After emotional stabilization: cognitive aptitude testing; personality profiling for placement optimization; work style assessment; stress tolerance measurement; technical ability screening. Output: a participant profile that matches individuals to employment contexts where they are most likely to succeed — not where they are easiest to place. Placement quality is a long-term investment in employer confidence.</w:t>
      </w:r>
    </w:p>
    <w:p>
      <w:pPr>
        <w:spacing w:before="200" w:after="60"/>
      </w:pPr>
      <w:r>
        <w:rPr>
          <w:rFonts w:ascii="Calibri" w:cs="Calibri" w:eastAsia="Calibri" w:hAnsi="Calibri"/>
          <w:b/>
          <w:bCs/>
          <w:color w:val="1A5276"/>
          <w:sz w:val="22"/>
          <w:szCs w:val="22"/>
        </w:rPr>
        <w:t xml:space="preserve">Phase 3 — Structured Development Unit (SDU)</w:t>
      </w:r>
    </w:p>
    <w:p>
      <w:pPr>
        <w:spacing w:before="80" w:after="80"/>
        <w:jc w:val="both"/>
      </w:pPr>
      <w:r>
        <w:rPr>
          <w:rFonts w:ascii="Calibri" w:cs="Calibri" w:eastAsia="Calibri" w:hAnsi="Calibri"/>
          <w:color w:val="1E1E2E"/>
          <w:sz w:val="22"/>
          <w:szCs w:val="22"/>
        </w:rPr>
        <w:t xml:space="preserve">The SDU is the core training environment — a hybrid facility combining structured daily routine, vocational skills training, and behavioral accountability. Staff ratios: 1:8 for high-risk; 1:12 medium-risk; 1:20 pre-placement. Daily structure runs from 05:30 to 21:00. Not punitive rigidity — consistent routine that rebuilds the executive function and self-regulation that sustained behavioral instability erodes. Full SDU daily program specifications are in Annexure C.</w:t>
      </w:r>
    </w:p>
    <w:p>
      <w:pPr>
        <w:spacing w:before="200" w:after="60"/>
      </w:pPr>
      <w:r>
        <w:rPr>
          <w:rFonts w:ascii="Calibri" w:cs="Calibri" w:eastAsia="Calibri" w:hAnsi="Calibri"/>
          <w:b/>
          <w:bCs/>
          <w:color w:val="1A5276"/>
          <w:sz w:val="22"/>
          <w:szCs w:val="22"/>
        </w:rPr>
        <w:t xml:space="preserve">Phase 4 — Employment Placement</w:t>
      </w:r>
    </w:p>
    <w:p>
      <w:pPr>
        <w:spacing w:before="80" w:after="80"/>
        <w:jc w:val="both"/>
      </w:pPr>
      <w:r>
        <w:rPr>
          <w:rFonts w:ascii="Calibri" w:cs="Calibri" w:eastAsia="Calibri" w:hAnsi="Calibri"/>
          <w:color w:val="1E1E2E"/>
          <w:sz w:val="22"/>
          <w:szCs w:val="22"/>
        </w:rPr>
        <w:t xml:space="preserve">The commercial output of the system. Employer partners complete an onboarding process that includes culture assessment, designated supervisor training, and commitment to S.E.T.H.S monitoring protocols during the initial integration period (90–180 days). Revenue is generated through placement fees, employer partnership contracts, and government rehabilitation program contracts. Replacement candidate commitments protect employer confidence in the certification's value.</w:t>
      </w:r>
    </w:p>
    <w:p>
      <w:pPr>
        <w:spacing w:before="200" w:after="60"/>
      </w:pPr>
      <w:r>
        <w:rPr>
          <w:rFonts w:ascii="Calibri" w:cs="Calibri" w:eastAsia="Calibri" w:hAnsi="Calibri"/>
          <w:b/>
          <w:bCs/>
          <w:color w:val="1A5276"/>
          <w:sz w:val="22"/>
          <w:szCs w:val="22"/>
        </w:rPr>
        <w:t xml:space="preserve">Phase 5 — Post-Placement Monitoring</w:t>
      </w:r>
    </w:p>
    <w:p>
      <w:pPr>
        <w:spacing w:before="80" w:after="80"/>
        <w:jc w:val="both"/>
      </w:pPr>
      <w:r>
        <w:rPr>
          <w:rFonts w:ascii="Calibri" w:cs="Calibri" w:eastAsia="Calibri" w:hAnsi="Calibri"/>
          <w:color w:val="1E1E2E"/>
          <w:sz w:val="22"/>
          <w:szCs w:val="22"/>
        </w:rPr>
        <w:t xml:space="preserve">The S.E.T.H.S commitment does not end at placement. Structured reviews at 90 days, 6 months, and 12 months. Access to alumni network and support resources. Post-placement stability data is among the most commercially valuable assets in the system — it enables continuous improvement of the placement algorithm, builds longitudinal evidence of efficacy, and is the foundation of the behavioral data analytics revenue stream.</w:t>
      </w:r>
    </w:p>
    <w:p>
      <w:pPr>
        <w:spacing w:before="200" w:after="0"/>
      </w:pPr>
    </w:p>
    <w:p>
      <w:pPr>
        <w:pBdr>
          <w:bottom w:val="single" w:color="C9A84C" w:sz="8" w:space="4"/>
        </w:pBdr>
        <w:spacing w:before="440" w:after="120"/>
      </w:pPr>
      <w:r>
        <w:rPr>
          <w:rFonts w:ascii="Georgia" w:cs="Georgia" w:eastAsia="Georgia" w:hAnsi="Georgia"/>
          <w:b/>
          <w:bCs/>
          <w:color w:val="B8972A"/>
          <w:sz w:val="28"/>
          <w:szCs w:val="28"/>
        </w:rPr>
        <w:t xml:space="preserve">3.2  </w:t>
      </w:r>
      <w:r>
        <w:rPr>
          <w:rFonts w:ascii="Georgia" w:cs="Georgia" w:eastAsia="Georgia" w:hAnsi="Georgia"/>
          <w:b/>
          <w:bCs/>
          <w:color w:val="0C2340"/>
          <w:sz w:val="28"/>
          <w:szCs w:val="28"/>
        </w:rPr>
        <w:t xml:space="preserve">M.A.D.I.B.A — Capital &amp; Sovereign Interface</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1800"/>
        <w:gridCol w:w="7200"/>
      </w:tblGrid>
      <w:tr>
        <w:tc>
          <w:tcPr>
            <w:tcW w:type="dxa" w:w="1800"/>
            <w:tcBorders>
              <w:top w:val="single" w:color="CCCCBB" w:sz="1" w:space="0"/>
              <w:left w:val="single" w:color="CCCCBB" w:sz="1" w:space="0"/>
              <w:bottom w:val="single" w:color="CCCCBB" w:sz="1" w:space="0"/>
              <w:right w:val="single" w:color="CCCCBB" w:sz="1" w:space="0"/>
            </w:tcBorders>
            <w:shd w:fill="0C2340" w:val="clear"/>
            <w:tcMar>
              <w:top w:type="dxa" w:w="160"/>
              <w:left w:type="dxa" w:w="160"/>
              <w:bottom w:type="dxa" w:w="160"/>
              <w:right w:type="dxa" w:w="160"/>
            </w:tcMar>
          </w:tcPr>
          <w:p>
            <w:pPr>
              <w:jc w:val="center"/>
            </w:pPr>
            <w:r>
              <w:rPr>
                <w:rFonts w:ascii="Georgia" w:cs="Georgia" w:eastAsia="Georgia" w:hAnsi="Georgia"/>
                <w:b/>
                <w:bCs/>
                <w:color w:val="B8972A"/>
                <w:sz w:val="40"/>
                <w:szCs w:val="40"/>
              </w:rPr>
              <w:t xml:space="preserve">M.A.D.I.B.A</w:t>
            </w:r>
          </w:p>
          <w:p>
            <w:pPr>
              <w:spacing w:before="80" w:after="0"/>
              <w:jc w:val="center"/>
            </w:pPr>
            <w:r>
              <w:rPr>
                <w:rFonts w:ascii="Calibri" w:cs="Calibri" w:eastAsia="Calibri" w:hAnsi="Calibri"/>
                <w:i/>
                <w:iCs/>
                <w:color w:val="FFFFFF"/>
                <w:sz w:val="14"/>
                <w:szCs w:val="14"/>
              </w:rPr>
              <w:t xml:space="preserve">Capital Deployment &amp; Sovereign Alignment</w:t>
            </w:r>
          </w:p>
        </w:tc>
        <w:tc>
          <w:tcPr>
            <w:tcW w:type="dxa" w:w="7200"/>
            <w:tcBorders>
              <w:top w:val="single" w:color="CCCCBB" w:sz="1" w:space="0"/>
              <w:left w:val="single" w:color="CCCCBB" w:sz="1" w:space="0"/>
              <w:bottom w:val="single" w:color="CCCCBB" w:sz="1" w:space="0"/>
              <w:right w:val="single" w:color="CCCCBB" w:sz="1" w:space="0"/>
            </w:tcBorders>
            <w:shd w:fill="F8F5EC" w:val="clear"/>
            <w:tcMar>
              <w:top w:type="dxa" w:w="160"/>
              <w:left w:type="dxa" w:w="240"/>
              <w:bottom w:type="dxa" w:w="160"/>
              <w:right w:type="dxa" w:w="240"/>
            </w:tcMar>
          </w:tcPr>
          <w:p>
            <w:pPr>
              <w:spacing w:before="0" w:after="60"/>
            </w:pPr>
            <w:r>
              <w:rPr>
                <w:rFonts w:ascii="Georgia" w:cs="Georgia" w:eastAsia="Georgia" w:hAnsi="Georgia"/>
                <w:b/>
                <w:bCs/>
                <w:color w:val="0C2340"/>
                <w:sz w:val="26"/>
                <w:szCs w:val="26"/>
              </w:rPr>
              <w:t xml:space="preserve">My African Dream Is Being Achieved</w:t>
            </w:r>
          </w:p>
          <w:p>
            <w:pPr>
              <w:spacing w:before="0" w:after="100"/>
            </w:pPr>
            <w:r>
              <w:rPr>
                <w:rFonts w:ascii="Calibri" w:cs="Calibri" w:eastAsia="Calibri" w:hAnsi="Calibri"/>
                <w:i/>
                <w:iCs/>
                <w:color w:val="5A5A72"/>
                <w:sz w:val="20"/>
                <w:szCs w:val="20"/>
              </w:rPr>
              <w:t xml:space="preserve">Strategic capital deployment, African talent acceleration, and sovereign interface. Connects African institutions with the capital architecture and governance tools required for structured development. Manages all public-private partnership structures through which G.O.D.S delivers services to governments.</w:t>
            </w:r>
          </w:p>
          <w:p>
            <w:pPr>
              <w:spacing w:before="0" w:after="60"/>
            </w:pPr>
            <w:r>
              <w:rPr>
                <w:rFonts w:ascii="Calibri" w:cs="Calibri" w:eastAsia="Calibri" w:hAnsi="Calibri"/>
                <w:b/>
                <w:bCs/>
                <w:color w:val="0C2340"/>
                <w:sz w:val="20"/>
                <w:szCs w:val="20"/>
              </w:rPr>
              <w:t xml:space="preserve">Revenue streams:</w:t>
            </w:r>
          </w:p>
          <w:p>
            <w:pPr>
              <w:spacing w:before="40" w:after="40"/>
            </w:pPr>
            <w:r>
              <w:rPr>
                <w:rFonts w:ascii="Calibri" w:cs="Calibri" w:eastAsia="Calibri" w:hAnsi="Calibri"/>
                <w:b/>
                <w:bCs/>
                <w:color w:val="B8972A"/>
                <w:sz w:val="20"/>
                <w:szCs w:val="20"/>
              </w:rPr>
              <w:t xml:space="preserve">• </w:t>
            </w:r>
            <w:r>
              <w:rPr>
                <w:rFonts w:ascii="Calibri" w:cs="Calibri" w:eastAsia="Calibri" w:hAnsi="Calibri"/>
                <w:color w:val="1E1E2E"/>
                <w:sz w:val="20"/>
                <w:szCs w:val="20"/>
              </w:rPr>
              <w:t xml:space="preserve">GP management fees on M.A.D.I.B.A capital fund (2% annual)</w:t>
            </w:r>
          </w:p>
          <w:p>
            <w:pPr>
              <w:spacing w:before="40" w:after="40"/>
            </w:pPr>
            <w:r>
              <w:rPr>
                <w:rFonts w:ascii="Calibri" w:cs="Calibri" w:eastAsia="Calibri" w:hAnsi="Calibri"/>
                <w:b/>
                <w:bCs/>
                <w:color w:val="B8972A"/>
                <w:sz w:val="20"/>
                <w:szCs w:val="20"/>
              </w:rPr>
              <w:t xml:space="preserve">• </w:t>
            </w:r>
            <w:r>
              <w:rPr>
                <w:rFonts w:ascii="Calibri" w:cs="Calibri" w:eastAsia="Calibri" w:hAnsi="Calibri"/>
                <w:color w:val="1E1E2E"/>
                <w:sz w:val="20"/>
                <w:szCs w:val="20"/>
              </w:rPr>
              <w:t xml:space="preserve">Carried interest on fund returns (20% above 8% hurdle)</w:t>
            </w:r>
          </w:p>
          <w:p>
            <w:pPr>
              <w:spacing w:before="40" w:after="40"/>
            </w:pPr>
            <w:r>
              <w:rPr>
                <w:rFonts w:ascii="Calibri" w:cs="Calibri" w:eastAsia="Calibri" w:hAnsi="Calibri"/>
                <w:b/>
                <w:bCs/>
                <w:color w:val="B8972A"/>
                <w:sz w:val="20"/>
                <w:szCs w:val="20"/>
              </w:rPr>
              <w:t xml:space="preserve">• </w:t>
            </w:r>
            <w:r>
              <w:rPr>
                <w:rFonts w:ascii="Calibri" w:cs="Calibri" w:eastAsia="Calibri" w:hAnsi="Calibri"/>
                <w:color w:val="1E1E2E"/>
                <w:sz w:val="20"/>
                <w:szCs w:val="20"/>
              </w:rPr>
              <w:t xml:space="preserve">SPV advisory and implementation fees</w:t>
            </w:r>
          </w:p>
          <w:p>
            <w:pPr>
              <w:spacing w:before="40" w:after="40"/>
            </w:pPr>
            <w:r>
              <w:rPr>
                <w:rFonts w:ascii="Calibri" w:cs="Calibri" w:eastAsia="Calibri" w:hAnsi="Calibri"/>
                <w:b/>
                <w:bCs/>
                <w:color w:val="B8972A"/>
                <w:sz w:val="20"/>
                <w:szCs w:val="20"/>
              </w:rPr>
              <w:t xml:space="preserve">• </w:t>
            </w:r>
            <w:r>
              <w:rPr>
                <w:rFonts w:ascii="Calibri" w:cs="Calibri" w:eastAsia="Calibri" w:hAnsi="Calibri"/>
                <w:color w:val="1E1E2E"/>
                <w:sz w:val="20"/>
                <w:szCs w:val="20"/>
              </w:rPr>
              <w:t xml:space="preserve">Talent acceleration program licensing</w:t>
            </w:r>
          </w:p>
          <w:p>
            <w:pPr>
              <w:spacing w:before="40" w:after="40"/>
            </w:pPr>
            <w:r>
              <w:rPr>
                <w:rFonts w:ascii="Calibri" w:cs="Calibri" w:eastAsia="Calibri" w:hAnsi="Calibri"/>
                <w:b/>
                <w:bCs/>
                <w:color w:val="B8972A"/>
                <w:sz w:val="20"/>
                <w:szCs w:val="20"/>
              </w:rPr>
              <w:t xml:space="preserve">• </w:t>
            </w:r>
            <w:r>
              <w:rPr>
                <w:rFonts w:ascii="Calibri" w:cs="Calibri" w:eastAsia="Calibri" w:hAnsi="Calibri"/>
                <w:color w:val="1E1E2E"/>
                <w:sz w:val="20"/>
                <w:szCs w:val="20"/>
              </w:rPr>
              <w:t xml:space="preserve">Cross-border alignment advisory mandates</w:t>
            </w:r>
          </w:p>
        </w:tc>
      </w:tr>
    </w:tbl>
    <w:p>
      <w:pPr>
        <w:spacing w:before="160" w:after="0"/>
      </w:pPr>
    </w:p>
    <w:p>
      <w:pPr>
        <w:spacing w:before="280" w:after="80"/>
      </w:pPr>
      <w:r>
        <w:rPr>
          <w:rFonts w:ascii="Georgia" w:cs="Georgia" w:eastAsia="Georgia" w:hAnsi="Georgia"/>
          <w:b/>
          <w:bCs/>
          <w:color w:val="0C2340"/>
          <w:sz w:val="24"/>
          <w:szCs w:val="24"/>
        </w:rPr>
        <w:t xml:space="preserve">Three Operating Functions</w:t>
      </w:r>
    </w:p>
    <w:p>
      <w:pPr>
        <w:spacing w:before="200" w:after="60"/>
      </w:pPr>
      <w:r>
        <w:rPr>
          <w:rFonts w:ascii="Calibri" w:cs="Calibri" w:eastAsia="Calibri" w:hAnsi="Calibri"/>
          <w:b/>
          <w:bCs/>
          <w:color w:val="1A5276"/>
          <w:sz w:val="22"/>
          <w:szCs w:val="22"/>
        </w:rPr>
        <w:t xml:space="preserve">1. Capital Deployment</w:t>
      </w:r>
    </w:p>
    <w:p>
      <w:pPr>
        <w:spacing w:before="80" w:after="80"/>
        <w:jc w:val="both"/>
      </w:pPr>
      <w:r>
        <w:rPr>
          <w:rFonts w:ascii="Calibri" w:cs="Calibri" w:eastAsia="Calibri" w:hAnsi="Calibri"/>
          <w:color w:val="1E1E2E"/>
          <w:sz w:val="22"/>
          <w:szCs w:val="22"/>
        </w:rPr>
        <w:t xml:space="preserve">M.A.D.I.B.A manages the G.O.D.S capital fund — a GP-managed impact and infrastructure vehicle focused on African infrastructure, logistics, energy transition, digital public infrastructure, and agro-industrial development. The fund structure: 2% annual management fee on committed capital; 20% carried interest above an 8% preferred return. G.O.D.S commercial divisions hold right of first offer on aligned investment opportunities.</w:t>
      </w:r>
    </w:p>
    <w:p>
      <w:pPr>
        <w:spacing w:before="200" w:after="60"/>
      </w:pPr>
      <w:r>
        <w:rPr>
          <w:rFonts w:ascii="Calibri" w:cs="Calibri" w:eastAsia="Calibri" w:hAnsi="Calibri"/>
          <w:b/>
          <w:bCs/>
          <w:color w:val="1A5276"/>
          <w:sz w:val="22"/>
          <w:szCs w:val="22"/>
        </w:rPr>
        <w:t xml:space="preserve">2. Talent Acceleration</w:t>
      </w:r>
    </w:p>
    <w:p>
      <w:pPr>
        <w:spacing w:before="80" w:after="80"/>
        <w:jc w:val="both"/>
      </w:pPr>
      <w:r>
        <w:rPr>
          <w:rFonts w:ascii="Calibri" w:cs="Calibri" w:eastAsia="Calibri" w:hAnsi="Calibri"/>
          <w:color w:val="1E1E2E"/>
          <w:sz w:val="22"/>
          <w:szCs w:val="22"/>
        </w:rPr>
        <w:t xml:space="preserve">Systematic identification and structured development of exceptional African individuals whose capacity exceeds the opportunity available to them. The program provides structured mentorship from verified high-performance practitioners, access to the G.O.D.S institutional network, project-based development assignments, and pathways into G.O.D.S divisions as they scale. This is a strategic talent pipeline — building the human capital G.O.D.S needs to execute its long-horizon mission.</w:t>
      </w:r>
    </w:p>
    <w:p>
      <w:pPr>
        <w:spacing w:before="200" w:after="60"/>
      </w:pPr>
      <w:r>
        <w:rPr>
          <w:rFonts w:ascii="Calibri" w:cs="Calibri" w:eastAsia="Calibri" w:hAnsi="Calibri"/>
          <w:b/>
          <w:bCs/>
          <w:color w:val="1A5276"/>
          <w:sz w:val="22"/>
          <w:szCs w:val="22"/>
        </w:rPr>
        <w:t xml:space="preserve">3. Sovereign Interface</w:t>
      </w:r>
    </w:p>
    <w:p>
      <w:pPr>
        <w:spacing w:before="80" w:after="80"/>
        <w:jc w:val="both"/>
      </w:pPr>
      <w:r>
        <w:rPr>
          <w:rFonts w:ascii="Calibri" w:cs="Calibri" w:eastAsia="Calibri" w:hAnsi="Calibri"/>
          <w:color w:val="1E1E2E"/>
          <w:sz w:val="22"/>
          <w:szCs w:val="22"/>
        </w:rPr>
        <w:t xml:space="preserve">M.A.D.I.B.A functions as neutral intermediary for government partnerships — bridging relationships that require institutional trust as their foundation: African governments interfacing with international capital; corporations navigating unfamiliar regulatory environments; nations working through historical tensions toward productive economic cooperation. All government partnership SPV structures are managed through M.A.D.I.B.A. Non-negotiable SPV provisions: minimum 51% government equity control; national financial compliance equivalent; independent auditing; ring-fenced liabilities; defined exit provisions for both parties.</w:t>
      </w:r>
    </w:p>
    <w:p>
      <w:pPr>
        <w:spacing w:before="200" w:after="0"/>
      </w:pPr>
    </w:p>
    <w:p>
      <w:pPr>
        <w:pBdr>
          <w:bottom w:val="single" w:color="C9A84C" w:sz="8" w:space="4"/>
        </w:pBdr>
        <w:spacing w:before="440" w:after="120"/>
      </w:pPr>
      <w:r>
        <w:rPr>
          <w:rFonts w:ascii="Georgia" w:cs="Georgia" w:eastAsia="Georgia" w:hAnsi="Georgia"/>
          <w:b/>
          <w:bCs/>
          <w:color w:val="B8972A"/>
          <w:sz w:val="28"/>
          <w:szCs w:val="28"/>
        </w:rPr>
        <w:t xml:space="preserve">3.3  </w:t>
      </w:r>
      <w:r>
        <w:rPr>
          <w:rFonts w:ascii="Georgia" w:cs="Georgia" w:eastAsia="Georgia" w:hAnsi="Georgia"/>
          <w:b/>
          <w:bCs/>
          <w:color w:val="0C2340"/>
          <w:sz w:val="28"/>
          <w:szCs w:val="28"/>
        </w:rPr>
        <w:t xml:space="preserve">UDOC — Digital Governance Infrastructure</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1800"/>
        <w:gridCol w:w="7200"/>
      </w:tblGrid>
      <w:tr>
        <w:tc>
          <w:tcPr>
            <w:tcW w:type="dxa" w:w="1800"/>
            <w:tcBorders>
              <w:top w:val="single" w:color="CCCCBB" w:sz="1" w:space="0"/>
              <w:left w:val="single" w:color="CCCCBB" w:sz="1" w:space="0"/>
              <w:bottom w:val="single" w:color="CCCCBB" w:sz="1" w:space="0"/>
              <w:right w:val="single" w:color="CCCCBB" w:sz="1" w:space="0"/>
            </w:tcBorders>
            <w:shd w:fill="0C2340" w:val="clear"/>
            <w:tcMar>
              <w:top w:type="dxa" w:w="160"/>
              <w:left w:type="dxa" w:w="160"/>
              <w:bottom w:type="dxa" w:w="160"/>
              <w:right w:type="dxa" w:w="160"/>
            </w:tcMar>
          </w:tcPr>
          <w:p>
            <w:pPr>
              <w:jc w:val="center"/>
            </w:pPr>
            <w:r>
              <w:rPr>
                <w:rFonts w:ascii="Georgia" w:cs="Georgia" w:eastAsia="Georgia" w:hAnsi="Georgia"/>
                <w:b/>
                <w:bCs/>
                <w:color w:val="B8972A"/>
                <w:sz w:val="40"/>
                <w:szCs w:val="40"/>
              </w:rPr>
              <w:t xml:space="preserve">UDOC</w:t>
            </w:r>
          </w:p>
          <w:p>
            <w:pPr>
              <w:spacing w:before="80" w:after="0"/>
              <w:jc w:val="center"/>
            </w:pPr>
            <w:r>
              <w:rPr>
                <w:rFonts w:ascii="Calibri" w:cs="Calibri" w:eastAsia="Calibri" w:hAnsi="Calibri"/>
                <w:i/>
                <w:iCs/>
                <w:color w:val="FFFFFF"/>
                <w:sz w:val="14"/>
                <w:szCs w:val="14"/>
              </w:rPr>
              <w:t xml:space="preserve">Governance Technology &amp; Sovereign Backbone</w:t>
            </w:r>
          </w:p>
        </w:tc>
        <w:tc>
          <w:tcPr>
            <w:tcW w:type="dxa" w:w="7200"/>
            <w:tcBorders>
              <w:top w:val="single" w:color="CCCCBB" w:sz="1" w:space="0"/>
              <w:left w:val="single" w:color="CCCCBB" w:sz="1" w:space="0"/>
              <w:bottom w:val="single" w:color="CCCCBB" w:sz="1" w:space="0"/>
              <w:right w:val="single" w:color="CCCCBB" w:sz="1" w:space="0"/>
            </w:tcBorders>
            <w:shd w:fill="F8F5EC" w:val="clear"/>
            <w:tcMar>
              <w:top w:type="dxa" w:w="160"/>
              <w:left w:type="dxa" w:w="240"/>
              <w:bottom w:type="dxa" w:w="160"/>
              <w:right w:type="dxa" w:w="240"/>
            </w:tcMar>
          </w:tcPr>
          <w:p>
            <w:pPr>
              <w:spacing w:before="0" w:after="60"/>
            </w:pPr>
            <w:r>
              <w:rPr>
                <w:rFonts w:ascii="Georgia" w:cs="Georgia" w:eastAsia="Georgia" w:hAnsi="Georgia"/>
                <w:b/>
                <w:bCs/>
                <w:color w:val="0C2340"/>
                <w:sz w:val="26"/>
                <w:szCs w:val="26"/>
              </w:rPr>
              <w:t xml:space="preserve">Unified Digital Oversight &amp; Coordination</w:t>
            </w:r>
          </w:p>
          <w:p>
            <w:pPr>
              <w:spacing w:before="0" w:after="100"/>
            </w:pPr>
            <w:r>
              <w:rPr>
                <w:rFonts w:ascii="Calibri" w:cs="Calibri" w:eastAsia="Calibri" w:hAnsi="Calibri"/>
                <w:i/>
                <w:iCs/>
                <w:color w:val="5A5A72"/>
                <w:sz w:val="20"/>
                <w:szCs w:val="20"/>
              </w:rPr>
              <w:t xml:space="preserve">Enterprise AI governance SaaS and national digital sovereignty infrastructure. Externally: compliance, audit, and risk management tools for regulated industries navigating AI governance requirements. Internally: transparent, auditable, quantum-ready administrative systems for sovereign governments. The highest-margin, most scalable division in the G.O.D.S architecture.</w:t>
            </w:r>
          </w:p>
          <w:p>
            <w:pPr>
              <w:spacing w:before="0" w:after="60"/>
            </w:pPr>
            <w:r>
              <w:rPr>
                <w:rFonts w:ascii="Calibri" w:cs="Calibri" w:eastAsia="Calibri" w:hAnsi="Calibri"/>
                <w:b/>
                <w:bCs/>
                <w:color w:val="0C2340"/>
                <w:sz w:val="20"/>
                <w:szCs w:val="20"/>
              </w:rPr>
              <w:t xml:space="preserve">Revenue streams:</w:t>
            </w:r>
          </w:p>
          <w:p>
            <w:pPr>
              <w:spacing w:before="40" w:after="40"/>
            </w:pPr>
            <w:r>
              <w:rPr>
                <w:rFonts w:ascii="Calibri" w:cs="Calibri" w:eastAsia="Calibri" w:hAnsi="Calibri"/>
                <w:b/>
                <w:bCs/>
                <w:color w:val="B8972A"/>
                <w:sz w:val="20"/>
                <w:szCs w:val="20"/>
              </w:rPr>
              <w:t xml:space="preserve">• </w:t>
            </w:r>
            <w:r>
              <w:rPr>
                <w:rFonts w:ascii="Calibri" w:cs="Calibri" w:eastAsia="Calibri" w:hAnsi="Calibri"/>
                <w:color w:val="1E1E2E"/>
                <w:sz w:val="20"/>
                <w:szCs w:val="20"/>
              </w:rPr>
              <w:t xml:space="preserve">Enterprise AI governance SaaS subscriptions — R3M–R7M ACV per client</w:t>
            </w:r>
          </w:p>
          <w:p>
            <w:pPr>
              <w:spacing w:before="40" w:after="40"/>
            </w:pPr>
            <w:r>
              <w:rPr>
                <w:rFonts w:ascii="Calibri" w:cs="Calibri" w:eastAsia="Calibri" w:hAnsi="Calibri"/>
                <w:b/>
                <w:bCs/>
                <w:color w:val="B8972A"/>
                <w:sz w:val="20"/>
                <w:szCs w:val="20"/>
              </w:rPr>
              <w:t xml:space="preserve">• </w:t>
            </w:r>
            <w:r>
              <w:rPr>
                <w:rFonts w:ascii="Calibri" w:cs="Calibri" w:eastAsia="Calibri" w:hAnsi="Calibri"/>
                <w:color w:val="1E1E2E"/>
                <w:sz w:val="20"/>
                <w:szCs w:val="20"/>
              </w:rPr>
              <w:t xml:space="preserve">National digital backbone deployment contracts</w:t>
            </w:r>
          </w:p>
          <w:p>
            <w:pPr>
              <w:spacing w:before="40" w:after="40"/>
            </w:pPr>
            <w:r>
              <w:rPr>
                <w:rFonts w:ascii="Calibri" w:cs="Calibri" w:eastAsia="Calibri" w:hAnsi="Calibri"/>
                <w:b/>
                <w:bCs/>
                <w:color w:val="B8972A"/>
                <w:sz w:val="20"/>
                <w:szCs w:val="20"/>
              </w:rPr>
              <w:t xml:space="preserve">• </w:t>
            </w:r>
            <w:r>
              <w:rPr>
                <w:rFonts w:ascii="Calibri" w:cs="Calibri" w:eastAsia="Calibri" w:hAnsi="Calibri"/>
                <w:color w:val="1E1E2E"/>
                <w:sz w:val="20"/>
                <w:szCs w:val="20"/>
              </w:rPr>
              <w:t xml:space="preserve">Government transparency and procurement system licensing</w:t>
            </w:r>
          </w:p>
          <w:p>
            <w:pPr>
              <w:spacing w:before="40" w:after="40"/>
            </w:pPr>
            <w:r>
              <w:rPr>
                <w:rFonts w:ascii="Calibri" w:cs="Calibri" w:eastAsia="Calibri" w:hAnsi="Calibri"/>
                <w:b/>
                <w:bCs/>
                <w:color w:val="B8972A"/>
                <w:sz w:val="20"/>
                <w:szCs w:val="20"/>
              </w:rPr>
              <w:t xml:space="preserve">• </w:t>
            </w:r>
            <w:r>
              <w:rPr>
                <w:rFonts w:ascii="Calibri" w:cs="Calibri" w:eastAsia="Calibri" w:hAnsi="Calibri"/>
                <w:color w:val="1E1E2E"/>
                <w:sz w:val="20"/>
                <w:szCs w:val="20"/>
              </w:rPr>
              <w:t xml:space="preserve">Compliance monitoring services</w:t>
            </w:r>
          </w:p>
          <w:p>
            <w:pPr>
              <w:spacing w:before="40" w:after="40"/>
            </w:pPr>
            <w:r>
              <w:rPr>
                <w:rFonts w:ascii="Calibri" w:cs="Calibri" w:eastAsia="Calibri" w:hAnsi="Calibri"/>
                <w:b/>
                <w:bCs/>
                <w:color w:val="B8972A"/>
                <w:sz w:val="20"/>
                <w:szCs w:val="20"/>
              </w:rPr>
              <w:t xml:space="preserve">• </w:t>
            </w:r>
            <w:r>
              <w:rPr>
                <w:rFonts w:ascii="Calibri" w:cs="Calibri" w:eastAsia="Calibri" w:hAnsi="Calibri"/>
                <w:color w:val="1E1E2E"/>
                <w:sz w:val="20"/>
                <w:szCs w:val="20"/>
              </w:rPr>
              <w:t xml:space="preserve">Sovereign data hosting — government and enterprise</w:t>
            </w:r>
          </w:p>
          <w:p>
            <w:pPr>
              <w:spacing w:before="40" w:after="40"/>
            </w:pPr>
            <w:r>
              <w:rPr>
                <w:rFonts w:ascii="Calibri" w:cs="Calibri" w:eastAsia="Calibri" w:hAnsi="Calibri"/>
                <w:b/>
                <w:bCs/>
                <w:color w:val="B8972A"/>
                <w:sz w:val="20"/>
                <w:szCs w:val="20"/>
              </w:rPr>
              <w:t xml:space="preserve">• </w:t>
            </w:r>
            <w:r>
              <w:rPr>
                <w:rFonts w:ascii="Calibri" w:cs="Calibri" w:eastAsia="Calibri" w:hAnsi="Calibri"/>
                <w:color w:val="1E1E2E"/>
                <w:sz w:val="20"/>
                <w:szCs w:val="20"/>
              </w:rPr>
              <w:t xml:space="preserve">Quantum-ready transition advisory and implementation</w:t>
            </w:r>
          </w:p>
        </w:tc>
      </w:tr>
    </w:tbl>
    <w:p>
      <w:pPr>
        <w:spacing w:before="160" w:after="0"/>
      </w:pPr>
    </w:p>
    <w:p>
      <w:pPr>
        <w:spacing w:before="280" w:after="80"/>
      </w:pPr>
      <w:r>
        <w:rPr>
          <w:rFonts w:ascii="Georgia" w:cs="Georgia" w:eastAsia="Georgia" w:hAnsi="Georgia"/>
          <w:b/>
          <w:bCs/>
          <w:color w:val="0C2340"/>
          <w:sz w:val="24"/>
          <w:szCs w:val="24"/>
        </w:rPr>
        <w:t xml:space="preserve">The Enterprise AI Governance Platform</w:t>
      </w:r>
    </w:p>
    <w:p>
      <w:pPr>
        <w:spacing w:before="80" w:after="80"/>
        <w:jc w:val="both"/>
      </w:pPr>
      <w:r>
        <w:rPr>
          <w:rFonts w:ascii="Calibri" w:cs="Calibri" w:eastAsia="Calibri" w:hAnsi="Calibri"/>
          <w:color w:val="1E1E2E"/>
          <w:sz w:val="22"/>
          <w:szCs w:val="22"/>
        </w:rPr>
        <w:t xml:space="preserve">AI deployment is accelerating across regulated sectors. The gap between regulatory intent and enterprise implementation capability is UDOC's core commercial opportunity. Five integrated platform components address this gap:</w:t>
      </w:r>
    </w:p>
    <w:p>
      <w:pPr>
        <w:pStyle w:val="ListParagraph"/>
        <w:numPr>
          <w:ilvl w:val="0"/>
          <w:numId w:val="2"/>
        </w:numPr>
        <w:spacing w:before="60" w:after="60"/>
      </w:pPr>
      <w:r>
        <w:rPr>
          <w:rFonts w:ascii="Calibri" w:cs="Calibri" w:eastAsia="Calibri" w:hAnsi="Calibri"/>
          <w:color w:val="1E1E2E"/>
          <w:sz w:val="22"/>
          <w:szCs w:val="22"/>
        </w:rPr>
        <w:t xml:space="preserve">AI System Registry — comprehensive documentation of all AI systems, training data provenance, and decision logic</w:t>
      </w:r>
    </w:p>
    <w:p>
      <w:pPr>
        <w:pStyle w:val="ListParagraph"/>
        <w:numPr>
          <w:ilvl w:val="0"/>
          <w:numId w:val="2"/>
        </w:numPr>
        <w:spacing w:before="60" w:after="60"/>
      </w:pPr>
      <w:r>
        <w:rPr>
          <w:rFonts w:ascii="Calibri" w:cs="Calibri" w:eastAsia="Calibri" w:hAnsi="Calibri"/>
          <w:color w:val="1E1E2E"/>
          <w:sz w:val="22"/>
          <w:szCs w:val="22"/>
        </w:rPr>
        <w:t xml:space="preserve">Risk Tier Classification Engine — aligned with EU AI Act, OECD guidelines, and emerging national frameworks</w:t>
      </w:r>
    </w:p>
    <w:p>
      <w:pPr>
        <w:pStyle w:val="ListParagraph"/>
        <w:numPr>
          <w:ilvl w:val="0"/>
          <w:numId w:val="2"/>
        </w:numPr>
        <w:spacing w:before="60" w:after="60"/>
      </w:pPr>
      <w:r>
        <w:rPr>
          <w:rFonts w:ascii="Calibri" w:cs="Calibri" w:eastAsia="Calibri" w:hAnsi="Calibri"/>
          <w:color w:val="1E1E2E"/>
          <w:sz w:val="22"/>
          <w:szCs w:val="22"/>
        </w:rPr>
        <w:t xml:space="preserve">Workforce Impact Modeling Dashboard — AI displacement assessment and reskilling pathway modeling</w:t>
      </w:r>
    </w:p>
    <w:p>
      <w:pPr>
        <w:pStyle w:val="ListParagraph"/>
        <w:numPr>
          <w:ilvl w:val="0"/>
          <w:numId w:val="2"/>
        </w:numPr>
        <w:spacing w:before="60" w:after="60"/>
      </w:pPr>
      <w:r>
        <w:rPr>
          <w:rFonts w:ascii="Calibri" w:cs="Calibri" w:eastAsia="Calibri" w:hAnsi="Calibri"/>
          <w:color w:val="1E1E2E"/>
          <w:sz w:val="22"/>
          <w:szCs w:val="22"/>
        </w:rPr>
        <w:t xml:space="preserve">Compliance Reporting Export Layer — automated regulatory audit report generation</w:t>
      </w:r>
    </w:p>
    <w:p>
      <w:pPr>
        <w:pStyle w:val="ListParagraph"/>
        <w:numPr>
          <w:ilvl w:val="0"/>
          <w:numId w:val="2"/>
        </w:numPr>
        <w:spacing w:before="60" w:after="60"/>
      </w:pPr>
      <w:r>
        <w:rPr>
          <w:rFonts w:ascii="Calibri" w:cs="Calibri" w:eastAsia="Calibri" w:hAnsi="Calibri"/>
          <w:color w:val="1E1E2E"/>
          <w:sz w:val="22"/>
          <w:szCs w:val="22"/>
        </w:rPr>
        <w:t xml:space="preserve">Audit Trail Service — cryptographically verifiable record of all AI system decisions and governance reviews</w:t>
      </w:r>
    </w:p>
    <w:p>
      <w:pPr>
        <w:spacing w:before="120" w:after="0"/>
      </w:pPr>
    </w:p>
    <w:p>
      <w:pPr>
        <w:spacing w:before="280" w:after="80"/>
      </w:pPr>
      <w:r>
        <w:rPr>
          <w:rFonts w:ascii="Georgia" w:cs="Georgia" w:eastAsia="Georgia" w:hAnsi="Georgia"/>
          <w:b/>
          <w:bCs/>
          <w:color w:val="0C2340"/>
          <w:sz w:val="24"/>
          <w:szCs w:val="24"/>
        </w:rPr>
        <w:t xml:space="preserve">Target Market Segments</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2600"/>
        <w:gridCol w:w="6400"/>
      </w:tblGrid>
      <w:tr>
        <w:tc>
          <w:tcPr>
            <w:tcW w:type="dxa" w:w="2600"/>
            <w:tcBorders>
              <w:top w:val="single" w:color="CCCCBB" w:sz="1" w:space="0"/>
              <w:left w:val="single" w:color="CCCCBB" w:sz="1" w:space="0"/>
              <w:bottom w:val="single" w:color="CCCCBB" w:sz="1" w:space="0"/>
              <w:right w:val="single" w:color="CCCCBB" w:sz="1" w:space="0"/>
            </w:tcBorders>
            <w:shd w:fill="EDE8D8" w:val="clear"/>
            <w:tcMar>
              <w:top w:type="dxa" w:w="80"/>
              <w:left w:type="dxa" w:w="160"/>
              <w:bottom w:type="dxa" w:w="80"/>
              <w:right w:type="dxa" w:w="160"/>
            </w:tcMar>
          </w:tcPr>
          <w:p>
            <w:r>
              <w:rPr>
                <w:rFonts w:ascii="Calibri" w:cs="Calibri" w:eastAsia="Calibri" w:hAnsi="Calibri"/>
                <w:b/>
                <w:bCs/>
                <w:color w:val="0C2340"/>
                <w:sz w:val="22"/>
                <w:szCs w:val="22"/>
              </w:rPr>
              <w:t xml:space="preserve">Financial Services</w:t>
            </w:r>
          </w:p>
        </w:tc>
        <w:tc>
          <w:tcPr>
            <w:tcW w:type="dxa" w:w="6400"/>
            <w:tcBorders>
              <w:top w:val="single" w:color="CCCCBB" w:sz="1" w:space="0"/>
              <w:left w:val="single" w:color="CCCCBB" w:sz="1" w:space="0"/>
              <w:bottom w:val="single" w:color="CCCCBB" w:sz="1" w:space="0"/>
              <w:right w:val="single" w:color="CCCCBB" w:sz="1" w:space="0"/>
            </w:tcBorders>
            <w:shd w:fill="FFFFFF" w:val="clear"/>
            <w:tcMar>
              <w:top w:type="dxa" w:w="80"/>
              <w:left w:type="dxa" w:w="160"/>
              <w:bottom w:type="dxa" w:w="80"/>
              <w:right w:type="dxa" w:w="160"/>
            </w:tcMar>
          </w:tcPr>
          <w:p>
            <w:r>
              <w:rPr>
                <w:rFonts w:ascii="Calibri" w:cs="Calibri" w:eastAsia="Calibri" w:hAnsi="Calibri"/>
                <w:color w:val="1E1E2E"/>
                <w:sz w:val="22"/>
                <w:szCs w:val="22"/>
              </w:rPr>
              <w:t xml:space="preserve">Highest-regulated sector; earliest AI compliance adopter; highest ACV contracts</w:t>
            </w:r>
          </w:p>
        </w:tc>
      </w:tr>
      <w:tr>
        <w:tc>
          <w:tcPr>
            <w:tcW w:type="dxa" w:w="2600"/>
            <w:tcBorders>
              <w:top w:val="single" w:color="CCCCBB" w:sz="1" w:space="0"/>
              <w:left w:val="single" w:color="CCCCBB" w:sz="1" w:space="0"/>
              <w:bottom w:val="single" w:color="CCCCBB" w:sz="1" w:space="0"/>
              <w:right w:val="single" w:color="CCCCBB" w:sz="1" w:space="0"/>
            </w:tcBorders>
            <w:shd w:fill="F5F2EA" w:val="clear"/>
            <w:tcMar>
              <w:top w:type="dxa" w:w="80"/>
              <w:left w:type="dxa" w:w="160"/>
              <w:bottom w:type="dxa" w:w="80"/>
              <w:right w:type="dxa" w:w="160"/>
            </w:tcMar>
          </w:tcPr>
          <w:p>
            <w:r>
              <w:rPr>
                <w:rFonts w:ascii="Calibri" w:cs="Calibri" w:eastAsia="Calibri" w:hAnsi="Calibri"/>
                <w:b/>
                <w:bCs/>
                <w:color w:val="0C2340"/>
                <w:sz w:val="22"/>
                <w:szCs w:val="22"/>
              </w:rPr>
              <w:t xml:space="preserve">Healthcare Networks</w:t>
            </w:r>
          </w:p>
        </w:tc>
        <w:tc>
          <w:tcPr>
            <w:tcW w:type="dxa" w:w="6400"/>
            <w:tcBorders>
              <w:top w:val="single" w:color="CCCCBB" w:sz="1" w:space="0"/>
              <w:left w:val="single" w:color="CCCCBB" w:sz="1" w:space="0"/>
              <w:bottom w:val="single" w:color="CCCCBB" w:sz="1" w:space="0"/>
              <w:right w:val="single" w:color="CCCCBB" w:sz="1" w:space="0"/>
            </w:tcBorders>
            <w:shd w:fill="FAFAF5" w:val="clear"/>
            <w:tcMar>
              <w:top w:type="dxa" w:w="80"/>
              <w:left w:type="dxa" w:w="160"/>
              <w:bottom w:type="dxa" w:w="80"/>
              <w:right w:type="dxa" w:w="160"/>
            </w:tcMar>
          </w:tcPr>
          <w:p>
            <w:r>
              <w:rPr>
                <w:rFonts w:ascii="Calibri" w:cs="Calibri" w:eastAsia="Calibri" w:hAnsi="Calibri"/>
                <w:color w:val="1E1E2E"/>
                <w:sz w:val="22"/>
                <w:szCs w:val="22"/>
              </w:rPr>
              <w:t xml:space="preserve">High liability exposure; clinical AI governance requirements; long contract terms</w:t>
            </w:r>
          </w:p>
        </w:tc>
      </w:tr>
      <w:tr>
        <w:tc>
          <w:tcPr>
            <w:tcW w:type="dxa" w:w="2600"/>
            <w:tcBorders>
              <w:top w:val="single" w:color="CCCCBB" w:sz="1" w:space="0"/>
              <w:left w:val="single" w:color="CCCCBB" w:sz="1" w:space="0"/>
              <w:bottom w:val="single" w:color="CCCCBB" w:sz="1" w:space="0"/>
              <w:right w:val="single" w:color="CCCCBB" w:sz="1" w:space="0"/>
            </w:tcBorders>
            <w:shd w:fill="EDE8D8" w:val="clear"/>
            <w:tcMar>
              <w:top w:type="dxa" w:w="80"/>
              <w:left w:type="dxa" w:w="160"/>
              <w:bottom w:type="dxa" w:w="80"/>
              <w:right w:type="dxa" w:w="160"/>
            </w:tcMar>
          </w:tcPr>
          <w:p>
            <w:r>
              <w:rPr>
                <w:rFonts w:ascii="Calibri" w:cs="Calibri" w:eastAsia="Calibri" w:hAnsi="Calibri"/>
                <w:b/>
                <w:bCs/>
                <w:color w:val="0C2340"/>
                <w:sz w:val="22"/>
                <w:szCs w:val="22"/>
              </w:rPr>
              <w:t xml:space="preserve">Energy &amp; Utilities</w:t>
            </w:r>
          </w:p>
        </w:tc>
        <w:tc>
          <w:tcPr>
            <w:tcW w:type="dxa" w:w="6400"/>
            <w:tcBorders>
              <w:top w:val="single" w:color="CCCCBB" w:sz="1" w:space="0"/>
              <w:left w:val="single" w:color="CCCCBB" w:sz="1" w:space="0"/>
              <w:bottom w:val="single" w:color="CCCCBB" w:sz="1" w:space="0"/>
              <w:right w:val="single" w:color="CCCCBB" w:sz="1" w:space="0"/>
            </w:tcBorders>
            <w:shd w:fill="FFFFFF" w:val="clear"/>
            <w:tcMar>
              <w:top w:type="dxa" w:w="80"/>
              <w:left w:type="dxa" w:w="160"/>
              <w:bottom w:type="dxa" w:w="80"/>
              <w:right w:type="dxa" w:w="160"/>
            </w:tcMar>
          </w:tcPr>
          <w:p>
            <w:r>
              <w:rPr>
                <w:rFonts w:ascii="Calibri" w:cs="Calibri" w:eastAsia="Calibri" w:hAnsi="Calibri"/>
                <w:color w:val="1E1E2E"/>
                <w:sz w:val="22"/>
                <w:szCs w:val="22"/>
              </w:rPr>
              <w:t xml:space="preserve">Critical infrastructure classification; emerging AI governance mandates</w:t>
            </w:r>
          </w:p>
        </w:tc>
      </w:tr>
      <w:tr>
        <w:tc>
          <w:tcPr>
            <w:tcW w:type="dxa" w:w="2600"/>
            <w:tcBorders>
              <w:top w:val="single" w:color="CCCCBB" w:sz="1" w:space="0"/>
              <w:left w:val="single" w:color="CCCCBB" w:sz="1" w:space="0"/>
              <w:bottom w:val="single" w:color="CCCCBB" w:sz="1" w:space="0"/>
              <w:right w:val="single" w:color="CCCCBB" w:sz="1" w:space="0"/>
            </w:tcBorders>
            <w:shd w:fill="F5F2EA" w:val="clear"/>
            <w:tcMar>
              <w:top w:type="dxa" w:w="80"/>
              <w:left w:type="dxa" w:w="160"/>
              <w:bottom w:type="dxa" w:w="80"/>
              <w:right w:type="dxa" w:w="160"/>
            </w:tcMar>
          </w:tcPr>
          <w:p>
            <w:r>
              <w:rPr>
                <w:rFonts w:ascii="Calibri" w:cs="Calibri" w:eastAsia="Calibri" w:hAnsi="Calibri"/>
                <w:b/>
                <w:bCs/>
                <w:color w:val="0C2340"/>
                <w:sz w:val="22"/>
                <w:szCs w:val="22"/>
              </w:rPr>
              <w:t xml:space="preserve">Multinationals</w:t>
            </w:r>
          </w:p>
        </w:tc>
        <w:tc>
          <w:tcPr>
            <w:tcW w:type="dxa" w:w="6400"/>
            <w:tcBorders>
              <w:top w:val="single" w:color="CCCCBB" w:sz="1" w:space="0"/>
              <w:left w:val="single" w:color="CCCCBB" w:sz="1" w:space="0"/>
              <w:bottom w:val="single" w:color="CCCCBB" w:sz="1" w:space="0"/>
              <w:right w:val="single" w:color="CCCCBB" w:sz="1" w:space="0"/>
            </w:tcBorders>
            <w:shd w:fill="FAFAF5" w:val="clear"/>
            <w:tcMar>
              <w:top w:type="dxa" w:w="80"/>
              <w:left w:type="dxa" w:w="160"/>
              <w:bottom w:type="dxa" w:w="80"/>
              <w:right w:type="dxa" w:w="160"/>
            </w:tcMar>
          </w:tcPr>
          <w:p>
            <w:r>
              <w:rPr>
                <w:rFonts w:ascii="Calibri" w:cs="Calibri" w:eastAsia="Calibri" w:hAnsi="Calibri"/>
                <w:color w:val="1E1E2E"/>
                <w:sz w:val="22"/>
                <w:szCs w:val="22"/>
              </w:rPr>
              <w:t xml:space="preserve">Board-level AI governance pressure; multi-jurisdiction compliance complexity</w:t>
            </w:r>
          </w:p>
        </w:tc>
      </w:tr>
      <w:tr>
        <w:tc>
          <w:tcPr>
            <w:tcW w:type="dxa" w:w="2600"/>
            <w:tcBorders>
              <w:top w:val="single" w:color="CCCCBB" w:sz="1" w:space="0"/>
              <w:left w:val="single" w:color="CCCCBB" w:sz="1" w:space="0"/>
              <w:bottom w:val="single" w:color="CCCCBB" w:sz="1" w:space="0"/>
              <w:right w:val="single" w:color="CCCCBB" w:sz="1" w:space="0"/>
            </w:tcBorders>
            <w:shd w:fill="EDE8D8" w:val="clear"/>
            <w:tcMar>
              <w:top w:type="dxa" w:w="80"/>
              <w:left w:type="dxa" w:w="160"/>
              <w:bottom w:type="dxa" w:w="80"/>
              <w:right w:type="dxa" w:w="160"/>
            </w:tcMar>
          </w:tcPr>
          <w:p>
            <w:r>
              <w:rPr>
                <w:rFonts w:ascii="Calibri" w:cs="Calibri" w:eastAsia="Calibri" w:hAnsi="Calibri"/>
                <w:b/>
                <w:bCs/>
                <w:color w:val="0C2340"/>
                <w:sz w:val="22"/>
                <w:szCs w:val="22"/>
              </w:rPr>
              <w:t xml:space="preserve">Government Departments</w:t>
            </w:r>
          </w:p>
        </w:tc>
        <w:tc>
          <w:tcPr>
            <w:tcW w:type="dxa" w:w="6400"/>
            <w:tcBorders>
              <w:top w:val="single" w:color="CCCCBB" w:sz="1" w:space="0"/>
              <w:left w:val="single" w:color="CCCCBB" w:sz="1" w:space="0"/>
              <w:bottom w:val="single" w:color="CCCCBB" w:sz="1" w:space="0"/>
              <w:right w:val="single" w:color="CCCCBB" w:sz="1" w:space="0"/>
            </w:tcBorders>
            <w:shd w:fill="FFFFFF" w:val="clear"/>
            <w:tcMar>
              <w:top w:type="dxa" w:w="80"/>
              <w:left w:type="dxa" w:w="160"/>
              <w:bottom w:type="dxa" w:w="80"/>
              <w:right w:type="dxa" w:w="160"/>
            </w:tcMar>
          </w:tcPr>
          <w:p>
            <w:r>
              <w:rPr>
                <w:rFonts w:ascii="Calibri" w:cs="Calibri" w:eastAsia="Calibri" w:hAnsi="Calibri"/>
                <w:color w:val="1E1E2E"/>
                <w:sz w:val="22"/>
                <w:szCs w:val="22"/>
              </w:rPr>
              <w:t xml:space="preserve">AI in public service delivery; citizen rights implications; sovereign accountability</w:t>
            </w:r>
          </w:p>
        </w:tc>
      </w:tr>
    </w:tbl>
    <w:p>
      <w:pPr>
        <w:spacing w:before="160" w:after="0"/>
      </w:pPr>
    </w:p>
    <w:p>
      <w:pPr>
        <w:spacing w:before="280" w:after="80"/>
      </w:pPr>
      <w:r>
        <w:rPr>
          <w:rFonts w:ascii="Georgia" w:cs="Georgia" w:eastAsia="Georgia" w:hAnsi="Georgia"/>
          <w:b/>
          <w:bCs/>
          <w:color w:val="0C2340"/>
          <w:sz w:val="24"/>
          <w:szCs w:val="24"/>
        </w:rPr>
        <w:t xml:space="preserve">Quantum-Ready Architecture</w:t>
      </w:r>
    </w:p>
    <w:p>
      <w:pPr>
        <w:spacing w:before="80" w:after="80"/>
        <w:jc w:val="both"/>
      </w:pPr>
      <w:r>
        <w:rPr>
          <w:rFonts w:ascii="Calibri" w:cs="Calibri" w:eastAsia="Calibri" w:hAnsi="Calibri"/>
          <w:color w:val="1E1E2E"/>
          <w:sz w:val="22"/>
          <w:szCs w:val="22"/>
        </w:rPr>
        <w:t xml:space="preserve">UDOC is designed to maintain cryptographic integrity in a post-quantum computing environment from inception. Quantum computers capable of breaking current RSA and elliptic curve encryption are projected within a ten-to-fifteen year horizon by credible technical institutions. Governments and enterprises that build quantum-resistant infrastructure now avoid a disruptive forced migration when that timeline arrives.</w:t>
      </w:r>
    </w:p>
    <w:p>
      <w:pPr>
        <w:spacing w:before="80" w:after="80"/>
        <w:jc w:val="both"/>
      </w:pPr>
      <w:r>
        <w:rPr>
          <w:rFonts w:ascii="Calibri" w:cs="Calibri" w:eastAsia="Calibri" w:hAnsi="Calibri"/>
          <w:color w:val="1E1E2E"/>
          <w:sz w:val="22"/>
          <w:szCs w:val="22"/>
        </w:rPr>
        <w:t xml:space="preserve">UDOC's quantum architecture is built on NIST Post-Quantum Cryptography standards (CRYSTALS-Kyber, CRYSTALS-Dilithium, FALCON, SPHINCS+), deployed through a hybrid transition layer that maintains backward compatibility with classical systems during the migration period. Full technical specifications are in Annexure D.</w:t>
      </w:r>
    </w:p>
    <w:p>
      <w:pPr>
        <w:spacing w:before="280" w:after="80"/>
      </w:pPr>
      <w:r>
        <w:rPr>
          <w:rFonts w:ascii="Georgia" w:cs="Georgia" w:eastAsia="Georgia" w:hAnsi="Georgia"/>
          <w:b/>
          <w:bCs/>
          <w:color w:val="0C2340"/>
          <w:sz w:val="24"/>
          <w:szCs w:val="24"/>
        </w:rPr>
        <w:t xml:space="preserve">Data Sovereignty Architecture</w:t>
      </w:r>
    </w:p>
    <w:p>
      <w:pPr>
        <w:spacing w:before="80" w:after="80"/>
        <w:jc w:val="both"/>
      </w:pPr>
      <w:r>
        <w:rPr>
          <w:rFonts w:ascii="Calibri" w:cs="Calibri" w:eastAsia="Calibri" w:hAnsi="Calibri"/>
          <w:color w:val="1E1E2E"/>
          <w:sz w:val="22"/>
          <w:szCs w:val="22"/>
        </w:rPr>
        <w:t xml:space="preserve">Every UDOC deployment ensures that data generated within a national jurisdiction remains under that jurisdiction's legal and operational custody. UDOC does not aggregate data across jurisdictions without explicit agreement. Data deletion and portability are standard contract provisions. This architecture addresses the most significant political risk facing any technology company in government data environments: a sovereignty violation ends the partnership and the reputational consequences are permanent.</w:t>
      </w:r>
    </w:p>
    <w:p>
      <w:pPr>
        <w:spacing w:before="200" w:after="0"/>
      </w:pPr>
    </w:p>
    <w:p>
      <w:pPr>
        <w:pBdr>
          <w:bottom w:val="single" w:color="C9A84C" w:sz="8" w:space="4"/>
        </w:pBdr>
        <w:spacing w:before="440" w:after="120"/>
      </w:pPr>
      <w:r>
        <w:rPr>
          <w:rFonts w:ascii="Georgia" w:cs="Georgia" w:eastAsia="Georgia" w:hAnsi="Georgia"/>
          <w:b/>
          <w:bCs/>
          <w:color w:val="B8972A"/>
          <w:sz w:val="28"/>
          <w:szCs w:val="28"/>
        </w:rPr>
        <w:t xml:space="preserve">3.4  </w:t>
      </w:r>
      <w:r>
        <w:rPr>
          <w:rFonts w:ascii="Georgia" w:cs="Georgia" w:eastAsia="Georgia" w:hAnsi="Georgia"/>
          <w:b/>
          <w:bCs/>
          <w:color w:val="0C2340"/>
          <w:sz w:val="28"/>
          <w:szCs w:val="28"/>
        </w:rPr>
        <w:t xml:space="preserve">T.S — Production &amp; Infrastructure</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1800"/>
        <w:gridCol w:w="7200"/>
      </w:tblGrid>
      <w:tr>
        <w:tc>
          <w:tcPr>
            <w:tcW w:type="dxa" w:w="1800"/>
            <w:tcBorders>
              <w:top w:val="single" w:color="CCCCBB" w:sz="1" w:space="0"/>
              <w:left w:val="single" w:color="CCCCBB" w:sz="1" w:space="0"/>
              <w:bottom w:val="single" w:color="CCCCBB" w:sz="1" w:space="0"/>
              <w:right w:val="single" w:color="CCCCBB" w:sz="1" w:space="0"/>
            </w:tcBorders>
            <w:shd w:fill="0C2340" w:val="clear"/>
            <w:tcMar>
              <w:top w:type="dxa" w:w="160"/>
              <w:left w:type="dxa" w:w="160"/>
              <w:bottom w:type="dxa" w:w="160"/>
              <w:right w:type="dxa" w:w="160"/>
            </w:tcMar>
          </w:tcPr>
          <w:p>
            <w:pPr>
              <w:jc w:val="center"/>
            </w:pPr>
            <w:r>
              <w:rPr>
                <w:rFonts w:ascii="Georgia" w:cs="Georgia" w:eastAsia="Georgia" w:hAnsi="Georgia"/>
                <w:b/>
                <w:bCs/>
                <w:color w:val="B8972A"/>
                <w:sz w:val="40"/>
                <w:szCs w:val="40"/>
              </w:rPr>
              <w:t xml:space="preserve">T.S</w:t>
            </w:r>
          </w:p>
          <w:p>
            <w:pPr>
              <w:spacing w:before="80" w:after="0"/>
              <w:jc w:val="center"/>
            </w:pPr>
            <w:r>
              <w:rPr>
                <w:rFonts w:ascii="Calibri" w:cs="Calibri" w:eastAsia="Calibri" w:hAnsi="Calibri"/>
                <w:i/>
                <w:iCs/>
                <w:color w:val="FFFFFF"/>
                <w:sz w:val="14"/>
                <w:szCs w:val="14"/>
              </w:rPr>
              <w:t xml:space="preserve">Production &amp; Infrastructure Layer</w:t>
            </w:r>
          </w:p>
        </w:tc>
        <w:tc>
          <w:tcPr>
            <w:tcW w:type="dxa" w:w="7200"/>
            <w:tcBorders>
              <w:top w:val="single" w:color="CCCCBB" w:sz="1" w:space="0"/>
              <w:left w:val="single" w:color="CCCCBB" w:sz="1" w:space="0"/>
              <w:bottom w:val="single" w:color="CCCCBB" w:sz="1" w:space="0"/>
              <w:right w:val="single" w:color="CCCCBB" w:sz="1" w:space="0"/>
            </w:tcBorders>
            <w:shd w:fill="F8F5EC" w:val="clear"/>
            <w:tcMar>
              <w:top w:type="dxa" w:w="160"/>
              <w:left w:type="dxa" w:w="240"/>
              <w:bottom w:type="dxa" w:w="160"/>
              <w:right w:type="dxa" w:w="240"/>
            </w:tcMar>
          </w:tcPr>
          <w:p>
            <w:pPr>
              <w:spacing w:before="0" w:after="60"/>
            </w:pPr>
            <w:r>
              <w:rPr>
                <w:rFonts w:ascii="Georgia" w:cs="Georgia" w:eastAsia="Georgia" w:hAnsi="Georgia"/>
                <w:b/>
                <w:bCs/>
                <w:color w:val="0C2340"/>
                <w:sz w:val="26"/>
                <w:szCs w:val="26"/>
              </w:rPr>
              <w:t xml:space="preserve">The Technological Sector</w:t>
            </w:r>
          </w:p>
          <w:p>
            <w:pPr>
              <w:spacing w:before="0" w:after="100"/>
            </w:pPr>
            <w:r>
              <w:rPr>
                <w:rFonts w:ascii="Calibri" w:cs="Calibri" w:eastAsia="Calibri" w:hAnsi="Calibri"/>
                <w:i/>
                <w:iCs/>
                <w:color w:val="5A5A72"/>
                <w:sz w:val="20"/>
                <w:szCs w:val="20"/>
              </w:rPr>
              <w:t xml:space="preserve">The operational delivery engine of G.O.D.S. Operates across renewable energy, modular housing technology, logistics optimization, agricultural technology, and water management. Serves as the primary employment destination for S.E.T.H.S-placed participants — closing the human capital loop within the G.O.D.S system.</w:t>
            </w:r>
          </w:p>
          <w:p>
            <w:pPr>
              <w:spacing w:before="0" w:after="60"/>
            </w:pPr>
            <w:r>
              <w:rPr>
                <w:rFonts w:ascii="Calibri" w:cs="Calibri" w:eastAsia="Calibri" w:hAnsi="Calibri"/>
                <w:b/>
                <w:bCs/>
                <w:color w:val="0C2340"/>
                <w:sz w:val="20"/>
                <w:szCs w:val="20"/>
              </w:rPr>
              <w:t xml:space="preserve">Revenue streams:</w:t>
            </w:r>
          </w:p>
          <w:p>
            <w:pPr>
              <w:spacing w:before="40" w:after="40"/>
            </w:pPr>
            <w:r>
              <w:rPr>
                <w:rFonts w:ascii="Calibri" w:cs="Calibri" w:eastAsia="Calibri" w:hAnsi="Calibri"/>
                <w:b/>
                <w:bCs/>
                <w:color w:val="B8972A"/>
                <w:sz w:val="20"/>
                <w:szCs w:val="20"/>
              </w:rPr>
              <w:t xml:space="preserve">• </w:t>
            </w:r>
            <w:r>
              <w:rPr>
                <w:rFonts w:ascii="Calibri" w:cs="Calibri" w:eastAsia="Calibri" w:hAnsi="Calibri"/>
                <w:color w:val="1E1E2E"/>
                <w:sz w:val="20"/>
                <w:szCs w:val="20"/>
              </w:rPr>
              <w:t xml:space="preserve">Distributed renewable energy system contracts</w:t>
            </w:r>
          </w:p>
          <w:p>
            <w:pPr>
              <w:spacing w:before="40" w:after="40"/>
            </w:pPr>
            <w:r>
              <w:rPr>
                <w:rFonts w:ascii="Calibri" w:cs="Calibri" w:eastAsia="Calibri" w:hAnsi="Calibri"/>
                <w:b/>
                <w:bCs/>
                <w:color w:val="B8972A"/>
                <w:sz w:val="20"/>
                <w:szCs w:val="20"/>
              </w:rPr>
              <w:t xml:space="preserve">• </w:t>
            </w:r>
            <w:r>
              <w:rPr>
                <w:rFonts w:ascii="Calibri" w:cs="Calibri" w:eastAsia="Calibri" w:hAnsi="Calibri"/>
                <w:color w:val="1E1E2E"/>
                <w:sz w:val="20"/>
                <w:szCs w:val="20"/>
              </w:rPr>
              <w:t xml:space="preserve">Modular housing technology manufacturing and deployment</w:t>
            </w:r>
          </w:p>
          <w:p>
            <w:pPr>
              <w:spacing w:before="40" w:after="40"/>
            </w:pPr>
            <w:r>
              <w:rPr>
                <w:rFonts w:ascii="Calibri" w:cs="Calibri" w:eastAsia="Calibri" w:hAnsi="Calibri"/>
                <w:b/>
                <w:bCs/>
                <w:color w:val="B8972A"/>
                <w:sz w:val="20"/>
                <w:szCs w:val="20"/>
              </w:rPr>
              <w:t xml:space="preserve">• </w:t>
            </w:r>
            <w:r>
              <w:rPr>
                <w:rFonts w:ascii="Calibri" w:cs="Calibri" w:eastAsia="Calibri" w:hAnsi="Calibri"/>
                <w:color w:val="1E1E2E"/>
                <w:sz w:val="20"/>
                <w:szCs w:val="20"/>
              </w:rPr>
              <w:t xml:space="preserve">AI-assisted logistics and supply chain optimization</w:t>
            </w:r>
          </w:p>
          <w:p>
            <w:pPr>
              <w:spacing w:before="40" w:after="40"/>
            </w:pPr>
            <w:r>
              <w:rPr>
                <w:rFonts w:ascii="Calibri" w:cs="Calibri" w:eastAsia="Calibri" w:hAnsi="Calibri"/>
                <w:b/>
                <w:bCs/>
                <w:color w:val="B8972A"/>
                <w:sz w:val="20"/>
                <w:szCs w:val="20"/>
              </w:rPr>
              <w:t xml:space="preserve">• </w:t>
            </w:r>
            <w:r>
              <w:rPr>
                <w:rFonts w:ascii="Calibri" w:cs="Calibri" w:eastAsia="Calibri" w:hAnsi="Calibri"/>
                <w:color w:val="1E1E2E"/>
                <w:sz w:val="20"/>
                <w:szCs w:val="20"/>
              </w:rPr>
              <w:t xml:space="preserve">Agricultural technology licensing and deployment</w:t>
            </w:r>
          </w:p>
          <w:p>
            <w:pPr>
              <w:spacing w:before="40" w:after="40"/>
            </w:pPr>
            <w:r>
              <w:rPr>
                <w:rFonts w:ascii="Calibri" w:cs="Calibri" w:eastAsia="Calibri" w:hAnsi="Calibri"/>
                <w:b/>
                <w:bCs/>
                <w:color w:val="B8972A"/>
                <w:sz w:val="20"/>
                <w:szCs w:val="20"/>
              </w:rPr>
              <w:t xml:space="preserve">• </w:t>
            </w:r>
            <w:r>
              <w:rPr>
                <w:rFonts w:ascii="Calibri" w:cs="Calibri" w:eastAsia="Calibri" w:hAnsi="Calibri"/>
                <w:color w:val="1E1E2E"/>
                <w:sz w:val="20"/>
                <w:szCs w:val="20"/>
              </w:rPr>
              <w:t xml:space="preserve">Water management system contracts — municipal and industrial</w:t>
            </w:r>
          </w:p>
          <w:p>
            <w:pPr>
              <w:spacing w:before="40" w:after="40"/>
            </w:pPr>
            <w:r>
              <w:rPr>
                <w:rFonts w:ascii="Calibri" w:cs="Calibri" w:eastAsia="Calibri" w:hAnsi="Calibri"/>
                <w:b/>
                <w:bCs/>
                <w:color w:val="B8972A"/>
                <w:sz w:val="20"/>
                <w:szCs w:val="20"/>
              </w:rPr>
              <w:t xml:space="preserve">• </w:t>
            </w:r>
            <w:r>
              <w:rPr>
                <w:rFonts w:ascii="Calibri" w:cs="Calibri" w:eastAsia="Calibri" w:hAnsi="Calibri"/>
                <w:color w:val="1E1E2E"/>
                <w:sz w:val="20"/>
                <w:szCs w:val="20"/>
              </w:rPr>
              <w:t xml:space="preserve">Technology licensing and joint venture income</w:t>
            </w:r>
          </w:p>
        </w:tc>
      </w:tr>
    </w:tbl>
    <w:p>
      <w:pPr>
        <w:spacing w:before="160" w:after="0"/>
      </w:pPr>
    </w:p>
    <w:p>
      <w:pPr>
        <w:spacing w:before="280" w:after="80"/>
      </w:pPr>
      <w:r>
        <w:rPr>
          <w:rFonts w:ascii="Georgia" w:cs="Georgia" w:eastAsia="Georgia" w:hAnsi="Georgia"/>
          <w:b/>
          <w:bCs/>
          <w:color w:val="0C2340"/>
          <w:sz w:val="24"/>
          <w:szCs w:val="24"/>
        </w:rPr>
        <w:t xml:space="preserve">Operating Domains</w:t>
      </w:r>
    </w:p>
    <w:p>
      <w:pPr>
        <w:spacing w:before="200" w:after="60"/>
      </w:pPr>
      <w:r>
        <w:rPr>
          <w:rFonts w:ascii="Calibri" w:cs="Calibri" w:eastAsia="Calibri" w:hAnsi="Calibri"/>
          <w:b/>
          <w:bCs/>
          <w:color w:val="1A5276"/>
          <w:sz w:val="22"/>
          <w:szCs w:val="22"/>
        </w:rPr>
        <w:t xml:space="preserve">Energy Systems</w:t>
      </w:r>
    </w:p>
    <w:p>
      <w:pPr>
        <w:spacing w:before="80" w:after="80"/>
        <w:jc w:val="both"/>
      </w:pPr>
      <w:r>
        <w:rPr>
          <w:rFonts w:ascii="Calibri" w:cs="Calibri" w:eastAsia="Calibri" w:hAnsi="Calibri"/>
          <w:color w:val="1E1E2E"/>
          <w:sz w:val="22"/>
          <w:szCs w:val="22"/>
        </w:rPr>
        <w:t xml:space="preserve">Distributed renewable energy systems (solar generation, battery storage, micro-grid architecture), energy optimization software for industrial and commercial consumers, and off-grid solutions for municipalities and underserved communities. Energy unreliability is one of the primary structural constraints on African economic development. Each installation creates long-term maintenance employment — a direct S.E.T.H.S placement pathway.</w:t>
      </w:r>
    </w:p>
    <w:p>
      <w:pPr>
        <w:spacing w:before="200" w:after="60"/>
      </w:pPr>
      <w:r>
        <w:rPr>
          <w:rFonts w:ascii="Calibri" w:cs="Calibri" w:eastAsia="Calibri" w:hAnsi="Calibri"/>
          <w:b/>
          <w:bCs/>
          <w:color w:val="1A5276"/>
          <w:sz w:val="22"/>
          <w:szCs w:val="22"/>
        </w:rPr>
        <w:t xml:space="preserve">Housing Technology</w:t>
      </w:r>
    </w:p>
    <w:p>
      <w:pPr>
        <w:spacing w:before="80" w:after="80"/>
        <w:jc w:val="both"/>
      </w:pPr>
      <w:r>
        <w:rPr>
          <w:rFonts w:ascii="Calibri" w:cs="Calibri" w:eastAsia="Calibri" w:hAnsi="Calibri"/>
          <w:color w:val="1E1E2E"/>
          <w:sz w:val="22"/>
          <w:szCs w:val="22"/>
        </w:rPr>
        <w:t xml:space="preserve">Modular and prefabricated construction systems enabling rapid, cost-effective formal housing delivery at scale; construction materials innovation using locally sourced inputs; and smart home integration for affordable housing contexts. The housing deficit across sub-Saharan Africa is one of the most commercially significant and tractable infrastructure challenges on the continent.</w:t>
      </w:r>
    </w:p>
    <w:p>
      <w:pPr>
        <w:spacing w:before="200" w:after="60"/>
      </w:pPr>
      <w:r>
        <w:rPr>
          <w:rFonts w:ascii="Calibri" w:cs="Calibri" w:eastAsia="Calibri" w:hAnsi="Calibri"/>
          <w:b/>
          <w:bCs/>
          <w:color w:val="1A5276"/>
          <w:sz w:val="22"/>
          <w:szCs w:val="22"/>
        </w:rPr>
        <w:t xml:space="preserve">Agricultural Technology</w:t>
      </w:r>
    </w:p>
    <w:p>
      <w:pPr>
        <w:spacing w:before="80" w:after="80"/>
        <w:jc w:val="both"/>
      </w:pPr>
      <w:r>
        <w:rPr>
          <w:rFonts w:ascii="Calibri" w:cs="Calibri" w:eastAsia="Calibri" w:hAnsi="Calibri"/>
          <w:color w:val="1E1E2E"/>
          <w:sz w:val="22"/>
          <w:szCs w:val="22"/>
        </w:rPr>
        <w:t xml:space="preserve">Precision agriculture systems reducing input costs and improving yield predictability; agro-processing technology enabling value addition at origin rather than raw commodity export; cold chain and storage infrastructure reducing post-harvest loss. Agricultural production and processing is the largest potential employment generator in African markets.</w:t>
      </w:r>
    </w:p>
    <w:p>
      <w:pPr>
        <w:spacing w:before="200" w:after="60"/>
      </w:pPr>
      <w:r>
        <w:rPr>
          <w:rFonts w:ascii="Calibri" w:cs="Calibri" w:eastAsia="Calibri" w:hAnsi="Calibri"/>
          <w:b/>
          <w:bCs/>
          <w:color w:val="1A5276"/>
          <w:sz w:val="22"/>
          <w:szCs w:val="22"/>
        </w:rPr>
        <w:t xml:space="preserve">Logistics &amp; Supply Chain</w:t>
      </w:r>
    </w:p>
    <w:p>
      <w:pPr>
        <w:spacing w:before="80" w:after="80"/>
        <w:jc w:val="both"/>
      </w:pPr>
      <w:r>
        <w:rPr>
          <w:rFonts w:ascii="Calibri" w:cs="Calibri" w:eastAsia="Calibri" w:hAnsi="Calibri"/>
          <w:color w:val="1E1E2E"/>
          <w:sz w:val="22"/>
          <w:szCs w:val="22"/>
        </w:rPr>
        <w:t xml:space="preserve">AI-assisted supply chain optimization; last-mile delivery systems utilizing S.E.T.H.S-placed participants as logistics workforce; route optimization and fleet management technology for public and private transport operators.</w:t>
      </w:r>
    </w:p>
    <w:p>
      <w:pPr>
        <w:spacing w:before="200" w:after="60"/>
      </w:pPr>
      <w:r>
        <w:rPr>
          <w:rFonts w:ascii="Calibri" w:cs="Calibri" w:eastAsia="Calibri" w:hAnsi="Calibri"/>
          <w:b/>
          <w:bCs/>
          <w:color w:val="1A5276"/>
          <w:sz w:val="22"/>
          <w:szCs w:val="22"/>
        </w:rPr>
        <w:t xml:space="preserve">Water &amp; Resource Management</w:t>
      </w:r>
    </w:p>
    <w:p>
      <w:pPr>
        <w:spacing w:before="80" w:after="80"/>
        <w:jc w:val="both"/>
      </w:pPr>
      <w:r>
        <w:rPr>
          <w:rFonts w:ascii="Calibri" w:cs="Calibri" w:eastAsia="Calibri" w:hAnsi="Calibri"/>
          <w:color w:val="1E1E2E"/>
          <w:sz w:val="22"/>
          <w:szCs w:val="22"/>
        </w:rPr>
        <w:t xml:space="preserve">Smart metering technology; water efficiency monitoring systems; AI-assisted resource allocation modeling for municipal and national planning bodies. Water scarcity is a structural risk across multiple African geographies — and a governance infrastructure requirement for every government managing it.</w:t>
      </w:r>
    </w:p>
    <w:p>
      <w:r>
        <w:br w:type="page"/>
      </w:r>
    </w:p>
    <w:p>
      <w:pPr>
        <w:shd w:fill="0C2340" w:val="clear"/>
        <w:spacing w:before="360" w:after="60"/>
        <w:jc w:val="center"/>
      </w:pPr>
      <w:r>
        <w:rPr>
          <w:rFonts w:ascii="Georgia" w:cs="Georgia" w:eastAsia="Georgia" w:hAnsi="Georgia"/>
          <w:b/>
          <w:bCs/>
          <w:color w:val="B8972A"/>
          <w:sz w:val="26"/>
          <w:szCs w:val="26"/>
        </w:rPr>
        <w:t xml:space="preserve">PART IV</w:t>
      </w:r>
    </w:p>
    <w:p>
      <w:pPr>
        <w:shd w:fill="0C2340" w:val="clear"/>
        <w:spacing w:before="0" w:after="0"/>
        <w:jc w:val="center"/>
      </w:pPr>
      <w:r>
        <w:rPr>
          <w:rFonts w:ascii="Georgia" w:cs="Georgia" w:eastAsia="Georgia" w:hAnsi="Georgia"/>
          <w:b/>
          <w:bCs/>
          <w:color w:val="FFFFFF"/>
          <w:sz w:val="48"/>
          <w:szCs w:val="48"/>
        </w:rPr>
        <w:t xml:space="preserve">THE BUSINESS</w:t>
      </w:r>
    </w:p>
    <w:p>
      <w:pPr>
        <w:shd w:fill="0C2340" w:val="clear"/>
        <w:spacing w:before="0" w:after="360"/>
        <w:jc w:val="center"/>
      </w:pPr>
      <w:r>
        <w:rPr>
          <w:rFonts w:ascii="Calibri" w:cs="Calibri" w:eastAsia="Calibri" w:hAnsi="Calibri"/>
          <w:i/>
          <w:iCs/>
          <w:color w:val="B8972A"/>
          <w:sz w:val="20"/>
          <w:szCs w:val="20"/>
        </w:rPr>
        <w:t xml:space="preserve">Revenue architecture, capital structure, markets, and financial projections</w:t>
      </w:r>
    </w:p>
    <w:p>
      <w:pPr>
        <w:pBdr>
          <w:bottom w:val="single" w:color="C9A84C" w:sz="8" w:space="4"/>
        </w:pBdr>
        <w:spacing w:before="440" w:after="120"/>
      </w:pPr>
      <w:r>
        <w:rPr>
          <w:rFonts w:ascii="Georgia" w:cs="Georgia" w:eastAsia="Georgia" w:hAnsi="Georgia"/>
          <w:b/>
          <w:bCs/>
          <w:color w:val="B8972A"/>
          <w:sz w:val="28"/>
          <w:szCs w:val="28"/>
        </w:rPr>
        <w:t xml:space="preserve">4.1  </w:t>
      </w:r>
      <w:r>
        <w:rPr>
          <w:rFonts w:ascii="Georgia" w:cs="Georgia" w:eastAsia="Georgia" w:hAnsi="Georgia"/>
          <w:b/>
          <w:bCs/>
          <w:color w:val="0C2340"/>
          <w:sz w:val="28"/>
          <w:szCs w:val="28"/>
        </w:rPr>
        <w:t xml:space="preserve">Eight-Division Revenue Architecture</w:t>
      </w:r>
    </w:p>
    <w:p>
      <w:pPr>
        <w:spacing w:before="140" w:after="160"/>
        <w:jc w:val="both"/>
      </w:pPr>
      <w:r>
        <w:rPr>
          <w:rFonts w:ascii="Georgia" w:cs="Georgia" w:eastAsia="Georgia" w:hAnsi="Georgia"/>
          <w:i/>
          <w:iCs/>
          <w:color w:val="5A5A72"/>
          <w:sz w:val="24"/>
          <w:szCs w:val="24"/>
        </w:rPr>
        <w:t xml:space="preserve">G.O.D.S TS Holdings operates as an eight-division commercial conglomerate. Each division is a distinct revenue-generating entity. Together, their interaction creates an integrated economic architecture in which the strength of each division reinforces the others.</w:t>
      </w:r>
    </w:p>
    <w:p>
      <w:pPr>
        <w:spacing w:before="80" w:after="0"/>
      </w:pP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2600"/>
        <w:gridCol w:w="6400"/>
      </w:tblGrid>
      <w:tr>
        <w:tc>
          <w:tcPr>
            <w:tcW w:type="dxa" w:w="2600"/>
            <w:tcBorders>
              <w:top w:val="single" w:color="CCCCBB" w:sz="1" w:space="0"/>
              <w:left w:val="single" w:color="CCCCBB" w:sz="1" w:space="0"/>
              <w:bottom w:val="single" w:color="CCCCBB" w:sz="1" w:space="0"/>
              <w:right w:val="single" w:color="CCCCBB" w:sz="1" w:space="0"/>
            </w:tcBorders>
            <w:shd w:fill="EDE8D8" w:val="clear"/>
            <w:tcMar>
              <w:top w:type="dxa" w:w="80"/>
              <w:left w:type="dxa" w:w="160"/>
              <w:bottom w:type="dxa" w:w="80"/>
              <w:right w:type="dxa" w:w="160"/>
            </w:tcMar>
          </w:tcPr>
          <w:p>
            <w:r>
              <w:rPr>
                <w:rFonts w:ascii="Calibri" w:cs="Calibri" w:eastAsia="Calibri" w:hAnsi="Calibri"/>
                <w:b/>
                <w:bCs/>
                <w:color w:val="0C2340"/>
                <w:sz w:val="22"/>
                <w:szCs w:val="22"/>
              </w:rPr>
              <w:t xml:space="preserve">Division 1</w:t>
            </w:r>
          </w:p>
        </w:tc>
        <w:tc>
          <w:tcPr>
            <w:tcW w:type="dxa" w:w="6400"/>
            <w:tcBorders>
              <w:top w:val="single" w:color="CCCCBB" w:sz="1" w:space="0"/>
              <w:left w:val="single" w:color="CCCCBB" w:sz="1" w:space="0"/>
              <w:bottom w:val="single" w:color="CCCCBB" w:sz="1" w:space="0"/>
              <w:right w:val="single" w:color="CCCCBB" w:sz="1" w:space="0"/>
            </w:tcBorders>
            <w:shd w:fill="FFFFFF" w:val="clear"/>
            <w:tcMar>
              <w:top w:type="dxa" w:w="80"/>
              <w:left w:type="dxa" w:w="160"/>
              <w:bottom w:type="dxa" w:w="80"/>
              <w:right w:type="dxa" w:w="160"/>
            </w:tcMar>
          </w:tcPr>
          <w:p>
            <w:r>
              <w:rPr>
                <w:rFonts w:ascii="Calibri" w:cs="Calibri" w:eastAsia="Calibri" w:hAnsi="Calibri"/>
                <w:color w:val="1E1E2E"/>
                <w:sz w:val="22"/>
                <w:szCs w:val="22"/>
              </w:rPr>
              <w:t xml:space="preserve">Behavioral &amp; Human Systems (S.E.T.H.S) — government contracts, SaaS, certification, data</w:t>
            </w:r>
          </w:p>
        </w:tc>
      </w:tr>
      <w:tr>
        <w:tc>
          <w:tcPr>
            <w:tcW w:type="dxa" w:w="2600"/>
            <w:tcBorders>
              <w:top w:val="single" w:color="CCCCBB" w:sz="1" w:space="0"/>
              <w:left w:val="single" w:color="CCCCBB" w:sz="1" w:space="0"/>
              <w:bottom w:val="single" w:color="CCCCBB" w:sz="1" w:space="0"/>
              <w:right w:val="single" w:color="CCCCBB" w:sz="1" w:space="0"/>
            </w:tcBorders>
            <w:shd w:fill="F5F2EA" w:val="clear"/>
            <w:tcMar>
              <w:top w:type="dxa" w:w="80"/>
              <w:left w:type="dxa" w:w="160"/>
              <w:bottom w:type="dxa" w:w="80"/>
              <w:right w:type="dxa" w:w="160"/>
            </w:tcMar>
          </w:tcPr>
          <w:p>
            <w:r>
              <w:rPr>
                <w:rFonts w:ascii="Calibri" w:cs="Calibri" w:eastAsia="Calibri" w:hAnsi="Calibri"/>
                <w:b/>
                <w:bCs/>
                <w:color w:val="0C2340"/>
                <w:sz w:val="22"/>
                <w:szCs w:val="22"/>
              </w:rPr>
              <w:t xml:space="preserve">Division 2</w:t>
            </w:r>
          </w:p>
        </w:tc>
        <w:tc>
          <w:tcPr>
            <w:tcW w:type="dxa" w:w="6400"/>
            <w:tcBorders>
              <w:top w:val="single" w:color="CCCCBB" w:sz="1" w:space="0"/>
              <w:left w:val="single" w:color="CCCCBB" w:sz="1" w:space="0"/>
              <w:bottom w:val="single" w:color="CCCCBB" w:sz="1" w:space="0"/>
              <w:right w:val="single" w:color="CCCCBB" w:sz="1" w:space="0"/>
            </w:tcBorders>
            <w:shd w:fill="FAFAF5" w:val="clear"/>
            <w:tcMar>
              <w:top w:type="dxa" w:w="80"/>
              <w:left w:type="dxa" w:w="160"/>
              <w:bottom w:type="dxa" w:w="80"/>
              <w:right w:type="dxa" w:w="160"/>
            </w:tcMar>
          </w:tcPr>
          <w:p>
            <w:r>
              <w:rPr>
                <w:rFonts w:ascii="Calibri" w:cs="Calibri" w:eastAsia="Calibri" w:hAnsi="Calibri"/>
                <w:color w:val="1E1E2E"/>
                <w:sz w:val="22"/>
                <w:szCs w:val="22"/>
              </w:rPr>
              <w:t xml:space="preserve">AI &amp; UDOC Systems — enterprise SaaS, national digital backbone, quantum architecture</w:t>
            </w:r>
          </w:p>
        </w:tc>
      </w:tr>
      <w:tr>
        <w:tc>
          <w:tcPr>
            <w:tcW w:type="dxa" w:w="2600"/>
            <w:tcBorders>
              <w:top w:val="single" w:color="CCCCBB" w:sz="1" w:space="0"/>
              <w:left w:val="single" w:color="CCCCBB" w:sz="1" w:space="0"/>
              <w:bottom w:val="single" w:color="CCCCBB" w:sz="1" w:space="0"/>
              <w:right w:val="single" w:color="CCCCBB" w:sz="1" w:space="0"/>
            </w:tcBorders>
            <w:shd w:fill="EDE8D8" w:val="clear"/>
            <w:tcMar>
              <w:top w:type="dxa" w:w="80"/>
              <w:left w:type="dxa" w:w="160"/>
              <w:bottom w:type="dxa" w:w="80"/>
              <w:right w:type="dxa" w:w="160"/>
            </w:tcMar>
          </w:tcPr>
          <w:p>
            <w:r>
              <w:rPr>
                <w:rFonts w:ascii="Calibri" w:cs="Calibri" w:eastAsia="Calibri" w:hAnsi="Calibri"/>
                <w:b/>
                <w:bCs/>
                <w:color w:val="0C2340"/>
                <w:sz w:val="22"/>
                <w:szCs w:val="22"/>
              </w:rPr>
              <w:t xml:space="preserve">Division 3</w:t>
            </w:r>
          </w:p>
        </w:tc>
        <w:tc>
          <w:tcPr>
            <w:tcW w:type="dxa" w:w="6400"/>
            <w:tcBorders>
              <w:top w:val="single" w:color="CCCCBB" w:sz="1" w:space="0"/>
              <w:left w:val="single" w:color="CCCCBB" w:sz="1" w:space="0"/>
              <w:bottom w:val="single" w:color="CCCCBB" w:sz="1" w:space="0"/>
              <w:right w:val="single" w:color="CCCCBB" w:sz="1" w:space="0"/>
            </w:tcBorders>
            <w:shd w:fill="FFFFFF" w:val="clear"/>
            <w:tcMar>
              <w:top w:type="dxa" w:w="80"/>
              <w:left w:type="dxa" w:w="160"/>
              <w:bottom w:type="dxa" w:w="80"/>
              <w:right w:type="dxa" w:w="160"/>
            </w:tcMar>
          </w:tcPr>
          <w:p>
            <w:r>
              <w:rPr>
                <w:rFonts w:ascii="Calibri" w:cs="Calibri" w:eastAsia="Calibri" w:hAnsi="Calibri"/>
                <w:color w:val="1E1E2E"/>
                <w:sz w:val="22"/>
                <w:szCs w:val="22"/>
              </w:rPr>
              <w:t xml:space="preserve">Media &amp; Narrative Infrastructure — documentary, education, speaking, digital courses</w:t>
            </w:r>
          </w:p>
        </w:tc>
      </w:tr>
      <w:tr>
        <w:tc>
          <w:tcPr>
            <w:tcW w:type="dxa" w:w="2600"/>
            <w:tcBorders>
              <w:top w:val="single" w:color="CCCCBB" w:sz="1" w:space="0"/>
              <w:left w:val="single" w:color="CCCCBB" w:sz="1" w:space="0"/>
              <w:bottom w:val="single" w:color="CCCCBB" w:sz="1" w:space="0"/>
              <w:right w:val="single" w:color="CCCCBB" w:sz="1" w:space="0"/>
            </w:tcBorders>
            <w:shd w:fill="F5F2EA" w:val="clear"/>
            <w:tcMar>
              <w:top w:type="dxa" w:w="80"/>
              <w:left w:type="dxa" w:w="160"/>
              <w:bottom w:type="dxa" w:w="80"/>
              <w:right w:type="dxa" w:w="160"/>
            </w:tcMar>
          </w:tcPr>
          <w:p>
            <w:r>
              <w:rPr>
                <w:rFonts w:ascii="Calibri" w:cs="Calibri" w:eastAsia="Calibri" w:hAnsi="Calibri"/>
                <w:b/>
                <w:bCs/>
                <w:color w:val="0C2340"/>
                <w:sz w:val="22"/>
                <w:szCs w:val="22"/>
              </w:rPr>
              <w:t xml:space="preserve">Division 4</w:t>
            </w:r>
          </w:p>
        </w:tc>
        <w:tc>
          <w:tcPr>
            <w:tcW w:type="dxa" w:w="6400"/>
            <w:tcBorders>
              <w:top w:val="single" w:color="CCCCBB" w:sz="1" w:space="0"/>
              <w:left w:val="single" w:color="CCCCBB" w:sz="1" w:space="0"/>
              <w:bottom w:val="single" w:color="CCCCBB" w:sz="1" w:space="0"/>
              <w:right w:val="single" w:color="CCCCBB" w:sz="1" w:space="0"/>
            </w:tcBorders>
            <w:shd w:fill="FAFAF5" w:val="clear"/>
            <w:tcMar>
              <w:top w:type="dxa" w:w="80"/>
              <w:left w:type="dxa" w:w="160"/>
              <w:bottom w:type="dxa" w:w="80"/>
              <w:right w:type="dxa" w:w="160"/>
            </w:tcMar>
          </w:tcPr>
          <w:p>
            <w:r>
              <w:rPr>
                <w:rFonts w:ascii="Calibri" w:cs="Calibri" w:eastAsia="Calibri" w:hAnsi="Calibri"/>
                <w:color w:val="1E1E2E"/>
                <w:sz w:val="22"/>
                <w:szCs w:val="22"/>
              </w:rPr>
              <w:t xml:space="preserve">Startup Incubation &amp; Absorption — equity acquisition, IP co-development, channel access</w:t>
            </w:r>
          </w:p>
        </w:tc>
      </w:tr>
      <w:tr>
        <w:tc>
          <w:tcPr>
            <w:tcW w:type="dxa" w:w="2600"/>
            <w:tcBorders>
              <w:top w:val="single" w:color="CCCCBB" w:sz="1" w:space="0"/>
              <w:left w:val="single" w:color="CCCCBB" w:sz="1" w:space="0"/>
              <w:bottom w:val="single" w:color="CCCCBB" w:sz="1" w:space="0"/>
              <w:right w:val="single" w:color="CCCCBB" w:sz="1" w:space="0"/>
            </w:tcBorders>
            <w:shd w:fill="EDE8D8" w:val="clear"/>
            <w:tcMar>
              <w:top w:type="dxa" w:w="80"/>
              <w:left w:type="dxa" w:w="160"/>
              <w:bottom w:type="dxa" w:w="80"/>
              <w:right w:type="dxa" w:w="160"/>
            </w:tcMar>
          </w:tcPr>
          <w:p>
            <w:r>
              <w:rPr>
                <w:rFonts w:ascii="Calibri" w:cs="Calibri" w:eastAsia="Calibri" w:hAnsi="Calibri"/>
                <w:b/>
                <w:bCs/>
                <w:color w:val="0C2340"/>
                <w:sz w:val="22"/>
                <w:szCs w:val="22"/>
              </w:rPr>
              <w:t xml:space="preserve">Division 5</w:t>
            </w:r>
          </w:p>
        </w:tc>
        <w:tc>
          <w:tcPr>
            <w:tcW w:type="dxa" w:w="6400"/>
            <w:tcBorders>
              <w:top w:val="single" w:color="CCCCBB" w:sz="1" w:space="0"/>
              <w:left w:val="single" w:color="CCCCBB" w:sz="1" w:space="0"/>
              <w:bottom w:val="single" w:color="CCCCBB" w:sz="1" w:space="0"/>
              <w:right w:val="single" w:color="CCCCBB" w:sz="1" w:space="0"/>
            </w:tcBorders>
            <w:shd w:fill="FFFFFF" w:val="clear"/>
            <w:tcMar>
              <w:top w:type="dxa" w:w="80"/>
              <w:left w:type="dxa" w:w="160"/>
              <w:bottom w:type="dxa" w:w="80"/>
              <w:right w:type="dxa" w:w="160"/>
            </w:tcMar>
          </w:tcPr>
          <w:p>
            <w:r>
              <w:rPr>
                <w:rFonts w:ascii="Calibri" w:cs="Calibri" w:eastAsia="Calibri" w:hAnsi="Calibri"/>
                <w:color w:val="1E1E2E"/>
                <w:sz w:val="22"/>
                <w:szCs w:val="22"/>
              </w:rPr>
              <w:t xml:space="preserve">Financial Instruments &amp; Structured Capital — impact bonds, infrastructure funds</w:t>
            </w:r>
          </w:p>
        </w:tc>
      </w:tr>
      <w:tr>
        <w:tc>
          <w:tcPr>
            <w:tcW w:type="dxa" w:w="2600"/>
            <w:tcBorders>
              <w:top w:val="single" w:color="CCCCBB" w:sz="1" w:space="0"/>
              <w:left w:val="single" w:color="CCCCBB" w:sz="1" w:space="0"/>
              <w:bottom w:val="single" w:color="CCCCBB" w:sz="1" w:space="0"/>
              <w:right w:val="single" w:color="CCCCBB" w:sz="1" w:space="0"/>
            </w:tcBorders>
            <w:shd w:fill="F5F2EA" w:val="clear"/>
            <w:tcMar>
              <w:top w:type="dxa" w:w="80"/>
              <w:left w:type="dxa" w:w="160"/>
              <w:bottom w:type="dxa" w:w="80"/>
              <w:right w:type="dxa" w:w="160"/>
            </w:tcMar>
          </w:tcPr>
          <w:p>
            <w:r>
              <w:rPr>
                <w:rFonts w:ascii="Calibri" w:cs="Calibri" w:eastAsia="Calibri" w:hAnsi="Calibri"/>
                <w:b/>
                <w:bCs/>
                <w:color w:val="0C2340"/>
                <w:sz w:val="22"/>
                <w:szCs w:val="22"/>
              </w:rPr>
              <w:t xml:space="preserve">Division 6</w:t>
            </w:r>
          </w:p>
        </w:tc>
        <w:tc>
          <w:tcPr>
            <w:tcW w:type="dxa" w:w="6400"/>
            <w:tcBorders>
              <w:top w:val="single" w:color="CCCCBB" w:sz="1" w:space="0"/>
              <w:left w:val="single" w:color="CCCCBB" w:sz="1" w:space="0"/>
              <w:bottom w:val="single" w:color="CCCCBB" w:sz="1" w:space="0"/>
              <w:right w:val="single" w:color="CCCCBB" w:sz="1" w:space="0"/>
            </w:tcBorders>
            <w:shd w:fill="FAFAF5" w:val="clear"/>
            <w:tcMar>
              <w:top w:type="dxa" w:w="80"/>
              <w:left w:type="dxa" w:w="160"/>
              <w:bottom w:type="dxa" w:w="80"/>
              <w:right w:type="dxa" w:w="160"/>
            </w:tcMar>
          </w:tcPr>
          <w:p>
            <w:r>
              <w:rPr>
                <w:rFonts w:ascii="Calibri" w:cs="Calibri" w:eastAsia="Calibri" w:hAnsi="Calibri"/>
                <w:color w:val="1E1E2E"/>
                <w:sz w:val="22"/>
                <w:szCs w:val="22"/>
              </w:rPr>
              <w:t xml:space="preserve">Infrastructure &amp; Digital Sovereignty — national backbone contracts, sovereign data hosting</w:t>
            </w:r>
          </w:p>
        </w:tc>
      </w:tr>
      <w:tr>
        <w:tc>
          <w:tcPr>
            <w:tcW w:type="dxa" w:w="2600"/>
            <w:tcBorders>
              <w:top w:val="single" w:color="CCCCBB" w:sz="1" w:space="0"/>
              <w:left w:val="single" w:color="CCCCBB" w:sz="1" w:space="0"/>
              <w:bottom w:val="single" w:color="CCCCBB" w:sz="1" w:space="0"/>
              <w:right w:val="single" w:color="CCCCBB" w:sz="1" w:space="0"/>
            </w:tcBorders>
            <w:shd w:fill="EDE8D8" w:val="clear"/>
            <w:tcMar>
              <w:top w:type="dxa" w:w="80"/>
              <w:left w:type="dxa" w:w="160"/>
              <w:bottom w:type="dxa" w:w="80"/>
              <w:right w:type="dxa" w:w="160"/>
            </w:tcMar>
          </w:tcPr>
          <w:p>
            <w:r>
              <w:rPr>
                <w:rFonts w:ascii="Calibri" w:cs="Calibri" w:eastAsia="Calibri" w:hAnsi="Calibri"/>
                <w:b/>
                <w:bCs/>
                <w:color w:val="0C2340"/>
                <w:sz w:val="22"/>
                <w:szCs w:val="22"/>
              </w:rPr>
              <w:t xml:space="preserve">Division 7</w:t>
            </w:r>
          </w:p>
        </w:tc>
        <w:tc>
          <w:tcPr>
            <w:tcW w:type="dxa" w:w="6400"/>
            <w:tcBorders>
              <w:top w:val="single" w:color="CCCCBB" w:sz="1" w:space="0"/>
              <w:left w:val="single" w:color="CCCCBB" w:sz="1" w:space="0"/>
              <w:bottom w:val="single" w:color="CCCCBB" w:sz="1" w:space="0"/>
              <w:right w:val="single" w:color="CCCCBB" w:sz="1" w:space="0"/>
            </w:tcBorders>
            <w:shd w:fill="FFFFFF" w:val="clear"/>
            <w:tcMar>
              <w:top w:type="dxa" w:w="80"/>
              <w:left w:type="dxa" w:w="160"/>
              <w:bottom w:type="dxa" w:w="80"/>
              <w:right w:type="dxa" w:w="160"/>
            </w:tcMar>
          </w:tcPr>
          <w:p>
            <w:r>
              <w:rPr>
                <w:rFonts w:ascii="Calibri" w:cs="Calibri" w:eastAsia="Calibri" w:hAnsi="Calibri"/>
                <w:color w:val="1E1E2E"/>
                <w:sz w:val="22"/>
                <w:szCs w:val="22"/>
              </w:rPr>
              <w:t xml:space="preserve">Licensing &amp; Patent Commercialization — methodology licensing, cross-border tech licensing</w:t>
            </w:r>
          </w:p>
        </w:tc>
      </w:tr>
      <w:tr>
        <w:tc>
          <w:tcPr>
            <w:tcW w:type="dxa" w:w="2600"/>
            <w:tcBorders>
              <w:top w:val="single" w:color="CCCCBB" w:sz="1" w:space="0"/>
              <w:left w:val="single" w:color="CCCCBB" w:sz="1" w:space="0"/>
              <w:bottom w:val="single" w:color="CCCCBB" w:sz="1" w:space="0"/>
              <w:right w:val="single" w:color="CCCCBB" w:sz="1" w:space="0"/>
            </w:tcBorders>
            <w:shd w:fill="F5F2EA" w:val="clear"/>
            <w:tcMar>
              <w:top w:type="dxa" w:w="80"/>
              <w:left w:type="dxa" w:w="160"/>
              <w:bottom w:type="dxa" w:w="80"/>
              <w:right w:type="dxa" w:w="160"/>
            </w:tcMar>
          </w:tcPr>
          <w:p>
            <w:r>
              <w:rPr>
                <w:rFonts w:ascii="Calibri" w:cs="Calibri" w:eastAsia="Calibri" w:hAnsi="Calibri"/>
                <w:b/>
                <w:bCs/>
                <w:color w:val="0C2340"/>
                <w:sz w:val="22"/>
                <w:szCs w:val="22"/>
              </w:rPr>
              <w:t xml:space="preserve">Division 8</w:t>
            </w:r>
          </w:p>
        </w:tc>
        <w:tc>
          <w:tcPr>
            <w:tcW w:type="dxa" w:w="6400"/>
            <w:tcBorders>
              <w:top w:val="single" w:color="CCCCBB" w:sz="1" w:space="0"/>
              <w:left w:val="single" w:color="CCCCBB" w:sz="1" w:space="0"/>
              <w:bottom w:val="single" w:color="CCCCBB" w:sz="1" w:space="0"/>
              <w:right w:val="single" w:color="CCCCBB" w:sz="1" w:space="0"/>
            </w:tcBorders>
            <w:shd w:fill="FAFAF5" w:val="clear"/>
            <w:tcMar>
              <w:top w:type="dxa" w:w="80"/>
              <w:left w:type="dxa" w:w="160"/>
              <w:bottom w:type="dxa" w:w="80"/>
              <w:right w:type="dxa" w:w="160"/>
            </w:tcMar>
          </w:tcPr>
          <w:p>
            <w:r>
              <w:rPr>
                <w:rFonts w:ascii="Calibri" w:cs="Calibri" w:eastAsia="Calibri" w:hAnsi="Calibri"/>
                <w:color w:val="1E1E2E"/>
                <w:sz w:val="22"/>
                <w:szCs w:val="22"/>
              </w:rPr>
              <w:t xml:space="preserve">Global Expansion &amp; Strategic Relations — BRICS partnerships, sovereign agreements</w:t>
            </w:r>
          </w:p>
        </w:tc>
      </w:tr>
    </w:tbl>
    <w:p>
      <w:pPr>
        <w:spacing w:before="160" w:after="0"/>
      </w:pPr>
    </w:p>
    <w:p>
      <w:pPr>
        <w:pBdr>
          <w:bottom w:val="single" w:color="C9A84C" w:sz="8" w:space="4"/>
        </w:pBdr>
        <w:spacing w:before="440" w:after="120"/>
      </w:pPr>
      <w:r>
        <w:rPr>
          <w:rFonts w:ascii="Georgia" w:cs="Georgia" w:eastAsia="Georgia" w:hAnsi="Georgia"/>
          <w:b/>
          <w:bCs/>
          <w:color w:val="B8972A"/>
          <w:sz w:val="28"/>
          <w:szCs w:val="28"/>
        </w:rPr>
        <w:t xml:space="preserve">4.2  </w:t>
      </w:r>
      <w:r>
        <w:rPr>
          <w:rFonts w:ascii="Georgia" w:cs="Georgia" w:eastAsia="Georgia" w:hAnsi="Georgia"/>
          <w:b/>
          <w:bCs/>
          <w:color w:val="0C2340"/>
          <w:sz w:val="28"/>
          <w:szCs w:val="28"/>
        </w:rPr>
        <w:t xml:space="preserve">The Public-Private Separation Model</w:t>
      </w:r>
    </w:p>
    <w:p>
      <w:pPr>
        <w:pBdr>
          <w:left w:val="single" w:color="B8972A" w:sz="14" w:space="1"/>
        </w:pBdr>
        <w:shd w:fill="FBF7EE" w:val="clear"/>
        <w:spacing w:before="200" w:after="200"/>
        <w:ind w:left="480" w:right="480"/>
        <w:jc w:val="both"/>
      </w:pPr>
      <w:r>
        <w:rPr>
          <w:rFonts w:ascii="Georgia" w:cs="Georgia" w:eastAsia="Georgia" w:hAnsi="Georgia"/>
          <w:i/>
          <w:iCs/>
          <w:color w:val="1E1E2E"/>
          <w:sz w:val="22"/>
          <w:szCs w:val="22"/>
        </w:rPr>
        <w:t xml:space="preserve">This separation is not optional architecture. Without it, G.O.D.S does not survive scrutiny from Treasury, institutional investors, or regulatory bodies. The separation is what makes both sides function.</w:t>
      </w:r>
    </w:p>
    <w:p>
      <w:pPr>
        <w:spacing w:before="80" w:after="80"/>
        <w:jc w:val="both"/>
      </w:pPr>
      <w:r>
        <w:rPr>
          <w:rFonts w:ascii="Calibri" w:cs="Calibri" w:eastAsia="Calibri" w:hAnsi="Calibri"/>
          <w:color w:val="1E1E2E"/>
          <w:sz w:val="22"/>
          <w:szCs w:val="22"/>
        </w:rPr>
        <w:t xml:space="preserve">G.O.D.S TS Holdings operates as the private commercial entity: capital raising, venture funding, IP ownership, startup acquisition, data monetization, and media revenue. It operates under normal corporate governance and investor reporting requirements.</w:t>
      </w:r>
    </w:p>
    <w:p>
      <w:pPr>
        <w:spacing w:before="80" w:after="80"/>
        <w:jc w:val="both"/>
      </w:pPr>
      <w:r>
        <w:rPr>
          <w:rFonts w:ascii="Calibri" w:cs="Calibri" w:eastAsia="Calibri" w:hAnsi="Calibri"/>
          <w:color w:val="1E1E2E"/>
          <w:sz w:val="22"/>
          <w:szCs w:val="22"/>
        </w:rPr>
        <w:t xml:space="preserve">Public-sector integration operates through dedicated SPV and partnership structures that are legally and operationally separate from the private commercial entities. Government programs, national transparency systems, and public-sector compliance tools are delivered through these dedicated structures with independent auditing, sovereign control provisions, and transparent procurement frameworks. Revenue, personnel, and information are separated between the two sides with documented transfer mechanisms subject to independent audit.</w:t>
      </w:r>
    </w:p>
    <w:p>
      <w:pPr>
        <w:spacing w:before="160" w:after="0"/>
      </w:pPr>
    </w:p>
    <w:p>
      <w:pPr>
        <w:pBdr>
          <w:bottom w:val="single" w:color="C9A84C" w:sz="8" w:space="4"/>
        </w:pBdr>
        <w:spacing w:before="440" w:after="120"/>
      </w:pPr>
      <w:r>
        <w:rPr>
          <w:rFonts w:ascii="Georgia" w:cs="Georgia" w:eastAsia="Georgia" w:hAnsi="Georgia"/>
          <w:b/>
          <w:bCs/>
          <w:color w:val="B8972A"/>
          <w:sz w:val="28"/>
          <w:szCs w:val="28"/>
        </w:rPr>
        <w:t xml:space="preserve">4.3  </w:t>
      </w:r>
      <w:r>
        <w:rPr>
          <w:rFonts w:ascii="Georgia" w:cs="Georgia" w:eastAsia="Georgia" w:hAnsi="Georgia"/>
          <w:b/>
          <w:bCs/>
          <w:color w:val="0C2340"/>
          <w:sz w:val="28"/>
          <w:szCs w:val="28"/>
        </w:rPr>
        <w:t xml:space="preserve">Capital Structure &amp; Fundraising Strategy</w:t>
      </w:r>
    </w:p>
    <w:p>
      <w:pPr>
        <w:spacing w:before="280" w:after="80"/>
      </w:pPr>
      <w:r>
        <w:rPr>
          <w:rFonts w:ascii="Georgia" w:cs="Georgia" w:eastAsia="Georgia" w:hAnsi="Georgia"/>
          <w:b/>
          <w:bCs/>
          <w:color w:val="0C2340"/>
          <w:sz w:val="24"/>
          <w:szCs w:val="24"/>
        </w:rPr>
        <w:t xml:space="preserve">Phase 1 — Seed Capital: R25M – R75M</w:t>
      </w:r>
    </w:p>
    <w:p>
      <w:pPr>
        <w:spacing w:before="80" w:after="80"/>
        <w:jc w:val="both"/>
      </w:pPr>
      <w:r>
        <w:rPr>
          <w:rFonts w:ascii="Calibri" w:cs="Calibri" w:eastAsia="Calibri" w:hAnsi="Calibri"/>
          <w:color w:val="1E1E2E"/>
          <w:sz w:val="22"/>
          <w:szCs w:val="22"/>
        </w:rPr>
        <w:t xml:space="preserve">Funds institutional foundation, S.E.T.H.S pilot SDU, UDOC MVP development, and founding team. Sourced from aligned angel investors, impact capital funds, and South African development finance instruments (SEDA, dtic). Maximum equity offered: 15% of G.O.D.S TS Holdings as preference shares with defined conversion provisions.</w:t>
      </w:r>
    </w:p>
    <w:p>
      <w:pPr>
        <w:spacing w:before="280" w:after="80"/>
      </w:pPr>
      <w:r>
        <w:rPr>
          <w:rFonts w:ascii="Georgia" w:cs="Georgia" w:eastAsia="Georgia" w:hAnsi="Georgia"/>
          <w:b/>
          <w:bCs/>
          <w:color w:val="0C2340"/>
          <w:sz w:val="24"/>
          <w:szCs w:val="24"/>
        </w:rPr>
        <w:t xml:space="preserve">Phase 2 — Series A: R50M – R500M</w:t>
      </w:r>
    </w:p>
    <w:p>
      <w:pPr>
        <w:spacing w:before="80" w:after="80"/>
        <w:jc w:val="both"/>
      </w:pPr>
      <w:r>
        <w:rPr>
          <w:rFonts w:ascii="Calibri" w:cs="Calibri" w:eastAsia="Calibri" w:hAnsi="Calibri"/>
          <w:color w:val="1E1E2E"/>
          <w:sz w:val="22"/>
          <w:szCs w:val="22"/>
        </w:rPr>
        <w:t xml:space="preserve">Triggered by documented Phase 1 proof: minimum 100 S.E.T.H.S placements with 12-month retention data; UDOC MVP with three or more paying enterprise clients; government letter of intent for first digital backbone contract; audited financial statements. Maximum equity offered: 20% of G.O.D.S TS Holdings. Board observer rights are offered; voting control is not. Funds S.E.T.H.S expansion to five SDUs across three provinces, full UDOC platform build, and M.A.D.I.B.A first fund close.</w:t>
      </w:r>
    </w:p>
    <w:p>
      <w:pPr>
        <w:spacing w:before="280" w:after="80"/>
      </w:pPr>
      <w:r>
        <w:rPr>
          <w:rFonts w:ascii="Georgia" w:cs="Georgia" w:eastAsia="Georgia" w:hAnsi="Georgia"/>
          <w:b/>
          <w:bCs/>
          <w:color w:val="0C2340"/>
          <w:sz w:val="24"/>
          <w:szCs w:val="24"/>
        </w:rPr>
        <w:t xml:space="preserve">Phase 3 — Government Infrastructure Loan: R5B – R15B</w:t>
      </w:r>
    </w:p>
    <w:p>
      <w:pPr>
        <w:spacing w:before="80" w:after="80"/>
        <w:jc w:val="both"/>
      </w:pPr>
      <w:r>
        <w:rPr>
          <w:rFonts w:ascii="Calibri" w:cs="Calibri" w:eastAsia="Calibri" w:hAnsi="Calibri"/>
          <w:color w:val="1E1E2E"/>
          <w:sz w:val="22"/>
          <w:szCs w:val="22"/>
        </w:rPr>
        <w:t xml:space="preserve">Structured infrastructure loan to the National Digital Infrastructure SPV — not equity in G.O.D.S Holdings. SPV structure: minimum 51% Government / maximum 49% G.O.D.S TS Holdings. Revenue-backed repayment from platform revenue streams; not from the sovereign fiscus. Break-even: Year 5 (conservative) / Year 3 (accelerated). Full constitutional compliance documentation is included with every government submission. Full SPV architecture is in Annexure I.</w:t>
      </w:r>
    </w:p>
    <w:p>
      <w:pPr>
        <w:spacing w:before="160" w:after="0"/>
      </w:pPr>
    </w:p>
    <w:p>
      <w:pPr>
        <w:pBdr>
          <w:bottom w:val="single" w:color="C9A84C" w:sz="8" w:space="4"/>
        </w:pBdr>
        <w:spacing w:before="440" w:after="120"/>
      </w:pPr>
      <w:r>
        <w:rPr>
          <w:rFonts w:ascii="Georgia" w:cs="Georgia" w:eastAsia="Georgia" w:hAnsi="Georgia"/>
          <w:b/>
          <w:bCs/>
          <w:color w:val="B8972A"/>
          <w:sz w:val="28"/>
          <w:szCs w:val="28"/>
        </w:rPr>
        <w:t xml:space="preserve">4.4  </w:t>
      </w:r>
      <w:r>
        <w:rPr>
          <w:rFonts w:ascii="Georgia" w:cs="Georgia" w:eastAsia="Georgia" w:hAnsi="Georgia"/>
          <w:b/>
          <w:bCs/>
          <w:color w:val="0C2340"/>
          <w:sz w:val="28"/>
          <w:szCs w:val="28"/>
        </w:rPr>
        <w:t xml:space="preserve">Financial Projections — Overview</w:t>
      </w:r>
    </w:p>
    <w:p>
      <w:pPr>
        <w:spacing w:before="140" w:after="160"/>
        <w:jc w:val="both"/>
      </w:pPr>
      <w:r>
        <w:rPr>
          <w:rFonts w:ascii="Georgia" w:cs="Georgia" w:eastAsia="Georgia" w:hAnsi="Georgia"/>
          <w:i/>
          <w:iCs/>
          <w:color w:val="5A5A72"/>
          <w:sz w:val="24"/>
          <w:szCs w:val="24"/>
        </w:rPr>
        <w:t xml:space="preserve">All figures in South African Rand (millions). Conservative scenario. Full detail and scenario modeling in Annexure F.</w:t>
      </w:r>
    </w:p>
    <w:p>
      <w:pPr>
        <w:spacing w:before="80" w:after="0"/>
      </w:pP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2000"/>
        <w:gridCol w:w="1400"/>
        <w:gridCol w:w="1400"/>
        <w:gridCol w:w="1400"/>
        <w:gridCol w:w="1400"/>
        <w:gridCol w:w="1400"/>
      </w:tblGrid>
      <w:tr>
        <w:trPr>
          <w:tblHeader/>
        </w:trPr>
        <w:tc>
          <w:tcPr>
            <w:tcW w:type="dxa" w:w="2000"/>
            <w:tcBorders>
              <w:top w:val="single" w:color="CCCCBB" w:sz="1" w:space="0"/>
              <w:left w:val="single" w:color="CCCCBB" w:sz="1" w:space="0"/>
              <w:bottom w:val="single" w:color="CCCCBB" w:sz="1" w:space="0"/>
              <w:right w:val="single" w:color="CCCCBB" w:sz="1" w:space="0"/>
            </w:tcBorders>
            <w:shd w:fill="0C2340" w:val="clear"/>
            <w:tcMar>
              <w:top w:type="dxa" w:w="80"/>
              <w:left w:type="dxa" w:w="120"/>
              <w:bottom w:type="dxa" w:w="80"/>
              <w:right w:type="dxa" w:w="120"/>
            </w:tcMar>
          </w:tcPr>
          <w:p>
            <w:pPr>
              <w:jc w:val="left"/>
            </w:pPr>
            <w:r>
              <w:rPr>
                <w:rFonts w:ascii="Calibri" w:cs="Calibri" w:eastAsia="Calibri" w:hAnsi="Calibri"/>
                <w:b/>
                <w:bCs/>
                <w:color w:val="FFFFFF"/>
                <w:sz w:val="20"/>
                <w:szCs w:val="20"/>
              </w:rPr>
              <w:t xml:space="preserve">Division</w:t>
            </w:r>
          </w:p>
        </w:tc>
        <w:tc>
          <w:tcPr>
            <w:tcW w:type="dxa" w:w="1400"/>
            <w:tcBorders>
              <w:top w:val="single" w:color="CCCCBB" w:sz="1" w:space="0"/>
              <w:left w:val="single" w:color="CCCCBB" w:sz="1" w:space="0"/>
              <w:bottom w:val="single" w:color="CCCCBB" w:sz="1" w:space="0"/>
              <w:right w:val="single" w:color="CCCCBB" w:sz="1" w:space="0"/>
            </w:tcBorders>
            <w:shd w:fill="0C2340" w:val="clear"/>
            <w:tcMar>
              <w:top w:type="dxa" w:w="80"/>
              <w:left w:type="dxa" w:w="120"/>
              <w:bottom w:type="dxa" w:w="80"/>
              <w:right w:type="dxa" w:w="120"/>
            </w:tcMar>
          </w:tcPr>
          <w:p>
            <w:pPr>
              <w:jc w:val="left"/>
            </w:pPr>
            <w:r>
              <w:rPr>
                <w:rFonts w:ascii="Calibri" w:cs="Calibri" w:eastAsia="Calibri" w:hAnsi="Calibri"/>
                <w:b/>
                <w:bCs/>
                <w:color w:val="FFFFFF"/>
                <w:sz w:val="20"/>
                <w:szCs w:val="20"/>
              </w:rPr>
              <w:t xml:space="preserve">Year 1</w:t>
            </w:r>
          </w:p>
        </w:tc>
        <w:tc>
          <w:tcPr>
            <w:tcW w:type="dxa" w:w="1400"/>
            <w:tcBorders>
              <w:top w:val="single" w:color="CCCCBB" w:sz="1" w:space="0"/>
              <w:left w:val="single" w:color="CCCCBB" w:sz="1" w:space="0"/>
              <w:bottom w:val="single" w:color="CCCCBB" w:sz="1" w:space="0"/>
              <w:right w:val="single" w:color="CCCCBB" w:sz="1" w:space="0"/>
            </w:tcBorders>
            <w:shd w:fill="0C2340" w:val="clear"/>
            <w:tcMar>
              <w:top w:type="dxa" w:w="80"/>
              <w:left w:type="dxa" w:w="120"/>
              <w:bottom w:type="dxa" w:w="80"/>
              <w:right w:type="dxa" w:w="120"/>
            </w:tcMar>
          </w:tcPr>
          <w:p>
            <w:pPr>
              <w:jc w:val="left"/>
            </w:pPr>
            <w:r>
              <w:rPr>
                <w:rFonts w:ascii="Calibri" w:cs="Calibri" w:eastAsia="Calibri" w:hAnsi="Calibri"/>
                <w:b/>
                <w:bCs/>
                <w:color w:val="FFFFFF"/>
                <w:sz w:val="20"/>
                <w:szCs w:val="20"/>
              </w:rPr>
              <w:t xml:space="preserve">Year 2</w:t>
            </w:r>
          </w:p>
        </w:tc>
        <w:tc>
          <w:tcPr>
            <w:tcW w:type="dxa" w:w="1400"/>
            <w:tcBorders>
              <w:top w:val="single" w:color="CCCCBB" w:sz="1" w:space="0"/>
              <w:left w:val="single" w:color="CCCCBB" w:sz="1" w:space="0"/>
              <w:bottom w:val="single" w:color="CCCCBB" w:sz="1" w:space="0"/>
              <w:right w:val="single" w:color="CCCCBB" w:sz="1" w:space="0"/>
            </w:tcBorders>
            <w:shd w:fill="0C2340" w:val="clear"/>
            <w:tcMar>
              <w:top w:type="dxa" w:w="80"/>
              <w:left w:type="dxa" w:w="120"/>
              <w:bottom w:type="dxa" w:w="80"/>
              <w:right w:type="dxa" w:w="120"/>
            </w:tcMar>
          </w:tcPr>
          <w:p>
            <w:pPr>
              <w:jc w:val="left"/>
            </w:pPr>
            <w:r>
              <w:rPr>
                <w:rFonts w:ascii="Calibri" w:cs="Calibri" w:eastAsia="Calibri" w:hAnsi="Calibri"/>
                <w:b/>
                <w:bCs/>
                <w:color w:val="FFFFFF"/>
                <w:sz w:val="20"/>
                <w:szCs w:val="20"/>
              </w:rPr>
              <w:t xml:space="preserve">Year 3</w:t>
            </w:r>
          </w:p>
        </w:tc>
        <w:tc>
          <w:tcPr>
            <w:tcW w:type="dxa" w:w="1400"/>
            <w:tcBorders>
              <w:top w:val="single" w:color="CCCCBB" w:sz="1" w:space="0"/>
              <w:left w:val="single" w:color="CCCCBB" w:sz="1" w:space="0"/>
              <w:bottom w:val="single" w:color="CCCCBB" w:sz="1" w:space="0"/>
              <w:right w:val="single" w:color="CCCCBB" w:sz="1" w:space="0"/>
            </w:tcBorders>
            <w:shd w:fill="0C2340" w:val="clear"/>
            <w:tcMar>
              <w:top w:type="dxa" w:w="80"/>
              <w:left w:type="dxa" w:w="120"/>
              <w:bottom w:type="dxa" w:w="80"/>
              <w:right w:type="dxa" w:w="120"/>
            </w:tcMar>
          </w:tcPr>
          <w:p>
            <w:pPr>
              <w:jc w:val="left"/>
            </w:pPr>
            <w:r>
              <w:rPr>
                <w:rFonts w:ascii="Calibri" w:cs="Calibri" w:eastAsia="Calibri" w:hAnsi="Calibri"/>
                <w:b/>
                <w:bCs/>
                <w:color w:val="FFFFFF"/>
                <w:sz w:val="20"/>
                <w:szCs w:val="20"/>
              </w:rPr>
              <w:t xml:space="preserve">Year 5</w:t>
            </w:r>
          </w:p>
        </w:tc>
        <w:tc>
          <w:tcPr>
            <w:tcW w:type="dxa" w:w="1400"/>
            <w:tcBorders>
              <w:top w:val="single" w:color="CCCCBB" w:sz="1" w:space="0"/>
              <w:left w:val="single" w:color="CCCCBB" w:sz="1" w:space="0"/>
              <w:bottom w:val="single" w:color="CCCCBB" w:sz="1" w:space="0"/>
              <w:right w:val="single" w:color="CCCCBB" w:sz="1" w:space="0"/>
            </w:tcBorders>
            <w:shd w:fill="0C2340" w:val="clear"/>
            <w:tcMar>
              <w:top w:type="dxa" w:w="80"/>
              <w:left w:type="dxa" w:w="120"/>
              <w:bottom w:type="dxa" w:w="80"/>
              <w:right w:type="dxa" w:w="120"/>
            </w:tcMar>
          </w:tcPr>
          <w:p>
            <w:pPr>
              <w:jc w:val="left"/>
            </w:pPr>
            <w:r>
              <w:rPr>
                <w:rFonts w:ascii="Calibri" w:cs="Calibri" w:eastAsia="Calibri" w:hAnsi="Calibri"/>
                <w:b/>
                <w:bCs/>
                <w:color w:val="FFFFFF"/>
                <w:sz w:val="20"/>
                <w:szCs w:val="20"/>
              </w:rPr>
              <w:t xml:space="preserve">Year 10</w:t>
            </w:r>
          </w:p>
        </w:tc>
      </w:tr>
      <w:tr>
        <w:tc>
          <w:tcPr>
            <w:tcW w:type="dxa" w:w="2000"/>
            <w:tcBorders>
              <w:top w:val="single" w:color="CCCCBB" w:sz="1" w:space="0"/>
              <w:left w:val="single" w:color="CCCCBB" w:sz="1" w:space="0"/>
              <w:bottom w:val="single" w:color="CCCCBB" w:sz="1" w:space="0"/>
              <w:right w:val="single" w:color="CCCCBB" w:sz="1" w:space="0"/>
            </w:tcBorders>
            <w:shd w:fill="F0EDE6" w:val="clear"/>
            <w:tcMar>
              <w:top w:type="dxa" w:w="80"/>
              <w:left w:type="dxa" w:w="120"/>
              <w:bottom w:type="dxa" w:w="80"/>
              <w:right w:type="dxa" w:w="120"/>
            </w:tcMar>
          </w:tcPr>
          <w:p>
            <w:pPr>
              <w:jc w:val="left"/>
            </w:pPr>
            <w:r>
              <w:rPr>
                <w:rFonts w:ascii="Calibri" w:cs="Calibri" w:eastAsia="Calibri" w:hAnsi="Calibri"/>
                <w:b/>
                <w:bCs/>
                <w:color w:val="0C2340"/>
                <w:sz w:val="20"/>
                <w:szCs w:val="20"/>
              </w:rPr>
              <w:t xml:space="preserve">S.E.T.H.S</w:t>
            </w:r>
          </w:p>
        </w:tc>
        <w:tc>
          <w:tcPr>
            <w:tcW w:type="dxa" w:w="140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R2M</w:t>
            </w:r>
          </w:p>
        </w:tc>
        <w:tc>
          <w:tcPr>
            <w:tcW w:type="dxa" w:w="140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R8M</w:t>
            </w:r>
          </w:p>
        </w:tc>
        <w:tc>
          <w:tcPr>
            <w:tcW w:type="dxa" w:w="140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R20M</w:t>
            </w:r>
          </w:p>
        </w:tc>
        <w:tc>
          <w:tcPr>
            <w:tcW w:type="dxa" w:w="140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R60M</w:t>
            </w:r>
          </w:p>
        </w:tc>
        <w:tc>
          <w:tcPr>
            <w:tcW w:type="dxa" w:w="140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R180M</w:t>
            </w:r>
          </w:p>
        </w:tc>
      </w:tr>
      <w:tr>
        <w:tc>
          <w:tcPr>
            <w:tcW w:type="dxa" w:w="2000"/>
            <w:tcBorders>
              <w:top w:val="single" w:color="CCCCBB" w:sz="1" w:space="0"/>
              <w:left w:val="single" w:color="CCCCBB" w:sz="1" w:space="0"/>
              <w:bottom w:val="single" w:color="CCCCBB" w:sz="1" w:space="0"/>
              <w:right w:val="single" w:color="CCCCBB" w:sz="1" w:space="0"/>
            </w:tcBorders>
            <w:shd w:fill="F0EDE6" w:val="clear"/>
            <w:tcMar>
              <w:top w:type="dxa" w:w="80"/>
              <w:left w:type="dxa" w:w="120"/>
              <w:bottom w:type="dxa" w:w="80"/>
              <w:right w:type="dxa" w:w="120"/>
            </w:tcMar>
          </w:tcPr>
          <w:p>
            <w:pPr>
              <w:jc w:val="left"/>
            </w:pPr>
            <w:r>
              <w:rPr>
                <w:rFonts w:ascii="Calibri" w:cs="Calibri" w:eastAsia="Calibri" w:hAnsi="Calibri"/>
                <w:b/>
                <w:bCs/>
                <w:color w:val="0C2340"/>
                <w:sz w:val="20"/>
                <w:szCs w:val="20"/>
              </w:rPr>
              <w:t xml:space="preserve">UDOC Enterprise</w:t>
            </w:r>
          </w:p>
        </w:tc>
        <w:tc>
          <w:tcPr>
            <w:tcW w:type="dxa" w:w="140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R1M</w:t>
            </w:r>
          </w:p>
        </w:tc>
        <w:tc>
          <w:tcPr>
            <w:tcW w:type="dxa" w:w="140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R5M</w:t>
            </w:r>
          </w:p>
        </w:tc>
        <w:tc>
          <w:tcPr>
            <w:tcW w:type="dxa" w:w="140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R20M</w:t>
            </w:r>
          </w:p>
        </w:tc>
        <w:tc>
          <w:tcPr>
            <w:tcW w:type="dxa" w:w="140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R100M</w:t>
            </w:r>
          </w:p>
        </w:tc>
        <w:tc>
          <w:tcPr>
            <w:tcW w:type="dxa" w:w="140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R350M</w:t>
            </w:r>
          </w:p>
        </w:tc>
      </w:tr>
      <w:tr>
        <w:tc>
          <w:tcPr>
            <w:tcW w:type="dxa" w:w="2000"/>
            <w:tcBorders>
              <w:top w:val="single" w:color="CCCCBB" w:sz="1" w:space="0"/>
              <w:left w:val="single" w:color="CCCCBB" w:sz="1" w:space="0"/>
              <w:bottom w:val="single" w:color="CCCCBB" w:sz="1" w:space="0"/>
              <w:right w:val="single" w:color="CCCCBB" w:sz="1" w:space="0"/>
            </w:tcBorders>
            <w:shd w:fill="F0EDE6" w:val="clear"/>
            <w:tcMar>
              <w:top w:type="dxa" w:w="80"/>
              <w:left w:type="dxa" w:w="120"/>
              <w:bottom w:type="dxa" w:w="80"/>
              <w:right w:type="dxa" w:w="120"/>
            </w:tcMar>
          </w:tcPr>
          <w:p>
            <w:pPr>
              <w:jc w:val="left"/>
            </w:pPr>
            <w:r>
              <w:rPr>
                <w:rFonts w:ascii="Calibri" w:cs="Calibri" w:eastAsia="Calibri" w:hAnsi="Calibri"/>
                <w:b/>
                <w:bCs/>
                <w:color w:val="0C2340"/>
                <w:sz w:val="20"/>
                <w:szCs w:val="20"/>
              </w:rPr>
              <w:t xml:space="preserve">Govt Backbone</w:t>
            </w:r>
          </w:p>
        </w:tc>
        <w:tc>
          <w:tcPr>
            <w:tcW w:type="dxa" w:w="140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w:t>
            </w:r>
          </w:p>
        </w:tc>
        <w:tc>
          <w:tcPr>
            <w:tcW w:type="dxa" w:w="140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w:t>
            </w:r>
          </w:p>
        </w:tc>
        <w:tc>
          <w:tcPr>
            <w:tcW w:type="dxa" w:w="140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R50M</w:t>
            </w:r>
          </w:p>
        </w:tc>
        <w:tc>
          <w:tcPr>
            <w:tcW w:type="dxa" w:w="140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R150M</w:t>
            </w:r>
          </w:p>
        </w:tc>
        <w:tc>
          <w:tcPr>
            <w:tcW w:type="dxa" w:w="140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R300M</w:t>
            </w:r>
          </w:p>
        </w:tc>
      </w:tr>
      <w:tr>
        <w:tc>
          <w:tcPr>
            <w:tcW w:type="dxa" w:w="2000"/>
            <w:tcBorders>
              <w:top w:val="single" w:color="CCCCBB" w:sz="1" w:space="0"/>
              <w:left w:val="single" w:color="CCCCBB" w:sz="1" w:space="0"/>
              <w:bottom w:val="single" w:color="CCCCBB" w:sz="1" w:space="0"/>
              <w:right w:val="single" w:color="CCCCBB" w:sz="1" w:space="0"/>
            </w:tcBorders>
            <w:shd w:fill="F0EDE6" w:val="clear"/>
            <w:tcMar>
              <w:top w:type="dxa" w:w="80"/>
              <w:left w:type="dxa" w:w="120"/>
              <w:bottom w:type="dxa" w:w="80"/>
              <w:right w:type="dxa" w:w="120"/>
            </w:tcMar>
          </w:tcPr>
          <w:p>
            <w:pPr>
              <w:jc w:val="left"/>
            </w:pPr>
            <w:r>
              <w:rPr>
                <w:rFonts w:ascii="Calibri" w:cs="Calibri" w:eastAsia="Calibri" w:hAnsi="Calibri"/>
                <w:b/>
                <w:bCs/>
                <w:color w:val="0C2340"/>
                <w:sz w:val="20"/>
                <w:szCs w:val="20"/>
              </w:rPr>
              <w:t xml:space="preserve">Media</w:t>
            </w:r>
          </w:p>
        </w:tc>
        <w:tc>
          <w:tcPr>
            <w:tcW w:type="dxa" w:w="140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R0.5M</w:t>
            </w:r>
          </w:p>
        </w:tc>
        <w:tc>
          <w:tcPr>
            <w:tcW w:type="dxa" w:w="140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R2M</w:t>
            </w:r>
          </w:p>
        </w:tc>
        <w:tc>
          <w:tcPr>
            <w:tcW w:type="dxa" w:w="140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R5M</w:t>
            </w:r>
          </w:p>
        </w:tc>
        <w:tc>
          <w:tcPr>
            <w:tcW w:type="dxa" w:w="140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R15M</w:t>
            </w:r>
          </w:p>
        </w:tc>
        <w:tc>
          <w:tcPr>
            <w:tcW w:type="dxa" w:w="140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R40M</w:t>
            </w:r>
          </w:p>
        </w:tc>
      </w:tr>
      <w:tr>
        <w:tc>
          <w:tcPr>
            <w:tcW w:type="dxa" w:w="2000"/>
            <w:tcBorders>
              <w:top w:val="single" w:color="CCCCBB" w:sz="1" w:space="0"/>
              <w:left w:val="single" w:color="CCCCBB" w:sz="1" w:space="0"/>
              <w:bottom w:val="single" w:color="CCCCBB" w:sz="1" w:space="0"/>
              <w:right w:val="single" w:color="CCCCBB" w:sz="1" w:space="0"/>
            </w:tcBorders>
            <w:shd w:fill="F0EDE6" w:val="clear"/>
            <w:tcMar>
              <w:top w:type="dxa" w:w="80"/>
              <w:left w:type="dxa" w:w="120"/>
              <w:bottom w:type="dxa" w:w="80"/>
              <w:right w:type="dxa" w:w="120"/>
            </w:tcMar>
          </w:tcPr>
          <w:p>
            <w:pPr>
              <w:jc w:val="left"/>
            </w:pPr>
            <w:r>
              <w:rPr>
                <w:rFonts w:ascii="Calibri" w:cs="Calibri" w:eastAsia="Calibri" w:hAnsi="Calibri"/>
                <w:b/>
                <w:bCs/>
                <w:color w:val="0C2340"/>
                <w:sz w:val="20"/>
                <w:szCs w:val="20"/>
              </w:rPr>
              <w:t xml:space="preserve">M.A.D.I.B.A Fees</w:t>
            </w:r>
          </w:p>
        </w:tc>
        <w:tc>
          <w:tcPr>
            <w:tcW w:type="dxa" w:w="140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w:t>
            </w:r>
          </w:p>
        </w:tc>
        <w:tc>
          <w:tcPr>
            <w:tcW w:type="dxa" w:w="140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w:t>
            </w:r>
          </w:p>
        </w:tc>
        <w:tc>
          <w:tcPr>
            <w:tcW w:type="dxa" w:w="140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R3M</w:t>
            </w:r>
          </w:p>
        </w:tc>
        <w:tc>
          <w:tcPr>
            <w:tcW w:type="dxa" w:w="140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R15M</w:t>
            </w:r>
          </w:p>
        </w:tc>
        <w:tc>
          <w:tcPr>
            <w:tcW w:type="dxa" w:w="140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R50M</w:t>
            </w:r>
          </w:p>
        </w:tc>
      </w:tr>
      <w:tr>
        <w:tc>
          <w:tcPr>
            <w:tcW w:type="dxa" w:w="2000"/>
            <w:tcBorders>
              <w:top w:val="single" w:color="CCCCBB" w:sz="1" w:space="0"/>
              <w:left w:val="single" w:color="CCCCBB" w:sz="1" w:space="0"/>
              <w:bottom w:val="single" w:color="CCCCBB" w:sz="1" w:space="0"/>
              <w:right w:val="single" w:color="CCCCBB" w:sz="1" w:space="0"/>
            </w:tcBorders>
            <w:shd w:fill="F0EDE6" w:val="clear"/>
            <w:tcMar>
              <w:top w:type="dxa" w:w="80"/>
              <w:left w:type="dxa" w:w="120"/>
              <w:bottom w:type="dxa" w:w="80"/>
              <w:right w:type="dxa" w:w="120"/>
            </w:tcMar>
          </w:tcPr>
          <w:p>
            <w:pPr>
              <w:jc w:val="left"/>
            </w:pPr>
            <w:r>
              <w:rPr>
                <w:rFonts w:ascii="Calibri" w:cs="Calibri" w:eastAsia="Calibri" w:hAnsi="Calibri"/>
                <w:b/>
                <w:bCs/>
                <w:color w:val="0C2340"/>
                <w:sz w:val="20"/>
                <w:szCs w:val="20"/>
              </w:rPr>
              <w:t xml:space="preserve">T.S</w:t>
            </w:r>
          </w:p>
        </w:tc>
        <w:tc>
          <w:tcPr>
            <w:tcW w:type="dxa" w:w="140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w:t>
            </w:r>
          </w:p>
        </w:tc>
        <w:tc>
          <w:tcPr>
            <w:tcW w:type="dxa" w:w="140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w:t>
            </w:r>
          </w:p>
        </w:tc>
        <w:tc>
          <w:tcPr>
            <w:tcW w:type="dxa" w:w="140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w:t>
            </w:r>
          </w:p>
        </w:tc>
        <w:tc>
          <w:tcPr>
            <w:tcW w:type="dxa" w:w="140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R50M</w:t>
            </w:r>
          </w:p>
        </w:tc>
        <w:tc>
          <w:tcPr>
            <w:tcW w:type="dxa" w:w="140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R180M</w:t>
            </w:r>
          </w:p>
        </w:tc>
      </w:tr>
      <w:tr>
        <w:tc>
          <w:tcPr>
            <w:tcW w:type="dxa" w:w="2000"/>
            <w:tcBorders>
              <w:top w:val="single" w:color="CCCCBB" w:sz="1" w:space="0"/>
              <w:left w:val="single" w:color="CCCCBB" w:sz="1" w:space="0"/>
              <w:bottom w:val="single" w:color="CCCCBB" w:sz="1" w:space="0"/>
              <w:right w:val="single" w:color="CCCCBB" w:sz="1" w:space="0"/>
            </w:tcBorders>
            <w:shd w:fill="F0EDE6" w:val="clear"/>
            <w:tcMar>
              <w:top w:type="dxa" w:w="80"/>
              <w:left w:type="dxa" w:w="120"/>
              <w:bottom w:type="dxa" w:w="80"/>
              <w:right w:type="dxa" w:w="120"/>
            </w:tcMar>
          </w:tcPr>
          <w:p>
            <w:pPr>
              <w:jc w:val="left"/>
            </w:pPr>
            <w:r>
              <w:rPr>
                <w:rFonts w:ascii="Calibri" w:cs="Calibri" w:eastAsia="Calibri" w:hAnsi="Calibri"/>
                <w:b/>
                <w:bCs/>
                <w:color w:val="0C2340"/>
                <w:sz w:val="20"/>
                <w:szCs w:val="20"/>
              </w:rPr>
              <w:t xml:space="preserve">Licensing &amp; IP</w:t>
            </w:r>
          </w:p>
        </w:tc>
        <w:tc>
          <w:tcPr>
            <w:tcW w:type="dxa" w:w="140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w:t>
            </w:r>
          </w:p>
        </w:tc>
        <w:tc>
          <w:tcPr>
            <w:tcW w:type="dxa" w:w="140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w:t>
            </w:r>
          </w:p>
        </w:tc>
        <w:tc>
          <w:tcPr>
            <w:tcW w:type="dxa" w:w="140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w:t>
            </w:r>
          </w:p>
        </w:tc>
        <w:tc>
          <w:tcPr>
            <w:tcW w:type="dxa" w:w="140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R10M</w:t>
            </w:r>
          </w:p>
        </w:tc>
        <w:tc>
          <w:tcPr>
            <w:tcW w:type="dxa" w:w="140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R40M</w:t>
            </w:r>
          </w:p>
        </w:tc>
      </w:tr>
      <w:tr>
        <w:tc>
          <w:tcPr>
            <w:tcW w:type="dxa" w:w="2000"/>
            <w:tcBorders>
              <w:top w:val="single" w:color="CCCCBB" w:sz="1" w:space="0"/>
              <w:left w:val="single" w:color="CCCCBB" w:sz="1" w:space="0"/>
              <w:bottom w:val="single" w:color="CCCCBB" w:sz="1" w:space="0"/>
              <w:right w:val="single" w:color="CCCCBB" w:sz="1" w:space="0"/>
            </w:tcBorders>
            <w:shd w:fill="F0EDE6" w:val="clear"/>
            <w:tcMar>
              <w:top w:type="dxa" w:w="80"/>
              <w:left w:type="dxa" w:w="120"/>
              <w:bottom w:type="dxa" w:w="80"/>
              <w:right w:type="dxa" w:w="120"/>
            </w:tcMar>
          </w:tcPr>
          <w:p>
            <w:pPr>
              <w:jc w:val="left"/>
            </w:pPr>
            <w:r>
              <w:rPr>
                <w:rFonts w:ascii="Calibri" w:cs="Calibri" w:eastAsia="Calibri" w:hAnsi="Calibri"/>
                <w:b/>
                <w:bCs/>
                <w:color w:val="0C2340"/>
                <w:sz w:val="20"/>
                <w:szCs w:val="20"/>
              </w:rPr>
              <w:t xml:space="preserve">TOTAL</w:t>
            </w:r>
          </w:p>
        </w:tc>
        <w:tc>
          <w:tcPr>
            <w:tcW w:type="dxa" w:w="140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R3.5M</w:t>
            </w:r>
          </w:p>
        </w:tc>
        <w:tc>
          <w:tcPr>
            <w:tcW w:type="dxa" w:w="140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R15M</w:t>
            </w:r>
          </w:p>
        </w:tc>
        <w:tc>
          <w:tcPr>
            <w:tcW w:type="dxa" w:w="140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R98M</w:t>
            </w:r>
          </w:p>
        </w:tc>
        <w:tc>
          <w:tcPr>
            <w:tcW w:type="dxa" w:w="140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R400M</w:t>
            </w:r>
          </w:p>
        </w:tc>
        <w:tc>
          <w:tcPr>
            <w:tcW w:type="dxa" w:w="140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R1.14B</w:t>
            </w:r>
          </w:p>
        </w:tc>
      </w:tr>
      <w:tr>
        <w:tc>
          <w:tcPr>
            <w:tcW w:type="dxa" w:w="2000"/>
            <w:tcBorders>
              <w:top w:val="single" w:color="CCCCBB" w:sz="1" w:space="0"/>
              <w:left w:val="single" w:color="CCCCBB" w:sz="1" w:space="0"/>
              <w:bottom w:val="single" w:color="CCCCBB" w:sz="1" w:space="0"/>
              <w:right w:val="single" w:color="CCCCBB" w:sz="1" w:space="0"/>
            </w:tcBorders>
            <w:shd w:fill="F0EDE6" w:val="clear"/>
            <w:tcMar>
              <w:top w:type="dxa" w:w="80"/>
              <w:left w:type="dxa" w:w="120"/>
              <w:bottom w:type="dxa" w:w="80"/>
              <w:right w:type="dxa" w:w="120"/>
            </w:tcMar>
          </w:tcPr>
          <w:p>
            <w:pPr>
              <w:jc w:val="left"/>
            </w:pPr>
            <w:r>
              <w:rPr>
                <w:rFonts w:ascii="Calibri" w:cs="Calibri" w:eastAsia="Calibri" w:hAnsi="Calibri"/>
                <w:b/>
                <w:bCs/>
                <w:color w:val="0C2340"/>
                <w:sz w:val="20"/>
                <w:szCs w:val="20"/>
              </w:rPr>
              <w:t xml:space="preserve">Gross Margin</w:t>
            </w:r>
          </w:p>
        </w:tc>
        <w:tc>
          <w:tcPr>
            <w:tcW w:type="dxa" w:w="140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w:t>
            </w:r>
          </w:p>
        </w:tc>
        <w:tc>
          <w:tcPr>
            <w:tcW w:type="dxa" w:w="140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40%</w:t>
            </w:r>
          </w:p>
        </w:tc>
        <w:tc>
          <w:tcPr>
            <w:tcW w:type="dxa" w:w="140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44%</w:t>
            </w:r>
          </w:p>
        </w:tc>
        <w:tc>
          <w:tcPr>
            <w:tcW w:type="dxa" w:w="140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58%</w:t>
            </w:r>
          </w:p>
        </w:tc>
        <w:tc>
          <w:tcPr>
            <w:tcW w:type="dxa" w:w="140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62%</w:t>
            </w:r>
          </w:p>
        </w:tc>
      </w:tr>
      <w:tr>
        <w:tc>
          <w:tcPr>
            <w:tcW w:type="dxa" w:w="2000"/>
            <w:tcBorders>
              <w:top w:val="single" w:color="CCCCBB" w:sz="1" w:space="0"/>
              <w:left w:val="single" w:color="CCCCBB" w:sz="1" w:space="0"/>
              <w:bottom w:val="single" w:color="CCCCBB" w:sz="1" w:space="0"/>
              <w:right w:val="single" w:color="CCCCBB" w:sz="1" w:space="0"/>
            </w:tcBorders>
            <w:shd w:fill="F0EDE6" w:val="clear"/>
            <w:tcMar>
              <w:top w:type="dxa" w:w="80"/>
              <w:left w:type="dxa" w:w="120"/>
              <w:bottom w:type="dxa" w:w="80"/>
              <w:right w:type="dxa" w:w="120"/>
            </w:tcMar>
          </w:tcPr>
          <w:p>
            <w:pPr>
              <w:jc w:val="left"/>
            </w:pPr>
            <w:r>
              <w:rPr>
                <w:rFonts w:ascii="Calibri" w:cs="Calibri" w:eastAsia="Calibri" w:hAnsi="Calibri"/>
                <w:b/>
                <w:bCs/>
                <w:color w:val="0C2340"/>
                <w:sz w:val="20"/>
                <w:szCs w:val="20"/>
              </w:rPr>
              <w:t xml:space="preserve">EBITDA</w:t>
            </w:r>
          </w:p>
        </w:tc>
        <w:tc>
          <w:tcPr>
            <w:tcW w:type="dxa" w:w="140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w:t>
            </w:r>
          </w:p>
        </w:tc>
        <w:tc>
          <w:tcPr>
            <w:tcW w:type="dxa" w:w="140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w:t>
            </w:r>
          </w:p>
        </w:tc>
        <w:tc>
          <w:tcPr>
            <w:tcW w:type="dxa" w:w="140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13%</w:t>
            </w:r>
          </w:p>
        </w:tc>
        <w:tc>
          <w:tcPr>
            <w:tcW w:type="dxa" w:w="140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30%</w:t>
            </w:r>
          </w:p>
        </w:tc>
        <w:tc>
          <w:tcPr>
            <w:tcW w:type="dxa" w:w="140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33%</w:t>
            </w:r>
          </w:p>
        </w:tc>
      </w:tr>
    </w:tbl>
    <w:p>
      <w:pPr>
        <w:spacing w:before="160" w:after="0"/>
      </w:pPr>
    </w:p>
    <w:p>
      <w:pPr>
        <w:pBdr>
          <w:bottom w:val="single" w:color="C9A84C" w:sz="8" w:space="4"/>
        </w:pBdr>
        <w:spacing w:before="440" w:after="120"/>
      </w:pPr>
      <w:r>
        <w:rPr>
          <w:rFonts w:ascii="Georgia" w:cs="Georgia" w:eastAsia="Georgia" w:hAnsi="Georgia"/>
          <w:b/>
          <w:bCs/>
          <w:color w:val="B8972A"/>
          <w:sz w:val="28"/>
          <w:szCs w:val="28"/>
        </w:rPr>
        <w:t xml:space="preserve">4.5  </w:t>
      </w:r>
      <w:r>
        <w:rPr>
          <w:rFonts w:ascii="Georgia" w:cs="Georgia" w:eastAsia="Georgia" w:hAnsi="Georgia"/>
          <w:b/>
          <w:bCs/>
          <w:color w:val="0C2340"/>
          <w:sz w:val="28"/>
          <w:szCs w:val="28"/>
        </w:rPr>
        <w:t xml:space="preserve">Investor Return Architecture</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2600"/>
        <w:gridCol w:w="6400"/>
      </w:tblGrid>
      <w:tr>
        <w:tc>
          <w:tcPr>
            <w:tcW w:type="dxa" w:w="2600"/>
            <w:tcBorders>
              <w:top w:val="single" w:color="CCCCBB" w:sz="1" w:space="0"/>
              <w:left w:val="single" w:color="CCCCBB" w:sz="1" w:space="0"/>
              <w:bottom w:val="single" w:color="CCCCBB" w:sz="1" w:space="0"/>
              <w:right w:val="single" w:color="CCCCBB" w:sz="1" w:space="0"/>
            </w:tcBorders>
            <w:shd w:fill="EDE8D8" w:val="clear"/>
            <w:tcMar>
              <w:top w:type="dxa" w:w="80"/>
              <w:left w:type="dxa" w:w="160"/>
              <w:bottom w:type="dxa" w:w="80"/>
              <w:right w:type="dxa" w:w="160"/>
            </w:tcMar>
          </w:tcPr>
          <w:p>
            <w:r>
              <w:rPr>
                <w:rFonts w:ascii="Calibri" w:cs="Calibri" w:eastAsia="Calibri" w:hAnsi="Calibri"/>
                <w:b/>
                <w:bCs/>
                <w:color w:val="0C2340"/>
                <w:sz w:val="22"/>
                <w:szCs w:val="22"/>
              </w:rPr>
              <w:t xml:space="preserve">Seed Investors</w:t>
            </w:r>
          </w:p>
        </w:tc>
        <w:tc>
          <w:tcPr>
            <w:tcW w:type="dxa" w:w="6400"/>
            <w:tcBorders>
              <w:top w:val="single" w:color="CCCCBB" w:sz="1" w:space="0"/>
              <w:left w:val="single" w:color="CCCCBB" w:sz="1" w:space="0"/>
              <w:bottom w:val="single" w:color="CCCCBB" w:sz="1" w:space="0"/>
              <w:right w:val="single" w:color="CCCCBB" w:sz="1" w:space="0"/>
            </w:tcBorders>
            <w:shd w:fill="FFFFFF" w:val="clear"/>
            <w:tcMar>
              <w:top w:type="dxa" w:w="80"/>
              <w:left w:type="dxa" w:w="160"/>
              <w:bottom w:type="dxa" w:w="80"/>
              <w:right w:type="dxa" w:w="160"/>
            </w:tcMar>
          </w:tcPr>
          <w:p>
            <w:r>
              <w:rPr>
                <w:rFonts w:ascii="Calibri" w:cs="Calibri" w:eastAsia="Calibri" w:hAnsi="Calibri"/>
                <w:color w:val="1E1E2E"/>
                <w:sz w:val="22"/>
                <w:szCs w:val="22"/>
              </w:rPr>
              <w:t xml:space="preserve">Target IRR 40–60% over 7–10 year horizon via dividend yield and equity appreciation</w:t>
            </w:r>
          </w:p>
        </w:tc>
      </w:tr>
      <w:tr>
        <w:tc>
          <w:tcPr>
            <w:tcW w:type="dxa" w:w="2600"/>
            <w:tcBorders>
              <w:top w:val="single" w:color="CCCCBB" w:sz="1" w:space="0"/>
              <w:left w:val="single" w:color="CCCCBB" w:sz="1" w:space="0"/>
              <w:bottom w:val="single" w:color="CCCCBB" w:sz="1" w:space="0"/>
              <w:right w:val="single" w:color="CCCCBB" w:sz="1" w:space="0"/>
            </w:tcBorders>
            <w:shd w:fill="F5F2EA" w:val="clear"/>
            <w:tcMar>
              <w:top w:type="dxa" w:w="80"/>
              <w:left w:type="dxa" w:w="160"/>
              <w:bottom w:type="dxa" w:w="80"/>
              <w:right w:type="dxa" w:w="160"/>
            </w:tcMar>
          </w:tcPr>
          <w:p>
            <w:r>
              <w:rPr>
                <w:rFonts w:ascii="Calibri" w:cs="Calibri" w:eastAsia="Calibri" w:hAnsi="Calibri"/>
                <w:b/>
                <w:bCs/>
                <w:color w:val="0C2340"/>
                <w:sz w:val="22"/>
                <w:szCs w:val="22"/>
              </w:rPr>
              <w:t xml:space="preserve">Series A Investors</w:t>
            </w:r>
          </w:p>
        </w:tc>
        <w:tc>
          <w:tcPr>
            <w:tcW w:type="dxa" w:w="6400"/>
            <w:tcBorders>
              <w:top w:val="single" w:color="CCCCBB" w:sz="1" w:space="0"/>
              <w:left w:val="single" w:color="CCCCBB" w:sz="1" w:space="0"/>
              <w:bottom w:val="single" w:color="CCCCBB" w:sz="1" w:space="0"/>
              <w:right w:val="single" w:color="CCCCBB" w:sz="1" w:space="0"/>
            </w:tcBorders>
            <w:shd w:fill="FAFAF5" w:val="clear"/>
            <w:tcMar>
              <w:top w:type="dxa" w:w="80"/>
              <w:left w:type="dxa" w:w="160"/>
              <w:bottom w:type="dxa" w:w="80"/>
              <w:right w:type="dxa" w:w="160"/>
            </w:tcMar>
          </w:tcPr>
          <w:p>
            <w:r>
              <w:rPr>
                <w:rFonts w:ascii="Calibri" w:cs="Calibri" w:eastAsia="Calibri" w:hAnsi="Calibri"/>
                <w:color w:val="1E1E2E"/>
                <w:sz w:val="22"/>
                <w:szCs w:val="22"/>
              </w:rPr>
              <w:t xml:space="preserve">Target IRR 25–35% over 5–7 year horizon</w:t>
            </w:r>
          </w:p>
        </w:tc>
      </w:tr>
      <w:tr>
        <w:tc>
          <w:tcPr>
            <w:tcW w:type="dxa" w:w="2600"/>
            <w:tcBorders>
              <w:top w:val="single" w:color="CCCCBB" w:sz="1" w:space="0"/>
              <w:left w:val="single" w:color="CCCCBB" w:sz="1" w:space="0"/>
              <w:bottom w:val="single" w:color="CCCCBB" w:sz="1" w:space="0"/>
              <w:right w:val="single" w:color="CCCCBB" w:sz="1" w:space="0"/>
            </w:tcBorders>
            <w:shd w:fill="EDE8D8" w:val="clear"/>
            <w:tcMar>
              <w:top w:type="dxa" w:w="80"/>
              <w:left w:type="dxa" w:w="160"/>
              <w:bottom w:type="dxa" w:w="80"/>
              <w:right w:type="dxa" w:w="160"/>
            </w:tcMar>
          </w:tcPr>
          <w:p>
            <w:r>
              <w:rPr>
                <w:rFonts w:ascii="Calibri" w:cs="Calibri" w:eastAsia="Calibri" w:hAnsi="Calibri"/>
                <w:b/>
                <w:bCs/>
                <w:color w:val="0C2340"/>
                <w:sz w:val="22"/>
                <w:szCs w:val="22"/>
              </w:rPr>
              <w:t xml:space="preserve">Government SPV</w:t>
            </w:r>
          </w:p>
        </w:tc>
        <w:tc>
          <w:tcPr>
            <w:tcW w:type="dxa" w:w="6400"/>
            <w:tcBorders>
              <w:top w:val="single" w:color="CCCCBB" w:sz="1" w:space="0"/>
              <w:left w:val="single" w:color="CCCCBB" w:sz="1" w:space="0"/>
              <w:bottom w:val="single" w:color="CCCCBB" w:sz="1" w:space="0"/>
              <w:right w:val="single" w:color="CCCCBB" w:sz="1" w:space="0"/>
            </w:tcBorders>
            <w:shd w:fill="FFFFFF" w:val="clear"/>
            <w:tcMar>
              <w:top w:type="dxa" w:w="80"/>
              <w:left w:type="dxa" w:w="160"/>
              <w:bottom w:type="dxa" w:w="80"/>
              <w:right w:type="dxa" w:w="160"/>
            </w:tcMar>
          </w:tcPr>
          <w:p>
            <w:r>
              <w:rPr>
                <w:rFonts w:ascii="Calibri" w:cs="Calibri" w:eastAsia="Calibri" w:hAnsi="Calibri"/>
                <w:color w:val="1E1E2E"/>
                <w:sz w:val="22"/>
                <w:szCs w:val="22"/>
              </w:rPr>
              <w:t xml:space="preserve">8–15% IRR with defined return cap preventing indefinite extraction</w:t>
            </w:r>
          </w:p>
        </w:tc>
      </w:tr>
      <w:tr>
        <w:tc>
          <w:tcPr>
            <w:tcW w:type="dxa" w:w="2600"/>
            <w:tcBorders>
              <w:top w:val="single" w:color="CCCCBB" w:sz="1" w:space="0"/>
              <w:left w:val="single" w:color="CCCCBB" w:sz="1" w:space="0"/>
              <w:bottom w:val="single" w:color="CCCCBB" w:sz="1" w:space="0"/>
              <w:right w:val="single" w:color="CCCCBB" w:sz="1" w:space="0"/>
            </w:tcBorders>
            <w:shd w:fill="F5F2EA" w:val="clear"/>
            <w:tcMar>
              <w:top w:type="dxa" w:w="80"/>
              <w:left w:type="dxa" w:w="160"/>
              <w:bottom w:type="dxa" w:w="80"/>
              <w:right w:type="dxa" w:w="160"/>
            </w:tcMar>
          </w:tcPr>
          <w:p>
            <w:r>
              <w:rPr>
                <w:rFonts w:ascii="Calibri" w:cs="Calibri" w:eastAsia="Calibri" w:hAnsi="Calibri"/>
                <w:b/>
                <w:bCs/>
                <w:color w:val="0C2340"/>
                <w:sz w:val="22"/>
                <w:szCs w:val="22"/>
              </w:rPr>
              <w:t xml:space="preserve">M.A.D.I.B.A LPs</w:t>
            </w:r>
          </w:p>
        </w:tc>
        <w:tc>
          <w:tcPr>
            <w:tcW w:type="dxa" w:w="6400"/>
            <w:tcBorders>
              <w:top w:val="single" w:color="CCCCBB" w:sz="1" w:space="0"/>
              <w:left w:val="single" w:color="CCCCBB" w:sz="1" w:space="0"/>
              <w:bottom w:val="single" w:color="CCCCBB" w:sz="1" w:space="0"/>
              <w:right w:val="single" w:color="CCCCBB" w:sz="1" w:space="0"/>
            </w:tcBorders>
            <w:shd w:fill="FAFAF5" w:val="clear"/>
            <w:tcMar>
              <w:top w:type="dxa" w:w="80"/>
              <w:left w:type="dxa" w:w="160"/>
              <w:bottom w:type="dxa" w:w="80"/>
              <w:right w:type="dxa" w:w="160"/>
            </w:tcMar>
          </w:tcPr>
          <w:p>
            <w:r>
              <w:rPr>
                <w:rFonts w:ascii="Calibri" w:cs="Calibri" w:eastAsia="Calibri" w:hAnsi="Calibri"/>
                <w:color w:val="1E1E2E"/>
                <w:sz w:val="22"/>
                <w:szCs w:val="22"/>
              </w:rPr>
              <w:t xml:space="preserve">2% management fee + 20% carry above 8% hurdle — standard PE economics</w:t>
            </w:r>
          </w:p>
        </w:tc>
      </w:tr>
      <w:tr>
        <w:tc>
          <w:tcPr>
            <w:tcW w:type="dxa" w:w="2600"/>
            <w:tcBorders>
              <w:top w:val="single" w:color="CCCCBB" w:sz="1" w:space="0"/>
              <w:left w:val="single" w:color="CCCCBB" w:sz="1" w:space="0"/>
              <w:bottom w:val="single" w:color="CCCCBB" w:sz="1" w:space="0"/>
              <w:right w:val="single" w:color="CCCCBB" w:sz="1" w:space="0"/>
            </w:tcBorders>
            <w:shd w:fill="EDE8D8" w:val="clear"/>
            <w:tcMar>
              <w:top w:type="dxa" w:w="80"/>
              <w:left w:type="dxa" w:w="160"/>
              <w:bottom w:type="dxa" w:w="80"/>
              <w:right w:type="dxa" w:w="160"/>
            </w:tcMar>
          </w:tcPr>
          <w:p>
            <w:r>
              <w:rPr>
                <w:rFonts w:ascii="Calibri" w:cs="Calibri" w:eastAsia="Calibri" w:hAnsi="Calibri"/>
                <w:b/>
                <w:bCs/>
                <w:color w:val="0C2340"/>
                <w:sz w:val="22"/>
                <w:szCs w:val="22"/>
              </w:rPr>
              <w:t xml:space="preserve">UDOC Valuation</w:t>
            </w:r>
          </w:p>
        </w:tc>
        <w:tc>
          <w:tcPr>
            <w:tcW w:type="dxa" w:w="6400"/>
            <w:tcBorders>
              <w:top w:val="single" w:color="CCCCBB" w:sz="1" w:space="0"/>
              <w:left w:val="single" w:color="CCCCBB" w:sz="1" w:space="0"/>
              <w:bottom w:val="single" w:color="CCCCBB" w:sz="1" w:space="0"/>
              <w:right w:val="single" w:color="CCCCBB" w:sz="1" w:space="0"/>
            </w:tcBorders>
            <w:shd w:fill="FFFFFF" w:val="clear"/>
            <w:tcMar>
              <w:top w:type="dxa" w:w="80"/>
              <w:left w:type="dxa" w:w="160"/>
              <w:bottom w:type="dxa" w:w="80"/>
              <w:right w:type="dxa" w:w="160"/>
            </w:tcMar>
          </w:tcPr>
          <w:p>
            <w:r>
              <w:rPr>
                <w:rFonts w:ascii="Calibri" w:cs="Calibri" w:eastAsia="Calibri" w:hAnsi="Calibri"/>
                <w:color w:val="1E1E2E"/>
                <w:sz w:val="22"/>
                <w:szCs w:val="22"/>
              </w:rPr>
              <w:t xml:space="preserve">8–12× revenue typical for compliance infrastructure SaaS at institutional scale</w:t>
            </w:r>
          </w:p>
        </w:tc>
      </w:tr>
    </w:tbl>
    <w:p>
      <w:pPr>
        <w:spacing w:before="160" w:after="0"/>
      </w:pPr>
    </w:p>
    <w:p>
      <w:pPr>
        <w:pBdr>
          <w:bottom w:val="single" w:color="C9A84C" w:sz="8" w:space="4"/>
        </w:pBdr>
        <w:spacing w:before="440" w:after="120"/>
      </w:pPr>
      <w:r>
        <w:rPr>
          <w:rFonts w:ascii="Georgia" w:cs="Georgia" w:eastAsia="Georgia" w:hAnsi="Georgia"/>
          <w:b/>
          <w:bCs/>
          <w:color w:val="B8972A"/>
          <w:sz w:val="28"/>
          <w:szCs w:val="28"/>
        </w:rPr>
        <w:t xml:space="preserve">4.6  </w:t>
      </w:r>
      <w:r>
        <w:rPr>
          <w:rFonts w:ascii="Georgia" w:cs="Georgia" w:eastAsia="Georgia" w:hAnsi="Georgia"/>
          <w:b/>
          <w:bCs/>
          <w:color w:val="0C2340"/>
          <w:sz w:val="28"/>
          <w:szCs w:val="28"/>
        </w:rPr>
        <w:t xml:space="preserve">Startup Absorption Pipeline</w:t>
      </w:r>
    </w:p>
    <w:p>
      <w:pPr>
        <w:spacing w:before="80" w:after="80"/>
        <w:jc w:val="both"/>
      </w:pPr>
      <w:r>
        <w:rPr>
          <w:rFonts w:ascii="Calibri" w:cs="Calibri" w:eastAsia="Calibri" w:hAnsi="Calibri"/>
          <w:color w:val="1E1E2E"/>
          <w:sz w:val="22"/>
          <w:szCs w:val="22"/>
        </w:rPr>
        <w:t xml:space="preserve">Rather than building all capabilities internally from scratch, G.O.D.S identifies, acquires, and integrates high-value early-stage companies — accessing their innovations while providing the institutional infrastructure and government access they cannot achieve independently.</w:t>
      </w:r>
    </w:p>
    <w:p>
      <w:pPr>
        <w:spacing w:before="80" w:after="80"/>
        <w:jc w:val="both"/>
      </w:pPr>
      <w:r>
        <w:rPr>
          <w:rFonts w:ascii="Calibri" w:cs="Calibri" w:eastAsia="Calibri" w:hAnsi="Calibri"/>
          <w:color w:val="1E1E2E"/>
          <w:sz w:val="22"/>
          <w:szCs w:val="22"/>
        </w:rPr>
        <w:t xml:space="preserve">The six-step absorption process: Identification (strategic alignment screening); Evaluation (due diligence — 30–60 days); Acquisition (convertible instruments in early stages, direct equity where control is required); Integration (UDOC governance overlay, constitutional orientation); Scaling (access to G.O.D.S government relationships and corporate partnerships); Revenue Share (income from channel access where G.O.D.S deploys acquired technology through existing relationships).</w:t>
      </w:r>
    </w:p>
    <w:p>
      <w:pPr>
        <w:spacing w:before="80" w:after="80"/>
        <w:jc w:val="both"/>
      </w:pPr>
      <w:r>
        <w:rPr>
          <w:rFonts w:ascii="Calibri" w:cs="Calibri" w:eastAsia="Calibri" w:hAnsi="Calibri"/>
          <w:color w:val="1E1E2E"/>
          <w:sz w:val="22"/>
          <w:szCs w:val="22"/>
        </w:rPr>
        <w:t xml:space="preserve">The pipeline creates vertical consolidation — an integrated offering that becomes progressively more difficult for any single-domain competitor to replicate. No consulting firm, technology company, or development finance institution can match the combination of AI governance, workforce transition, African infrastructure delivery, sovereign digital backbone, and constitutional governance in a single unified framework.</w:t>
      </w:r>
    </w:p>
    <w:p>
      <w:r>
        <w:br w:type="page"/>
      </w:r>
    </w:p>
    <w:p>
      <w:pPr>
        <w:shd w:fill="0C2340" w:val="clear"/>
        <w:spacing w:before="360" w:after="60"/>
        <w:jc w:val="center"/>
      </w:pPr>
      <w:r>
        <w:rPr>
          <w:rFonts w:ascii="Georgia" w:cs="Georgia" w:eastAsia="Georgia" w:hAnsi="Georgia"/>
          <w:b/>
          <w:bCs/>
          <w:color w:val="B8972A"/>
          <w:sz w:val="26"/>
          <w:szCs w:val="26"/>
        </w:rPr>
        <w:t xml:space="preserve">PART V</w:t>
      </w:r>
    </w:p>
    <w:p>
      <w:pPr>
        <w:shd w:fill="0C2340" w:val="clear"/>
        <w:spacing w:before="0" w:after="0"/>
        <w:jc w:val="center"/>
      </w:pPr>
      <w:r>
        <w:rPr>
          <w:rFonts w:ascii="Georgia" w:cs="Georgia" w:eastAsia="Georgia" w:hAnsi="Georgia"/>
          <w:b/>
          <w:bCs/>
          <w:color w:val="FFFFFF"/>
          <w:sz w:val="48"/>
          <w:szCs w:val="48"/>
        </w:rPr>
        <w:t xml:space="preserve">THE FUTURE</w:t>
      </w:r>
    </w:p>
    <w:p>
      <w:pPr>
        <w:shd w:fill="0C2340" w:val="clear"/>
        <w:spacing w:before="0" w:after="360"/>
        <w:jc w:val="center"/>
      </w:pPr>
      <w:r>
        <w:rPr>
          <w:rFonts w:ascii="Calibri" w:cs="Calibri" w:eastAsia="Calibri" w:hAnsi="Calibri"/>
          <w:i/>
          <w:iCs/>
          <w:color w:val="B8972A"/>
          <w:sz w:val="20"/>
          <w:szCs w:val="20"/>
        </w:rPr>
        <w:t xml:space="preserve">The 25-year, 100-year, and 250-year institutional horizon</w:t>
      </w:r>
    </w:p>
    <w:p>
      <w:pPr>
        <w:pBdr>
          <w:bottom w:val="single" w:color="C9A84C" w:sz="8" w:space="4"/>
        </w:pBdr>
        <w:spacing w:before="440" w:after="120"/>
      </w:pPr>
      <w:r>
        <w:rPr>
          <w:rFonts w:ascii="Georgia" w:cs="Georgia" w:eastAsia="Georgia" w:hAnsi="Georgia"/>
          <w:b/>
          <w:bCs/>
          <w:color w:val="B8972A"/>
          <w:sz w:val="28"/>
          <w:szCs w:val="28"/>
        </w:rPr>
        <w:t xml:space="preserve">5.0  </w:t>
      </w:r>
      <w:r>
        <w:rPr>
          <w:rFonts w:ascii="Georgia" w:cs="Georgia" w:eastAsia="Georgia" w:hAnsi="Georgia"/>
          <w:b/>
          <w:bCs/>
          <w:color w:val="0C2340"/>
          <w:sz w:val="28"/>
          <w:szCs w:val="28"/>
        </w:rPr>
        <w:t xml:space="preserve">A Framework for Generations</w:t>
      </w:r>
    </w:p>
    <w:p>
      <w:pPr>
        <w:pBdr>
          <w:left w:val="single" w:color="B8972A" w:sz="14" w:space="1"/>
        </w:pBdr>
        <w:shd w:fill="FBF7EE" w:val="clear"/>
        <w:spacing w:before="200" w:after="200"/>
        <w:ind w:left="480" w:right="480"/>
        <w:jc w:val="both"/>
      </w:pPr>
      <w:r>
        <w:rPr>
          <w:rFonts w:ascii="Georgia" w:cs="Georgia" w:eastAsia="Georgia" w:hAnsi="Georgia"/>
          <w:i/>
          <w:iCs/>
          <w:color w:val="1E1E2E"/>
          <w:sz w:val="22"/>
          <w:szCs w:val="22"/>
        </w:rPr>
        <w:t xml:space="preserve">This is not a plan for a lifetime. It is a framework for generations. Each phase is built on the evidence and institutional credibility generated by the one before it.</w:t>
      </w:r>
    </w:p>
    <w:p>
      <w:pPr>
        <w:spacing w:before="160" w:after="0"/>
      </w:pP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2250"/>
        <w:gridCol w:w="2250"/>
        <w:gridCol w:w="2250"/>
        <w:gridCol w:w="2250"/>
      </w:tblGrid>
      <w:tr>
        <w:tc>
          <w:tcPr>
            <w:tcW w:type="dxa" w:w="2250"/>
            <w:tcBorders>
              <w:top w:val="single" w:color="CCCCBB" w:sz="1" w:space="0"/>
              <w:left w:val="single" w:color="CCCCBB" w:sz="1" w:space="0"/>
              <w:bottom w:val="single" w:color="CCCCBB" w:sz="1" w:space="0"/>
              <w:right w:val="single" w:color="CCCCBB" w:sz="1" w:space="0"/>
            </w:tcBorders>
            <w:shd w:fill="0C2340" w:val="clear"/>
            <w:tcMar>
              <w:top w:type="dxa" w:w="160"/>
              <w:left w:type="dxa" w:w="140"/>
              <w:bottom w:type="dxa" w:w="160"/>
              <w:right w:type="dxa" w:w="140"/>
            </w:tcMar>
          </w:tcPr>
          <w:p>
            <w:pPr>
              <w:jc w:val="center"/>
            </w:pPr>
            <w:r>
              <w:rPr>
                <w:rFonts w:ascii="Calibri" w:cs="Calibri" w:eastAsia="Calibri" w:hAnsi="Calibri"/>
                <w:b/>
                <w:bCs/>
                <w:color w:val="B8972A"/>
                <w:sz w:val="15"/>
                <w:szCs w:val="15"/>
              </w:rPr>
              <w:t xml:space="preserve">0–5 YEARS</w:t>
            </w:r>
          </w:p>
          <w:p>
            <w:pPr>
              <w:spacing w:before="60" w:after="60"/>
              <w:jc w:val="center"/>
            </w:pPr>
            <w:r>
              <w:rPr>
                <w:rFonts w:ascii="Georgia" w:cs="Georgia" w:eastAsia="Georgia" w:hAnsi="Georgia"/>
                <w:b/>
                <w:bCs/>
                <w:color w:val="FFFFFF"/>
                <w:sz w:val="26"/>
                <w:szCs w:val="26"/>
              </w:rPr>
              <w:t xml:space="preserve">Phase One</w:t>
            </w:r>
          </w:p>
          <w:p>
            <w:pPr>
              <w:spacing w:before="0" w:after="80"/>
              <w:jc w:val="center"/>
            </w:pPr>
            <w:r>
              <w:rPr>
                <w:rFonts w:ascii="Calibri" w:cs="Calibri" w:eastAsia="Calibri" w:hAnsi="Calibri"/>
                <w:i/>
                <w:iCs/>
                <w:color w:val="B8972A"/>
                <w:sz w:val="17"/>
                <w:szCs w:val="17"/>
              </w:rPr>
              <w:t xml:space="preserve">Structural Proof</w:t>
            </w:r>
          </w:p>
          <w:p>
            <w:pPr>
              <w:spacing w:before="30" w:after="30"/>
              <w:jc w:val="center"/>
            </w:pPr>
            <w:r>
              <w:rPr>
                <w:rFonts w:ascii="Calibri" w:cs="Calibri" w:eastAsia="Calibri" w:hAnsi="Calibri"/>
                <w:color w:val="FFFFFF"/>
                <w:sz w:val="16"/>
                <w:szCs w:val="16"/>
              </w:rPr>
              <w:t xml:space="preserve">• Governance integrity established</w:t>
            </w:r>
          </w:p>
          <w:p>
            <w:pPr>
              <w:spacing w:before="30" w:after="30"/>
              <w:jc w:val="center"/>
            </w:pPr>
            <w:r>
              <w:rPr>
                <w:rFonts w:ascii="Calibri" w:cs="Calibri" w:eastAsia="Calibri" w:hAnsi="Calibri"/>
                <w:color w:val="FFFFFF"/>
                <w:sz w:val="16"/>
                <w:szCs w:val="16"/>
              </w:rPr>
              <w:t xml:space="preserve">• S.E.T.H.S proof of concept</w:t>
            </w:r>
          </w:p>
          <w:p>
            <w:pPr>
              <w:spacing w:before="30" w:after="30"/>
              <w:jc w:val="center"/>
            </w:pPr>
            <w:r>
              <w:rPr>
                <w:rFonts w:ascii="Calibri" w:cs="Calibri" w:eastAsia="Calibri" w:hAnsi="Calibri"/>
                <w:color w:val="FFFFFF"/>
                <w:sz w:val="16"/>
                <w:szCs w:val="16"/>
              </w:rPr>
              <w:t xml:space="preserve">• UDOC first enterprise contracts</w:t>
            </w:r>
          </w:p>
          <w:p>
            <w:pPr>
              <w:spacing w:before="30" w:after="30"/>
              <w:jc w:val="center"/>
            </w:pPr>
            <w:r>
              <w:rPr>
                <w:rFonts w:ascii="Calibri" w:cs="Calibri" w:eastAsia="Calibri" w:hAnsi="Calibri"/>
                <w:color w:val="FFFFFF"/>
                <w:sz w:val="16"/>
                <w:szCs w:val="16"/>
              </w:rPr>
              <w:t xml:space="preserve">• First government deployment</w:t>
            </w:r>
          </w:p>
          <w:p>
            <w:pPr>
              <w:spacing w:before="30" w:after="30"/>
              <w:jc w:val="center"/>
            </w:pPr>
            <w:r>
              <w:rPr>
                <w:rFonts w:ascii="Calibri" w:cs="Calibri" w:eastAsia="Calibri" w:hAnsi="Calibri"/>
                <w:color w:val="FFFFFF"/>
                <w:sz w:val="16"/>
                <w:szCs w:val="16"/>
              </w:rPr>
              <w:t xml:space="preserve">• Series A capital raise</w:t>
            </w:r>
          </w:p>
          <w:p>
            <w:pPr>
              <w:spacing w:before="30" w:after="30"/>
              <w:jc w:val="center"/>
            </w:pPr>
            <w:r>
              <w:rPr>
                <w:rFonts w:ascii="Calibri" w:cs="Calibri" w:eastAsia="Calibri" w:hAnsi="Calibri"/>
                <w:color w:val="FFFFFF"/>
                <w:sz w:val="16"/>
                <w:szCs w:val="16"/>
              </w:rPr>
              <w:t xml:space="preserve">• Execution prioritized over ambition</w:t>
            </w:r>
          </w:p>
        </w:tc>
        <w:tc>
          <w:tcPr>
            <w:tcW w:type="dxa" w:w="2250"/>
            <w:tcBorders>
              <w:top w:val="single" w:color="CCCCBB" w:sz="1" w:space="0"/>
              <w:left w:val="single" w:color="CCCCBB" w:sz="1" w:space="0"/>
              <w:bottom w:val="single" w:color="CCCCBB" w:sz="1" w:space="0"/>
              <w:right w:val="single" w:color="CCCCBB" w:sz="1" w:space="0"/>
            </w:tcBorders>
            <w:shd w:fill="1A3A6B" w:val="clear"/>
            <w:tcMar>
              <w:top w:type="dxa" w:w="160"/>
              <w:left w:type="dxa" w:w="140"/>
              <w:bottom w:type="dxa" w:w="160"/>
              <w:right w:type="dxa" w:w="140"/>
            </w:tcMar>
          </w:tcPr>
          <w:p>
            <w:pPr>
              <w:jc w:val="center"/>
            </w:pPr>
            <w:r>
              <w:rPr>
                <w:rFonts w:ascii="Calibri" w:cs="Calibri" w:eastAsia="Calibri" w:hAnsi="Calibri"/>
                <w:b/>
                <w:bCs/>
                <w:color w:val="B8972A"/>
                <w:sz w:val="15"/>
                <w:szCs w:val="15"/>
              </w:rPr>
              <w:t xml:space="preserve">5–25 YEARS</w:t>
            </w:r>
          </w:p>
          <w:p>
            <w:pPr>
              <w:spacing w:before="60" w:after="60"/>
              <w:jc w:val="center"/>
            </w:pPr>
            <w:r>
              <w:rPr>
                <w:rFonts w:ascii="Georgia" w:cs="Georgia" w:eastAsia="Georgia" w:hAnsi="Georgia"/>
                <w:b/>
                <w:bCs/>
                <w:color w:val="FFFFFF"/>
                <w:sz w:val="26"/>
                <w:szCs w:val="26"/>
              </w:rPr>
              <w:t xml:space="preserve">Phase Two</w:t>
            </w:r>
          </w:p>
          <w:p>
            <w:pPr>
              <w:spacing w:before="0" w:after="80"/>
              <w:jc w:val="center"/>
            </w:pPr>
            <w:r>
              <w:rPr>
                <w:rFonts w:ascii="Calibri" w:cs="Calibri" w:eastAsia="Calibri" w:hAnsi="Calibri"/>
                <w:i/>
                <w:iCs/>
                <w:color w:val="B8972A"/>
                <w:sz w:val="17"/>
                <w:szCs w:val="17"/>
              </w:rPr>
              <w:t xml:space="preserve">Institutional Milestone</w:t>
            </w:r>
          </w:p>
          <w:p>
            <w:pPr>
              <w:spacing w:before="30" w:after="30"/>
              <w:jc w:val="center"/>
            </w:pPr>
            <w:r>
              <w:rPr>
                <w:rFonts w:ascii="Calibri" w:cs="Calibri" w:eastAsia="Calibri" w:hAnsi="Calibri"/>
                <w:color w:val="FFFFFF"/>
                <w:sz w:val="16"/>
                <w:szCs w:val="16"/>
              </w:rPr>
              <w:t xml:space="preserve">• National S.E.T.H.S rollout</w:t>
            </w:r>
          </w:p>
          <w:p>
            <w:pPr>
              <w:spacing w:before="30" w:after="30"/>
              <w:jc w:val="center"/>
            </w:pPr>
            <w:r>
              <w:rPr>
                <w:rFonts w:ascii="Calibri" w:cs="Calibri" w:eastAsia="Calibri" w:hAnsi="Calibri"/>
                <w:color w:val="FFFFFF"/>
                <w:sz w:val="16"/>
                <w:szCs w:val="16"/>
              </w:rPr>
              <w:t xml:space="preserve">• UDOC multi-government deployment</w:t>
            </w:r>
          </w:p>
          <w:p>
            <w:pPr>
              <w:spacing w:before="30" w:after="30"/>
              <w:jc w:val="center"/>
            </w:pPr>
            <w:r>
              <w:rPr>
                <w:rFonts w:ascii="Calibri" w:cs="Calibri" w:eastAsia="Calibri" w:hAnsi="Calibri"/>
                <w:color w:val="FFFFFF"/>
                <w:sz w:val="16"/>
                <w:szCs w:val="16"/>
              </w:rPr>
              <w:t xml:space="preserve">• M.A.D.I.B.A fund fully deployed</w:t>
            </w:r>
          </w:p>
          <w:p>
            <w:pPr>
              <w:spacing w:before="30" w:after="30"/>
              <w:jc w:val="center"/>
            </w:pPr>
            <w:r>
              <w:rPr>
                <w:rFonts w:ascii="Calibri" w:cs="Calibri" w:eastAsia="Calibri" w:hAnsi="Calibri"/>
                <w:color w:val="FFFFFF"/>
                <w:sz w:val="16"/>
                <w:szCs w:val="16"/>
              </w:rPr>
              <w:t xml:space="preserve">• T.S first infrastructure projects</w:t>
            </w:r>
          </w:p>
          <w:p>
            <w:pPr>
              <w:spacing w:before="30" w:after="30"/>
              <w:jc w:val="center"/>
            </w:pPr>
            <w:r>
              <w:rPr>
                <w:rFonts w:ascii="Calibri" w:cs="Calibri" w:eastAsia="Calibri" w:hAnsi="Calibri"/>
                <w:color w:val="FFFFFF"/>
                <w:sz w:val="16"/>
                <w:szCs w:val="16"/>
              </w:rPr>
              <w:t xml:space="preserve">• SADC regional expansion</w:t>
            </w:r>
          </w:p>
          <w:p>
            <w:pPr>
              <w:spacing w:before="30" w:after="30"/>
              <w:jc w:val="center"/>
            </w:pPr>
            <w:r>
              <w:rPr>
                <w:rFonts w:ascii="Calibri" w:cs="Calibri" w:eastAsia="Calibri" w:hAnsi="Calibri"/>
                <w:color w:val="FFFFFF"/>
                <w:sz w:val="16"/>
                <w:szCs w:val="16"/>
              </w:rPr>
              <w:t xml:space="preserve">• 25-year public milestone review</w:t>
            </w:r>
          </w:p>
        </w:tc>
        <w:tc>
          <w:tcPr>
            <w:tcW w:type="dxa" w:w="2250"/>
            <w:tcBorders>
              <w:top w:val="single" w:color="CCCCBB" w:sz="1" w:space="0"/>
              <w:left w:val="single" w:color="CCCCBB" w:sz="1" w:space="0"/>
              <w:bottom w:val="single" w:color="CCCCBB" w:sz="1" w:space="0"/>
              <w:right w:val="single" w:color="CCCCBB" w:sz="1" w:space="0"/>
            </w:tcBorders>
            <w:shd w:fill="2A5298" w:val="clear"/>
            <w:tcMar>
              <w:top w:type="dxa" w:w="160"/>
              <w:left w:type="dxa" w:w="140"/>
              <w:bottom w:type="dxa" w:w="160"/>
              <w:right w:type="dxa" w:w="140"/>
            </w:tcMar>
          </w:tcPr>
          <w:p>
            <w:pPr>
              <w:jc w:val="center"/>
            </w:pPr>
            <w:r>
              <w:rPr>
                <w:rFonts w:ascii="Calibri" w:cs="Calibri" w:eastAsia="Calibri" w:hAnsi="Calibri"/>
                <w:b/>
                <w:bCs/>
                <w:color w:val="B8972A"/>
                <w:sz w:val="15"/>
                <w:szCs w:val="15"/>
              </w:rPr>
              <w:t xml:space="preserve">25–100 YEARS</w:t>
            </w:r>
          </w:p>
          <w:p>
            <w:pPr>
              <w:spacing w:before="60" w:after="60"/>
              <w:jc w:val="center"/>
            </w:pPr>
            <w:r>
              <w:rPr>
                <w:rFonts w:ascii="Georgia" w:cs="Georgia" w:eastAsia="Georgia" w:hAnsi="Georgia"/>
                <w:b/>
                <w:bCs/>
                <w:color w:val="FFFFFF"/>
                <w:sz w:val="26"/>
                <w:szCs w:val="26"/>
              </w:rPr>
              <w:t xml:space="preserve">Phase Three</w:t>
            </w:r>
          </w:p>
          <w:p>
            <w:pPr>
              <w:spacing w:before="0" w:after="80"/>
              <w:jc w:val="center"/>
            </w:pPr>
            <w:r>
              <w:rPr>
                <w:rFonts w:ascii="Calibri" w:cs="Calibri" w:eastAsia="Calibri" w:hAnsi="Calibri"/>
                <w:i/>
                <w:iCs/>
                <w:color w:val="B8972A"/>
                <w:sz w:val="17"/>
                <w:szCs w:val="17"/>
              </w:rPr>
              <w:t xml:space="preserve">Generational Pathway</w:t>
            </w:r>
          </w:p>
          <w:p>
            <w:pPr>
              <w:spacing w:before="30" w:after="30"/>
              <w:jc w:val="center"/>
            </w:pPr>
            <w:r>
              <w:rPr>
                <w:rFonts w:ascii="Calibri" w:cs="Calibri" w:eastAsia="Calibri" w:hAnsi="Calibri"/>
                <w:color w:val="FFFFFF"/>
                <w:sz w:val="16"/>
                <w:szCs w:val="16"/>
              </w:rPr>
              <w:t xml:space="preserve">• 15–25 countries operational</w:t>
            </w:r>
          </w:p>
          <w:p>
            <w:pPr>
              <w:spacing w:before="30" w:after="30"/>
              <w:jc w:val="center"/>
            </w:pPr>
            <w:r>
              <w:rPr>
                <w:rFonts w:ascii="Calibri" w:cs="Calibri" w:eastAsia="Calibri" w:hAnsi="Calibri"/>
                <w:color w:val="FFFFFF"/>
                <w:sz w:val="16"/>
                <w:szCs w:val="16"/>
              </w:rPr>
              <w:t xml:space="preserve">• UDOC voluntary standard adoption</w:t>
            </w:r>
          </w:p>
          <w:p>
            <w:pPr>
              <w:spacing w:before="30" w:after="30"/>
              <w:jc w:val="center"/>
            </w:pPr>
            <w:r>
              <w:rPr>
                <w:rFonts w:ascii="Calibri" w:cs="Calibri" w:eastAsia="Calibri" w:hAnsi="Calibri"/>
                <w:color w:val="FFFFFF"/>
                <w:sz w:val="16"/>
                <w:szCs w:val="16"/>
              </w:rPr>
              <w:t xml:space="preserve">• G.O.D.S as standards body</w:t>
            </w:r>
          </w:p>
          <w:p>
            <w:pPr>
              <w:spacing w:before="30" w:after="30"/>
              <w:jc w:val="center"/>
            </w:pPr>
            <w:r>
              <w:rPr>
                <w:rFonts w:ascii="Calibri" w:cs="Calibri" w:eastAsia="Calibri" w:hAnsi="Calibri"/>
                <w:color w:val="FFFFFF"/>
                <w:sz w:val="16"/>
                <w:szCs w:val="16"/>
              </w:rPr>
              <w:t xml:space="preserve">• IP licensing primary revenue</w:t>
            </w:r>
          </w:p>
          <w:p>
            <w:pPr>
              <w:spacing w:before="30" w:after="30"/>
              <w:jc w:val="center"/>
            </w:pPr>
            <w:r>
              <w:rPr>
                <w:rFonts w:ascii="Calibri" w:cs="Calibri" w:eastAsia="Calibri" w:hAnsi="Calibri"/>
                <w:color w:val="FFFFFF"/>
                <w:sz w:val="16"/>
                <w:szCs w:val="16"/>
              </w:rPr>
              <w:t xml:space="preserve">• 100,000+ S.E.T.H.S placements</w:t>
            </w:r>
          </w:p>
          <w:p>
            <w:pPr>
              <w:spacing w:before="30" w:after="30"/>
              <w:jc w:val="center"/>
            </w:pPr>
            <w:r>
              <w:rPr>
                <w:rFonts w:ascii="Calibri" w:cs="Calibri" w:eastAsia="Calibri" w:hAnsi="Calibri"/>
                <w:color w:val="FFFFFF"/>
                <w:sz w:val="16"/>
                <w:szCs w:val="16"/>
              </w:rPr>
              <w:t xml:space="preserve">• Institutional normalcy achieved</w:t>
            </w:r>
          </w:p>
        </w:tc>
        <w:tc>
          <w:tcPr>
            <w:tcW w:type="dxa" w:w="2250"/>
            <w:tcBorders>
              <w:top w:val="single" w:color="CCCCBB" w:sz="1" w:space="0"/>
              <w:left w:val="single" w:color="CCCCBB" w:sz="1" w:space="0"/>
              <w:bottom w:val="single" w:color="CCCCBB" w:sz="1" w:space="0"/>
              <w:right w:val="single" w:color="CCCCBB" w:sz="1" w:space="0"/>
            </w:tcBorders>
            <w:shd w:fill="3A72C4" w:val="clear"/>
            <w:tcMar>
              <w:top w:type="dxa" w:w="160"/>
              <w:left w:type="dxa" w:w="140"/>
              <w:bottom w:type="dxa" w:w="160"/>
              <w:right w:type="dxa" w:w="140"/>
            </w:tcMar>
          </w:tcPr>
          <w:p>
            <w:pPr>
              <w:jc w:val="center"/>
            </w:pPr>
            <w:r>
              <w:rPr>
                <w:rFonts w:ascii="Calibri" w:cs="Calibri" w:eastAsia="Calibri" w:hAnsi="Calibri"/>
                <w:b/>
                <w:bCs/>
                <w:color w:val="B8972A"/>
                <w:sz w:val="15"/>
                <w:szCs w:val="15"/>
              </w:rPr>
              <w:t xml:space="preserve">100–250 YEARS</w:t>
            </w:r>
          </w:p>
          <w:p>
            <w:pPr>
              <w:spacing w:before="60" w:after="60"/>
              <w:jc w:val="center"/>
            </w:pPr>
            <w:r>
              <w:rPr>
                <w:rFonts w:ascii="Georgia" w:cs="Georgia" w:eastAsia="Georgia" w:hAnsi="Georgia"/>
                <w:b/>
                <w:bCs/>
                <w:color w:val="FFFFFF"/>
                <w:sz w:val="26"/>
                <w:szCs w:val="26"/>
              </w:rPr>
              <w:t xml:space="preserve">Phase Four</w:t>
            </w:r>
          </w:p>
          <w:p>
            <w:pPr>
              <w:spacing w:before="0" w:after="80"/>
              <w:jc w:val="center"/>
            </w:pPr>
            <w:r>
              <w:rPr>
                <w:rFonts w:ascii="Calibri" w:cs="Calibri" w:eastAsia="Calibri" w:hAnsi="Calibri"/>
                <w:i/>
                <w:iCs/>
                <w:color w:val="B8972A"/>
                <w:sz w:val="17"/>
                <w:szCs w:val="17"/>
              </w:rPr>
              <w:t xml:space="preserve">Civilizational Integration</w:t>
            </w:r>
          </w:p>
          <w:p>
            <w:pPr>
              <w:spacing w:before="30" w:after="30"/>
              <w:jc w:val="center"/>
            </w:pPr>
            <w:r>
              <w:rPr>
                <w:rFonts w:ascii="Calibri" w:cs="Calibri" w:eastAsia="Calibri" w:hAnsi="Calibri"/>
                <w:color w:val="FFFFFF"/>
                <w:sz w:val="16"/>
                <w:szCs w:val="16"/>
              </w:rPr>
              <w:t xml:space="preserve">• Global baseline elevation</w:t>
            </w:r>
          </w:p>
          <w:p>
            <w:pPr>
              <w:spacing w:before="30" w:after="30"/>
              <w:jc w:val="center"/>
            </w:pPr>
            <w:r>
              <w:rPr>
                <w:rFonts w:ascii="Calibri" w:cs="Calibri" w:eastAsia="Calibri" w:hAnsi="Calibri"/>
                <w:color w:val="FFFFFF"/>
                <w:sz w:val="16"/>
                <w:szCs w:val="16"/>
              </w:rPr>
              <w:t xml:space="preserve">• Basic needs as dignified infrastructure</w:t>
            </w:r>
          </w:p>
          <w:p>
            <w:pPr>
              <w:spacing w:before="30" w:after="30"/>
              <w:jc w:val="center"/>
            </w:pPr>
            <w:r>
              <w:rPr>
                <w:rFonts w:ascii="Calibri" w:cs="Calibri" w:eastAsia="Calibri" w:hAnsi="Calibri"/>
                <w:color w:val="FFFFFF"/>
                <w:sz w:val="16"/>
                <w:szCs w:val="16"/>
              </w:rPr>
              <w:t xml:space="preserve">• Contribution over speculation</w:t>
            </w:r>
          </w:p>
          <w:p>
            <w:pPr>
              <w:spacing w:before="30" w:after="30"/>
              <w:jc w:val="center"/>
            </w:pPr>
            <w:r>
              <w:rPr>
                <w:rFonts w:ascii="Calibri" w:cs="Calibri" w:eastAsia="Calibri" w:hAnsi="Calibri"/>
                <w:color w:val="FFFFFF"/>
                <w:sz w:val="16"/>
                <w:szCs w:val="16"/>
              </w:rPr>
              <w:t xml:space="preserve">• Coordination layer institutionalized</w:t>
            </w:r>
          </w:p>
          <w:p>
            <w:pPr>
              <w:spacing w:before="30" w:after="30"/>
              <w:jc w:val="center"/>
            </w:pPr>
            <w:r>
              <w:rPr>
                <w:rFonts w:ascii="Calibri" w:cs="Calibri" w:eastAsia="Calibri" w:hAnsi="Calibri"/>
                <w:color w:val="FFFFFF"/>
                <w:sz w:val="16"/>
                <w:szCs w:val="16"/>
              </w:rPr>
              <w:t xml:space="preserve">• Direction, not destination</w:t>
            </w:r>
          </w:p>
          <w:p>
            <w:pPr>
              <w:spacing w:before="30" w:after="30"/>
              <w:jc w:val="center"/>
            </w:pPr>
            <w:r>
              <w:rPr>
                <w:rFonts w:ascii="Calibri" w:cs="Calibri" w:eastAsia="Calibri" w:hAnsi="Calibri"/>
                <w:color w:val="FFFFFF"/>
                <w:sz w:val="16"/>
                <w:szCs w:val="16"/>
              </w:rPr>
              <w:t xml:space="preserve">• Generations inherit structure</w:t>
            </w:r>
          </w:p>
        </w:tc>
      </w:tr>
    </w:tbl>
    <w:p>
      <w:pPr>
        <w:spacing w:before="160" w:after="0"/>
      </w:pPr>
    </w:p>
    <w:p>
      <w:pPr>
        <w:pBdr>
          <w:bottom w:val="single" w:color="C9A84C" w:sz="8" w:space="4"/>
        </w:pBdr>
        <w:spacing w:before="440" w:after="120"/>
      </w:pPr>
      <w:r>
        <w:rPr>
          <w:rFonts w:ascii="Georgia" w:cs="Georgia" w:eastAsia="Georgia" w:hAnsi="Georgia"/>
          <w:b/>
          <w:bCs/>
          <w:color w:val="B8972A"/>
          <w:sz w:val="28"/>
          <w:szCs w:val="28"/>
        </w:rPr>
        <w:t xml:space="preserve">5.1  </w:t>
      </w:r>
      <w:r>
        <w:rPr>
          <w:rFonts w:ascii="Georgia" w:cs="Georgia" w:eastAsia="Georgia" w:hAnsi="Georgia"/>
          <w:b/>
          <w:bCs/>
          <w:color w:val="0C2340"/>
          <w:sz w:val="28"/>
          <w:szCs w:val="28"/>
        </w:rPr>
        <w:t xml:space="preserve">Phase One in Detail: The Startup Discipline (Years 0–5)</w:t>
      </w:r>
    </w:p>
    <w:p>
      <w:pPr>
        <w:spacing w:before="80" w:after="80"/>
        <w:jc w:val="both"/>
      </w:pPr>
      <w:r>
        <w:rPr>
          <w:rFonts w:ascii="Calibri" w:cs="Calibri" w:eastAsia="Calibri" w:hAnsi="Calibri"/>
          <w:color w:val="1E1E2E"/>
          <w:sz w:val="22"/>
          <w:szCs w:val="22"/>
        </w:rPr>
        <w:t xml:space="preserve">The startup phase is governed by one principle: ambition restrained, execution prioritized. The most dangerous period for any institution is its early years — when the gap between vision and capability is largest, and when the temptation to overpromise is most acute.</w:t>
      </w:r>
    </w:p>
    <w:p>
      <w:pPr>
        <w:spacing w:before="80" w:after="80"/>
        <w:jc w:val="both"/>
      </w:pPr>
      <w:r>
        <w:rPr>
          <w:rFonts w:ascii="Calibri" w:cs="Calibri" w:eastAsia="Calibri" w:hAnsi="Calibri"/>
          <w:color w:val="1E1E2E"/>
          <w:sz w:val="22"/>
          <w:szCs w:val="22"/>
        </w:rPr>
        <w:t xml:space="preserve">Phase One is about proof, not scale. About depth, not breadth. About earning the right to the next phase through demonstrated performance in this one. The 5-year milestone is the first major constitutional checkpoint: Are the Twelve Pillars being upheld? Is governance adequate for the scale achieved? Is the financial architecture functioning as designed? The answers determine whether G.O.D.S has earned the right to proceed to Phase Two.</w:t>
      </w:r>
    </w:p>
    <w:p>
      <w:pPr>
        <w:spacing w:before="200" w:after="60"/>
      </w:pPr>
      <w:r>
        <w:rPr>
          <w:rFonts w:ascii="Calibri" w:cs="Calibri" w:eastAsia="Calibri" w:hAnsi="Calibri"/>
          <w:b/>
          <w:bCs/>
          <w:color w:val="1A5276"/>
          <w:sz w:val="22"/>
          <w:szCs w:val="22"/>
        </w:rPr>
        <w:t xml:space="preserve">Year 1 Focus</w:t>
      </w:r>
    </w:p>
    <w:p>
      <w:pPr>
        <w:spacing w:before="80" w:after="80"/>
        <w:jc w:val="both"/>
      </w:pPr>
      <w:r>
        <w:rPr>
          <w:rFonts w:ascii="Calibri" w:cs="Calibri" w:eastAsia="Calibri" w:hAnsi="Calibri"/>
          <w:color w:val="1E1E2E"/>
          <w:sz w:val="22"/>
          <w:szCs w:val="22"/>
        </w:rPr>
        <w:t xml:space="preserve">Legal entity establishment; Constitutional Oversight Board appointment; S.E.T.H.S Phase 0–1 pilot (25–50 participants); UDOC MVP build for first enterprise client engagement; government department introductory meetings (Correctional Services, Social Development, Labour and Employment) — relationship building, not contract closing.</w:t>
      </w:r>
    </w:p>
    <w:p>
      <w:pPr>
        <w:spacing w:before="200" w:after="60"/>
      </w:pPr>
      <w:r>
        <w:rPr>
          <w:rFonts w:ascii="Calibri" w:cs="Calibri" w:eastAsia="Calibri" w:hAnsi="Calibri"/>
          <w:b/>
          <w:bCs/>
          <w:color w:val="1A5276"/>
          <w:sz w:val="22"/>
          <w:szCs w:val="22"/>
        </w:rPr>
        <w:t xml:space="preserve">Years 2–3 Focus</w:t>
      </w:r>
    </w:p>
    <w:p>
      <w:pPr>
        <w:spacing w:before="80" w:after="80"/>
        <w:jc w:val="both"/>
      </w:pPr>
      <w:r>
        <w:rPr>
          <w:rFonts w:ascii="Calibri" w:cs="Calibri" w:eastAsia="Calibri" w:hAnsi="Calibri"/>
          <w:color w:val="1E1E2E"/>
          <w:sz w:val="22"/>
          <w:szCs w:val="22"/>
        </w:rPr>
        <w:t xml:space="preserve">100+ S.E.T.H.S placements with 12-month retention data; 3+ UDOC paying enterprise clients; first government digital governance deployment; Series A capital raise; government contract award based on pilot performance.</w:t>
      </w:r>
    </w:p>
    <w:p>
      <w:pPr>
        <w:spacing w:before="200" w:after="60"/>
      </w:pPr>
      <w:r>
        <w:rPr>
          <w:rFonts w:ascii="Calibri" w:cs="Calibri" w:eastAsia="Calibri" w:hAnsi="Calibri"/>
          <w:b/>
          <w:bCs/>
          <w:color w:val="1A5276"/>
          <w:sz w:val="22"/>
          <w:szCs w:val="22"/>
        </w:rPr>
        <w:t xml:space="preserve">Years 3–5 Focus</w:t>
      </w:r>
    </w:p>
    <w:p>
      <w:pPr>
        <w:spacing w:before="80" w:after="80"/>
        <w:jc w:val="both"/>
      </w:pPr>
      <w:r>
        <w:rPr>
          <w:rFonts w:ascii="Calibri" w:cs="Calibri" w:eastAsia="Calibri" w:hAnsi="Calibri"/>
          <w:color w:val="1E1E2E"/>
          <w:sz w:val="22"/>
          <w:szCs w:val="22"/>
        </w:rPr>
        <w:t xml:space="preserve">S.E.T.H.S expansion to 5 SDUs across 3 provinces; UDOC expansion to 10+ enterprise clients; M.A.D.I.B.A fund first close; T.S first infrastructure project delivery; National Digital Infrastructure SPV proposal submission to Treasury.</w:t>
      </w:r>
    </w:p>
    <w:p>
      <w:pPr>
        <w:spacing w:before="160" w:after="0"/>
      </w:pPr>
    </w:p>
    <w:p>
      <w:pPr>
        <w:pBdr>
          <w:bottom w:val="single" w:color="C9A84C" w:sz="8" w:space="4"/>
        </w:pBdr>
        <w:spacing w:before="440" w:after="120"/>
      </w:pPr>
      <w:r>
        <w:rPr>
          <w:rFonts w:ascii="Georgia" w:cs="Georgia" w:eastAsia="Georgia" w:hAnsi="Georgia"/>
          <w:b/>
          <w:bCs/>
          <w:color w:val="B8972A"/>
          <w:sz w:val="28"/>
          <w:szCs w:val="28"/>
        </w:rPr>
        <w:t xml:space="preserve">5.2  </w:t>
      </w:r>
      <w:r>
        <w:rPr>
          <w:rFonts w:ascii="Georgia" w:cs="Georgia" w:eastAsia="Georgia" w:hAnsi="Georgia"/>
          <w:b/>
          <w:bCs/>
          <w:color w:val="0C2340"/>
          <w:sz w:val="28"/>
          <w:szCs w:val="28"/>
        </w:rPr>
        <w:t xml:space="preserve">Phase Two: Institutional Milestone (Years 5–25)</w:t>
      </w:r>
    </w:p>
    <w:p>
      <w:pPr>
        <w:spacing w:before="80" w:after="80"/>
        <w:jc w:val="both"/>
      </w:pPr>
      <w:r>
        <w:rPr>
          <w:rFonts w:ascii="Calibri" w:cs="Calibri" w:eastAsia="Calibri" w:hAnsi="Calibri"/>
          <w:color w:val="1E1E2E"/>
          <w:sz w:val="22"/>
          <w:szCs w:val="22"/>
        </w:rPr>
        <w:t xml:space="preserve">Phase Two is the transition from validated startup to recognized infrastructure partner — the point at which G.O.D.S moves from proving that it works to being relied upon. Africa expansion begins with SADC, using South Africa's institutional proof as the replication template. Expansion follows a sequenced model: institutional partnership first, infrastructure deployment second, technology commercialization third.</w:t>
      </w:r>
    </w:p>
    <w:p>
      <w:pPr>
        <w:spacing w:before="80" w:after="80"/>
        <w:jc w:val="both"/>
      </w:pPr>
      <w:r>
        <w:rPr>
          <w:rFonts w:ascii="Calibri" w:cs="Calibri" w:eastAsia="Calibri" w:hAnsi="Calibri"/>
          <w:color w:val="1E1E2E"/>
          <w:sz w:val="22"/>
          <w:szCs w:val="22"/>
        </w:rPr>
        <w:t xml:space="preserve">By Year 15, G.O.D.S builds substantive relationships with international capital institutions — IFC, African Development Bank, and Development Finance Institutions in key bilateral markets. These are credibility relationships as much as capital relationships.</w:t>
      </w:r>
    </w:p>
    <w:p>
      <w:pPr>
        <w:spacing w:before="80" w:after="80"/>
        <w:jc w:val="both"/>
      </w:pPr>
      <w:r>
        <w:rPr>
          <w:rFonts w:ascii="Calibri" w:cs="Calibri" w:eastAsia="Calibri" w:hAnsi="Calibri"/>
          <w:color w:val="1E1E2E"/>
          <w:sz w:val="22"/>
          <w:szCs w:val="22"/>
        </w:rPr>
        <w:t xml:space="preserve">The 25-year milestone assessment is conducted by the Constitutional Oversight Board with independent external review. It is publicly published — a full account of what G.O.D.S has achieved and where it has fallen short. This transparency at the 25-year mark is one of the most powerful trust-building mechanisms in the long-horizon governance architecture.</w:t>
      </w:r>
    </w:p>
    <w:p>
      <w:pPr>
        <w:spacing w:before="160" w:after="0"/>
      </w:pPr>
    </w:p>
    <w:p>
      <w:pPr>
        <w:pBdr>
          <w:bottom w:val="single" w:color="C9A84C" w:sz="8" w:space="4"/>
        </w:pBdr>
        <w:spacing w:before="440" w:after="120"/>
      </w:pPr>
      <w:r>
        <w:rPr>
          <w:rFonts w:ascii="Georgia" w:cs="Georgia" w:eastAsia="Georgia" w:hAnsi="Georgia"/>
          <w:b/>
          <w:bCs/>
          <w:color w:val="B8972A"/>
          <w:sz w:val="28"/>
          <w:szCs w:val="28"/>
        </w:rPr>
        <w:t xml:space="preserve">5.3  </w:t>
      </w:r>
      <w:r>
        <w:rPr>
          <w:rFonts w:ascii="Georgia" w:cs="Georgia" w:eastAsia="Georgia" w:hAnsi="Georgia"/>
          <w:b/>
          <w:bCs/>
          <w:color w:val="0C2340"/>
          <w:sz w:val="28"/>
          <w:szCs w:val="28"/>
        </w:rPr>
        <w:t xml:space="preserve">The 250-Year Objective — Intellectual Honesty</w:t>
      </w:r>
    </w:p>
    <w:p>
      <w:pPr>
        <w:spacing w:before="80" w:after="80"/>
        <w:jc w:val="both"/>
      </w:pPr>
      <w:r>
        <w:rPr>
          <w:rFonts w:ascii="Calibri" w:cs="Calibri" w:eastAsia="Calibri" w:hAnsi="Calibri"/>
          <w:color w:val="1E1E2E"/>
          <w:sz w:val="22"/>
          <w:szCs w:val="22"/>
        </w:rPr>
        <w:t xml:space="preserve">No living person will witness the 250-year outcome. No institutional plan can anticipate conditions two and a half centuries hence. The value of the 250-year objective is not predictive precision — it is directional commitment.</w:t>
      </w:r>
    </w:p>
    <w:p>
      <w:pPr>
        <w:spacing w:before="80" w:after="80"/>
        <w:jc w:val="both"/>
      </w:pPr>
      <w:r>
        <w:rPr>
          <w:rFonts w:ascii="Calibri" w:cs="Calibri" w:eastAsia="Calibri" w:hAnsi="Calibri"/>
          <w:color w:val="1E1E2E"/>
          <w:sz w:val="22"/>
          <w:szCs w:val="22"/>
        </w:rPr>
        <w:t xml:space="preserve">Each generation that inherits G.O.D.S does not inherit a completed vision. It inherits a direction, a set of constitutional principles, a body of evidence, and the institutional credibility to continue building. That inheritance — structural, not speculative — is the real product of everything that happens in the early years.</w:t>
      </w:r>
    </w:p>
    <w:p>
      <w:pPr>
        <w:pBdr>
          <w:left w:val="single" w:color="B8972A" w:sz="14" w:space="1"/>
        </w:pBdr>
        <w:shd w:fill="FBF7EE" w:val="clear"/>
        <w:spacing w:before="200" w:after="200"/>
        <w:ind w:left="480" w:right="480"/>
        <w:jc w:val="both"/>
      </w:pPr>
      <w:r>
        <w:rPr>
          <w:rFonts w:ascii="Georgia" w:cs="Georgia" w:eastAsia="Georgia" w:hAnsi="Georgia"/>
          <w:i/>
          <w:iCs/>
          <w:color w:val="1E1E2E"/>
          <w:sz w:val="22"/>
          <w:szCs w:val="22"/>
        </w:rPr>
        <w:t xml:space="preserve">Every decision made in Year 1 compounds over 250 years. The institution's most important output is not any single program or service. It is the institutional character that makes every subsequent generation's work possible.</w:t>
      </w:r>
    </w:p>
    <w:p>
      <w:r>
        <w:br w:type="page"/>
      </w:r>
    </w:p>
    <w:p>
      <w:pPr>
        <w:shd w:fill="0C2340" w:val="clear"/>
        <w:spacing w:before="360" w:after="60"/>
        <w:jc w:val="center"/>
      </w:pPr>
      <w:r>
        <w:rPr>
          <w:rFonts w:ascii="Georgia" w:cs="Georgia" w:eastAsia="Georgia" w:hAnsi="Georgia"/>
          <w:b/>
          <w:bCs/>
          <w:color w:val="B8972A"/>
          <w:sz w:val="26"/>
          <w:szCs w:val="26"/>
        </w:rPr>
        <w:t xml:space="preserve">PART VI</w:t>
      </w:r>
    </w:p>
    <w:p>
      <w:pPr>
        <w:shd w:fill="0C2340" w:val="clear"/>
        <w:spacing w:before="0" w:after="0"/>
        <w:jc w:val="center"/>
      </w:pPr>
      <w:r>
        <w:rPr>
          <w:rFonts w:ascii="Georgia" w:cs="Georgia" w:eastAsia="Georgia" w:hAnsi="Georgia"/>
          <w:b/>
          <w:bCs/>
          <w:color w:val="FFFFFF"/>
          <w:sz w:val="48"/>
          <w:szCs w:val="48"/>
        </w:rPr>
        <w:t xml:space="preserve">THE IMPLEMENTATION</w:t>
      </w:r>
    </w:p>
    <w:p>
      <w:pPr>
        <w:shd w:fill="0C2340" w:val="clear"/>
        <w:spacing w:before="0" w:after="360"/>
        <w:jc w:val="center"/>
      </w:pPr>
      <w:r>
        <w:rPr>
          <w:rFonts w:ascii="Calibri" w:cs="Calibri" w:eastAsia="Calibri" w:hAnsi="Calibri"/>
          <w:i/>
          <w:iCs/>
          <w:color w:val="B8972A"/>
          <w:sz w:val="20"/>
          <w:szCs w:val="20"/>
        </w:rPr>
        <w:t xml:space="preserve">Day-by-day startup execution — operational reality</w:t>
      </w:r>
    </w:p>
    <w:p>
      <w:pPr>
        <w:pBdr>
          <w:bottom w:val="single" w:color="C9A84C" w:sz="8" w:space="4"/>
        </w:pBdr>
        <w:spacing w:before="440" w:after="120"/>
      </w:pPr>
      <w:r>
        <w:rPr>
          <w:rFonts w:ascii="Georgia" w:cs="Georgia" w:eastAsia="Georgia" w:hAnsi="Georgia"/>
          <w:b/>
          <w:bCs/>
          <w:color w:val="B8972A"/>
          <w:sz w:val="28"/>
          <w:szCs w:val="28"/>
        </w:rPr>
        <w:t xml:space="preserve">6.0  </w:t>
      </w:r>
      <w:r>
        <w:rPr>
          <w:rFonts w:ascii="Georgia" w:cs="Georgia" w:eastAsia="Georgia" w:hAnsi="Georgia"/>
          <w:b/>
          <w:bCs/>
          <w:color w:val="0C2340"/>
          <w:sz w:val="28"/>
          <w:szCs w:val="28"/>
        </w:rPr>
        <w:t xml:space="preserve">The Execution Philosophy</w:t>
      </w:r>
    </w:p>
    <w:p>
      <w:pPr>
        <w:pBdr>
          <w:left w:val="single" w:color="B8972A" w:sz="14" w:space="1"/>
        </w:pBdr>
        <w:shd w:fill="FBF7EE" w:val="clear"/>
        <w:spacing w:before="200" w:after="200"/>
        <w:ind w:left="480" w:right="480"/>
        <w:jc w:val="both"/>
      </w:pPr>
      <w:r>
        <w:rPr>
          <w:rFonts w:ascii="Georgia" w:cs="Georgia" w:eastAsia="Georgia" w:hAnsi="Georgia"/>
          <w:i/>
          <w:iCs/>
          <w:color w:val="1E1E2E"/>
          <w:sz w:val="22"/>
          <w:szCs w:val="22"/>
        </w:rPr>
        <w:t xml:space="preserve">The most important gap in most institutional plans is the distance between aspiration and daily operational reality. What follows is not aspirational. It is the specific operational plan for the first 18 months.</w:t>
      </w:r>
    </w:p>
    <w:p>
      <w:pPr>
        <w:spacing w:before="160" w:after="0"/>
      </w:pPr>
    </w:p>
    <w:p>
      <w:pPr>
        <w:pBdr>
          <w:bottom w:val="single" w:color="C9A84C" w:sz="8" w:space="4"/>
        </w:pBdr>
        <w:spacing w:before="440" w:after="120"/>
      </w:pPr>
      <w:r>
        <w:rPr>
          <w:rFonts w:ascii="Georgia" w:cs="Georgia" w:eastAsia="Georgia" w:hAnsi="Georgia"/>
          <w:b/>
          <w:bCs/>
          <w:color w:val="B8972A"/>
          <w:sz w:val="28"/>
          <w:szCs w:val="28"/>
        </w:rPr>
        <w:t xml:space="preserve">6.1  </w:t>
      </w:r>
      <w:r>
        <w:rPr>
          <w:rFonts w:ascii="Georgia" w:cs="Georgia" w:eastAsia="Georgia" w:hAnsi="Georgia"/>
          <w:b/>
          <w:bCs/>
          <w:color w:val="0C2340"/>
          <w:sz w:val="28"/>
          <w:szCs w:val="28"/>
        </w:rPr>
        <w:t xml:space="preserve">Months 1–3: Institutional Foundation</w:t>
      </w:r>
    </w:p>
    <w:p>
      <w:pPr>
        <w:spacing w:before="80" w:after="80"/>
        <w:jc w:val="both"/>
      </w:pPr>
      <w:r>
        <w:rPr>
          <w:rFonts w:ascii="Calibri" w:cs="Calibri" w:eastAsia="Calibri" w:hAnsi="Calibri"/>
          <w:color w:val="1E1E2E"/>
          <w:sz w:val="22"/>
          <w:szCs w:val="22"/>
        </w:rPr>
        <w:t xml:space="preserve">There is no external revenue in the first 90 days. There is institutional architecture. This period funds and executes the foundational work without which every subsequent phase is legally, operationally, and commercially compromised.</w:t>
      </w:r>
    </w:p>
    <w:p>
      <w:pPr>
        <w:spacing w:before="200" w:after="60"/>
      </w:pPr>
      <w:r>
        <w:rPr>
          <w:rFonts w:ascii="Calibri" w:cs="Calibri" w:eastAsia="Calibri" w:hAnsi="Calibri"/>
          <w:b/>
          <w:bCs/>
          <w:color w:val="1A5276"/>
          <w:sz w:val="22"/>
          <w:szCs w:val="22"/>
        </w:rPr>
        <w:t xml:space="preserve">Legal Entity Registration — Month 1</w:t>
      </w:r>
    </w:p>
    <w:p>
      <w:pPr>
        <w:spacing w:before="80" w:after="80"/>
        <w:jc w:val="both"/>
      </w:pPr>
      <w:r>
        <w:rPr>
          <w:rFonts w:ascii="Calibri" w:cs="Calibri" w:eastAsia="Calibri" w:hAnsi="Calibri"/>
          <w:color w:val="1E1E2E"/>
          <w:sz w:val="22"/>
          <w:szCs w:val="22"/>
        </w:rPr>
        <w:t xml:space="preserve">G.O.D.S Holdings (Pty) Ltd; G.O.D.S TS Holdings (Pty) Ltd; S.E.T.H.S Operations (Pty) Ltd; UDOC Systems (Pty) Ltd; G.O.D.S TS Media (Pty) Ltd; M.A.D.I.B.A Capital Management (Pty) Ltd; G.O.D.S IP Trust. Estimated legal cost: R80,000–R200,000. Bank accounts with dual-signature provisions for all transactions above R50,000.</w:t>
      </w:r>
    </w:p>
    <w:p>
      <w:pPr>
        <w:spacing w:before="200" w:after="60"/>
      </w:pPr>
      <w:r>
        <w:rPr>
          <w:rFonts w:ascii="Calibri" w:cs="Calibri" w:eastAsia="Calibri" w:hAnsi="Calibri"/>
          <w:b/>
          <w:bCs/>
          <w:color w:val="1A5276"/>
          <w:sz w:val="22"/>
          <w:szCs w:val="22"/>
        </w:rPr>
        <w:t xml:space="preserve">Constitutional Oversight Board — Months 1–3</w:t>
      </w:r>
    </w:p>
    <w:p>
      <w:pPr>
        <w:spacing w:before="80" w:after="80"/>
        <w:jc w:val="both"/>
      </w:pPr>
      <w:r>
        <w:rPr>
          <w:rFonts w:ascii="Calibri" w:cs="Calibri" w:eastAsia="Calibri" w:hAnsi="Calibri"/>
          <w:color w:val="1E1E2E"/>
          <w:sz w:val="22"/>
          <w:szCs w:val="22"/>
        </w:rPr>
        <w:t xml:space="preserve">First three COB members appointed and onboarded by Month 2. Full board of seven by Month 6. Appointment criteria: demonstrated expertise in at least one of governance, constitutional law, public finance, behavioral systems, technology ethics, or international development. No financial interest in any G.O.D.S commercial division.</w:t>
      </w:r>
    </w:p>
    <w:p>
      <w:pPr>
        <w:spacing w:before="200" w:after="60"/>
      </w:pPr>
      <w:r>
        <w:rPr>
          <w:rFonts w:ascii="Calibri" w:cs="Calibri" w:eastAsia="Calibri" w:hAnsi="Calibri"/>
          <w:b/>
          <w:bCs/>
          <w:color w:val="1A5276"/>
          <w:sz w:val="22"/>
          <w:szCs w:val="22"/>
        </w:rPr>
        <w:t xml:space="preserve">Initial Team — Months 1–3</w:t>
      </w:r>
    </w:p>
    <w:p>
      <w:pPr>
        <w:spacing w:before="80" w:after="80"/>
        <w:jc w:val="both"/>
      </w:pPr>
      <w:r>
        <w:rPr>
          <w:rFonts w:ascii="Calibri" w:cs="Calibri" w:eastAsia="Calibri" w:hAnsi="Calibri"/>
          <w:color w:val="1E1E2E"/>
          <w:sz w:val="22"/>
          <w:szCs w:val="22"/>
        </w:rPr>
        <w:t xml:space="preserve">Founder (CEO); Senior Operations Manager; Senior Commercial Manager; Compliance and Governance Coordinator; Technology Lead. Compensation: market-competitive base plus significant long-horizon equity (4-year vest, 1-year cliff) plus performance-linked annual bonus. Equity component is specifically designed to attract candidates who value long-term institutional contribution.</w:t>
      </w:r>
    </w:p>
    <w:p>
      <w:pPr>
        <w:spacing w:before="200" w:after="60"/>
      </w:pPr>
      <w:r>
        <w:rPr>
          <w:rFonts w:ascii="Calibri" w:cs="Calibri" w:eastAsia="Calibri" w:hAnsi="Calibri"/>
          <w:b/>
          <w:bCs/>
          <w:color w:val="1A5276"/>
          <w:sz w:val="22"/>
          <w:szCs w:val="22"/>
        </w:rPr>
        <w:t xml:space="preserve">Government Introductions — Months 2–3</w:t>
      </w:r>
    </w:p>
    <w:p>
      <w:pPr>
        <w:spacing w:before="80" w:after="80"/>
        <w:jc w:val="both"/>
      </w:pPr>
      <w:r>
        <w:rPr>
          <w:rFonts w:ascii="Calibri" w:cs="Calibri" w:eastAsia="Calibri" w:hAnsi="Calibri"/>
          <w:color w:val="1E1E2E"/>
          <w:sz w:val="22"/>
          <w:szCs w:val="22"/>
        </w:rPr>
        <w:t xml:space="preserve">Introductory meetings with: Department of Correctional Services; Department of Social Development; Department of Labour and Employment; Department of Communications and Digital Technologies. Objective: relationship establishment and procurement timeline mapping. Not contract closing.</w:t>
      </w:r>
    </w:p>
    <w:p>
      <w:pPr>
        <w:spacing w:before="160" w:after="0"/>
      </w:pPr>
    </w:p>
    <w:p>
      <w:pPr>
        <w:pBdr>
          <w:bottom w:val="single" w:color="C9A84C" w:sz="8" w:space="4"/>
        </w:pBdr>
        <w:spacing w:before="440" w:after="120"/>
      </w:pPr>
      <w:r>
        <w:rPr>
          <w:rFonts w:ascii="Georgia" w:cs="Georgia" w:eastAsia="Georgia" w:hAnsi="Georgia"/>
          <w:b/>
          <w:bCs/>
          <w:color w:val="B8972A"/>
          <w:sz w:val="28"/>
          <w:szCs w:val="28"/>
        </w:rPr>
        <w:t xml:space="preserve">6.2  </w:t>
      </w:r>
      <w:r>
        <w:rPr>
          <w:rFonts w:ascii="Georgia" w:cs="Georgia" w:eastAsia="Georgia" w:hAnsi="Georgia"/>
          <w:b/>
          <w:bCs/>
          <w:color w:val="0C2340"/>
          <w:sz w:val="28"/>
          <w:szCs w:val="28"/>
        </w:rPr>
        <w:t xml:space="preserve">Months 3–6: Pilot Design &amp; Partner Identification</w:t>
      </w:r>
    </w:p>
    <w:p>
      <w:pPr>
        <w:spacing w:before="200" w:after="60"/>
      </w:pPr>
      <w:r>
        <w:rPr>
          <w:rFonts w:ascii="Calibri" w:cs="Calibri" w:eastAsia="Calibri" w:hAnsi="Calibri"/>
          <w:b/>
          <w:bCs/>
          <w:color w:val="1A5276"/>
          <w:sz w:val="22"/>
          <w:szCs w:val="22"/>
        </w:rPr>
        <w:t xml:space="preserve">S.E.T.H.S Pilot Design</w:t>
      </w:r>
    </w:p>
    <w:p>
      <w:pPr>
        <w:spacing w:before="80" w:after="80"/>
        <w:jc w:val="both"/>
      </w:pPr>
      <w:r>
        <w:rPr>
          <w:rFonts w:ascii="Calibri" w:cs="Calibri" w:eastAsia="Calibri" w:hAnsi="Calibri"/>
          <w:color w:val="1E1E2E"/>
          <w:sz w:val="22"/>
          <w:szCs w:val="22"/>
        </w:rPr>
        <w:t xml:space="preserve">First pilot geography: Gauteng — highest density of target population and employer network. First SDU facility: leased, not owned, to preserve capital flexibility. Target facility specifications: 50-participant capacity; 3 training rooms; 2 counseling rooms; administrative workspace; outdoor recreational space (minimum 200sqm). Minimum requirements by Month 6: one committed rehabilitation organization for participant referrals; ten committed employer partners for first placement cohort.</w:t>
      </w:r>
    </w:p>
    <w:p>
      <w:pPr>
        <w:spacing w:before="200" w:after="60"/>
      </w:pPr>
      <w:r>
        <w:rPr>
          <w:rFonts w:ascii="Calibri" w:cs="Calibri" w:eastAsia="Calibri" w:hAnsi="Calibri"/>
          <w:b/>
          <w:bCs/>
          <w:color w:val="1A5276"/>
          <w:sz w:val="22"/>
          <w:szCs w:val="22"/>
        </w:rPr>
        <w:t xml:space="preserve">UDOC MVP Design</w:t>
      </w:r>
    </w:p>
    <w:p>
      <w:pPr>
        <w:spacing w:before="80" w:after="80"/>
        <w:jc w:val="both"/>
      </w:pPr>
      <w:r>
        <w:rPr>
          <w:rFonts w:ascii="Calibri" w:cs="Calibri" w:eastAsia="Calibri" w:hAnsi="Calibri"/>
          <w:color w:val="1E1E2E"/>
          <w:sz w:val="22"/>
          <w:szCs w:val="22"/>
        </w:rPr>
        <w:t xml:space="preserve">Technical architecture finalized by Month 4. Development team assembled. First enterprise client target: South African financial services or healthcare organization with documented AI compliance requirement. Minimum viable product: AI System Registry plus Risk Classification plus Compliance Reporting. First enterprise demonstration ready Month 5.</w:t>
      </w:r>
    </w:p>
    <w:p>
      <w:pPr>
        <w:spacing w:before="160" w:after="0"/>
      </w:pPr>
    </w:p>
    <w:p>
      <w:pPr>
        <w:pBdr>
          <w:bottom w:val="single" w:color="C9A84C" w:sz="8" w:space="4"/>
        </w:pBdr>
        <w:spacing w:before="440" w:after="120"/>
      </w:pPr>
      <w:r>
        <w:rPr>
          <w:rFonts w:ascii="Georgia" w:cs="Georgia" w:eastAsia="Georgia" w:hAnsi="Georgia"/>
          <w:b/>
          <w:bCs/>
          <w:color w:val="B8972A"/>
          <w:sz w:val="28"/>
          <w:szCs w:val="28"/>
        </w:rPr>
        <w:t xml:space="preserve">6.3  </w:t>
      </w:r>
      <w:r>
        <w:rPr>
          <w:rFonts w:ascii="Georgia" w:cs="Georgia" w:eastAsia="Georgia" w:hAnsi="Georgia"/>
          <w:b/>
          <w:bCs/>
          <w:color w:val="0C2340"/>
          <w:sz w:val="28"/>
          <w:szCs w:val="28"/>
        </w:rPr>
        <w:t xml:space="preserve">Months 6–12: Operations Launch &amp; First Revenue</w:t>
      </w:r>
    </w:p>
    <w:p>
      <w:pPr>
        <w:spacing w:before="80" w:after="80"/>
        <w:jc w:val="both"/>
      </w:pPr>
      <w:r>
        <w:rPr>
          <w:rFonts w:ascii="Calibri" w:cs="Calibri" w:eastAsia="Calibri" w:hAnsi="Calibri"/>
          <w:color w:val="1E1E2E"/>
          <w:sz w:val="22"/>
          <w:szCs w:val="22"/>
        </w:rPr>
        <w:t xml:space="preserve">Month 6 is operational launch. The first S.E.T.H.S cohort of 25 participants enters Phase 0. The UDOC MVP begins private beta with first enterprise client. Both tracks run simultaneously.</w:t>
      </w:r>
    </w:p>
    <w:p>
      <w:pPr>
        <w:spacing w:before="200" w:after="60"/>
      </w:pPr>
      <w:r>
        <w:rPr>
          <w:rFonts w:ascii="Calibri" w:cs="Calibri" w:eastAsia="Calibri" w:hAnsi="Calibri"/>
          <w:b/>
          <w:bCs/>
          <w:color w:val="1A5276"/>
          <w:sz w:val="22"/>
          <w:szCs w:val="22"/>
        </w:rPr>
        <w:t xml:space="preserve">Founder's Daily Focus — Months 6–12</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2600"/>
        <w:gridCol w:w="6400"/>
      </w:tblGrid>
      <w:tr>
        <w:tc>
          <w:tcPr>
            <w:tcW w:type="dxa" w:w="2600"/>
            <w:tcBorders>
              <w:top w:val="single" w:color="CCCCBB" w:sz="1" w:space="0"/>
              <w:left w:val="single" w:color="CCCCBB" w:sz="1" w:space="0"/>
              <w:bottom w:val="single" w:color="CCCCBB" w:sz="1" w:space="0"/>
              <w:right w:val="single" w:color="CCCCBB" w:sz="1" w:space="0"/>
            </w:tcBorders>
            <w:shd w:fill="EDE8D8" w:val="clear"/>
            <w:tcMar>
              <w:top w:type="dxa" w:w="80"/>
              <w:left w:type="dxa" w:w="160"/>
              <w:bottom w:type="dxa" w:w="80"/>
              <w:right w:type="dxa" w:w="160"/>
            </w:tcMar>
          </w:tcPr>
          <w:p>
            <w:r>
              <w:rPr>
                <w:rFonts w:ascii="Calibri" w:cs="Calibri" w:eastAsia="Calibri" w:hAnsi="Calibri"/>
                <w:b/>
                <w:bCs/>
                <w:color w:val="0C2340"/>
                <w:sz w:val="22"/>
                <w:szCs w:val="22"/>
              </w:rPr>
              <w:t xml:space="preserve">30% of time</w:t>
            </w:r>
          </w:p>
        </w:tc>
        <w:tc>
          <w:tcPr>
            <w:tcW w:type="dxa" w:w="6400"/>
            <w:tcBorders>
              <w:top w:val="single" w:color="CCCCBB" w:sz="1" w:space="0"/>
              <w:left w:val="single" w:color="CCCCBB" w:sz="1" w:space="0"/>
              <w:bottom w:val="single" w:color="CCCCBB" w:sz="1" w:space="0"/>
              <w:right w:val="single" w:color="CCCCBB" w:sz="1" w:space="0"/>
            </w:tcBorders>
            <w:shd w:fill="FFFFFF" w:val="clear"/>
            <w:tcMar>
              <w:top w:type="dxa" w:w="80"/>
              <w:left w:type="dxa" w:w="160"/>
              <w:bottom w:type="dxa" w:w="80"/>
              <w:right w:type="dxa" w:w="160"/>
            </w:tcMar>
          </w:tcPr>
          <w:p>
            <w:r>
              <w:rPr>
                <w:rFonts w:ascii="Calibri" w:cs="Calibri" w:eastAsia="Calibri" w:hAnsi="Calibri"/>
                <w:color w:val="1E1E2E"/>
                <w:sz w:val="22"/>
                <w:szCs w:val="22"/>
              </w:rPr>
              <w:t xml:space="preserve">S.E.T.H.S pilot quality oversight — daily program standards, SDU management, employer relationships</w:t>
            </w:r>
          </w:p>
        </w:tc>
      </w:tr>
      <w:tr>
        <w:tc>
          <w:tcPr>
            <w:tcW w:type="dxa" w:w="2600"/>
            <w:tcBorders>
              <w:top w:val="single" w:color="CCCCBB" w:sz="1" w:space="0"/>
              <w:left w:val="single" w:color="CCCCBB" w:sz="1" w:space="0"/>
              <w:bottom w:val="single" w:color="CCCCBB" w:sz="1" w:space="0"/>
              <w:right w:val="single" w:color="CCCCBB" w:sz="1" w:space="0"/>
            </w:tcBorders>
            <w:shd w:fill="F5F2EA" w:val="clear"/>
            <w:tcMar>
              <w:top w:type="dxa" w:w="80"/>
              <w:left w:type="dxa" w:w="160"/>
              <w:bottom w:type="dxa" w:w="80"/>
              <w:right w:type="dxa" w:w="160"/>
            </w:tcMar>
          </w:tcPr>
          <w:p>
            <w:r>
              <w:rPr>
                <w:rFonts w:ascii="Calibri" w:cs="Calibri" w:eastAsia="Calibri" w:hAnsi="Calibri"/>
                <w:b/>
                <w:bCs/>
                <w:color w:val="0C2340"/>
                <w:sz w:val="22"/>
                <w:szCs w:val="22"/>
              </w:rPr>
              <w:t xml:space="preserve">25% of time</w:t>
            </w:r>
          </w:p>
        </w:tc>
        <w:tc>
          <w:tcPr>
            <w:tcW w:type="dxa" w:w="6400"/>
            <w:tcBorders>
              <w:top w:val="single" w:color="CCCCBB" w:sz="1" w:space="0"/>
              <w:left w:val="single" w:color="CCCCBB" w:sz="1" w:space="0"/>
              <w:bottom w:val="single" w:color="CCCCBB" w:sz="1" w:space="0"/>
              <w:right w:val="single" w:color="CCCCBB" w:sz="1" w:space="0"/>
            </w:tcBorders>
            <w:shd w:fill="FAFAF5" w:val="clear"/>
            <w:tcMar>
              <w:top w:type="dxa" w:w="80"/>
              <w:left w:type="dxa" w:w="160"/>
              <w:bottom w:type="dxa" w:w="80"/>
              <w:right w:type="dxa" w:w="160"/>
            </w:tcMar>
          </w:tcPr>
          <w:p>
            <w:r>
              <w:rPr>
                <w:rFonts w:ascii="Calibri" w:cs="Calibri" w:eastAsia="Calibri" w:hAnsi="Calibri"/>
                <w:color w:val="1E1E2E"/>
                <w:sz w:val="22"/>
                <w:szCs w:val="22"/>
              </w:rPr>
              <w:t xml:space="preserve">UDOC enterprise client engagement — demo delivery, contract negotiation, first client onboarding</w:t>
            </w:r>
          </w:p>
        </w:tc>
      </w:tr>
      <w:tr>
        <w:tc>
          <w:tcPr>
            <w:tcW w:type="dxa" w:w="2600"/>
            <w:tcBorders>
              <w:top w:val="single" w:color="CCCCBB" w:sz="1" w:space="0"/>
              <w:left w:val="single" w:color="CCCCBB" w:sz="1" w:space="0"/>
              <w:bottom w:val="single" w:color="CCCCBB" w:sz="1" w:space="0"/>
              <w:right w:val="single" w:color="CCCCBB" w:sz="1" w:space="0"/>
            </w:tcBorders>
            <w:shd w:fill="EDE8D8" w:val="clear"/>
            <w:tcMar>
              <w:top w:type="dxa" w:w="80"/>
              <w:left w:type="dxa" w:w="160"/>
              <w:bottom w:type="dxa" w:w="80"/>
              <w:right w:type="dxa" w:w="160"/>
            </w:tcMar>
          </w:tcPr>
          <w:p>
            <w:r>
              <w:rPr>
                <w:rFonts w:ascii="Calibri" w:cs="Calibri" w:eastAsia="Calibri" w:hAnsi="Calibri"/>
                <w:b/>
                <w:bCs/>
                <w:color w:val="0C2340"/>
                <w:sz w:val="22"/>
                <w:szCs w:val="22"/>
              </w:rPr>
              <w:t xml:space="preserve">20% of time</w:t>
            </w:r>
          </w:p>
        </w:tc>
        <w:tc>
          <w:tcPr>
            <w:tcW w:type="dxa" w:w="6400"/>
            <w:tcBorders>
              <w:top w:val="single" w:color="CCCCBB" w:sz="1" w:space="0"/>
              <w:left w:val="single" w:color="CCCCBB" w:sz="1" w:space="0"/>
              <w:bottom w:val="single" w:color="CCCCBB" w:sz="1" w:space="0"/>
              <w:right w:val="single" w:color="CCCCBB" w:sz="1" w:space="0"/>
            </w:tcBorders>
            <w:shd w:fill="FFFFFF" w:val="clear"/>
            <w:tcMar>
              <w:top w:type="dxa" w:w="80"/>
              <w:left w:type="dxa" w:w="160"/>
              <w:bottom w:type="dxa" w:w="80"/>
              <w:right w:type="dxa" w:w="160"/>
            </w:tcMar>
          </w:tcPr>
          <w:p>
            <w:r>
              <w:rPr>
                <w:rFonts w:ascii="Calibri" w:cs="Calibri" w:eastAsia="Calibri" w:hAnsi="Calibri"/>
                <w:color w:val="1E1E2E"/>
                <w:sz w:val="22"/>
                <w:szCs w:val="22"/>
              </w:rPr>
              <w:t xml:space="preserve">Government relationship cultivation — progress meetings with three departments, proposal preparation</w:t>
            </w:r>
          </w:p>
        </w:tc>
      </w:tr>
      <w:tr>
        <w:tc>
          <w:tcPr>
            <w:tcW w:type="dxa" w:w="2600"/>
            <w:tcBorders>
              <w:top w:val="single" w:color="CCCCBB" w:sz="1" w:space="0"/>
              <w:left w:val="single" w:color="CCCCBB" w:sz="1" w:space="0"/>
              <w:bottom w:val="single" w:color="CCCCBB" w:sz="1" w:space="0"/>
              <w:right w:val="single" w:color="CCCCBB" w:sz="1" w:space="0"/>
            </w:tcBorders>
            <w:shd w:fill="F5F2EA" w:val="clear"/>
            <w:tcMar>
              <w:top w:type="dxa" w:w="80"/>
              <w:left w:type="dxa" w:w="160"/>
              <w:bottom w:type="dxa" w:w="80"/>
              <w:right w:type="dxa" w:w="160"/>
            </w:tcMar>
          </w:tcPr>
          <w:p>
            <w:r>
              <w:rPr>
                <w:rFonts w:ascii="Calibri" w:cs="Calibri" w:eastAsia="Calibri" w:hAnsi="Calibri"/>
                <w:b/>
                <w:bCs/>
                <w:color w:val="0C2340"/>
                <w:sz w:val="22"/>
                <w:szCs w:val="22"/>
              </w:rPr>
              <w:t xml:space="preserve">15% of time</w:t>
            </w:r>
          </w:p>
        </w:tc>
        <w:tc>
          <w:tcPr>
            <w:tcW w:type="dxa" w:w="6400"/>
            <w:tcBorders>
              <w:top w:val="single" w:color="CCCCBB" w:sz="1" w:space="0"/>
              <w:left w:val="single" w:color="CCCCBB" w:sz="1" w:space="0"/>
              <w:bottom w:val="single" w:color="CCCCBB" w:sz="1" w:space="0"/>
              <w:right w:val="single" w:color="CCCCBB" w:sz="1" w:space="0"/>
            </w:tcBorders>
            <w:shd w:fill="FAFAF5" w:val="clear"/>
            <w:tcMar>
              <w:top w:type="dxa" w:w="80"/>
              <w:left w:type="dxa" w:w="160"/>
              <w:bottom w:type="dxa" w:w="80"/>
              <w:right w:type="dxa" w:w="160"/>
            </w:tcMar>
          </w:tcPr>
          <w:p>
            <w:r>
              <w:rPr>
                <w:rFonts w:ascii="Calibri" w:cs="Calibri" w:eastAsia="Calibri" w:hAnsi="Calibri"/>
                <w:color w:val="1E1E2E"/>
                <w:sz w:val="22"/>
                <w:szCs w:val="22"/>
              </w:rPr>
              <w:t xml:space="preserve">Series A preparation — financial model, COB endorsement, investor pipeline development</w:t>
            </w:r>
          </w:p>
        </w:tc>
      </w:tr>
      <w:tr>
        <w:tc>
          <w:tcPr>
            <w:tcW w:type="dxa" w:w="2600"/>
            <w:tcBorders>
              <w:top w:val="single" w:color="CCCCBB" w:sz="1" w:space="0"/>
              <w:left w:val="single" w:color="CCCCBB" w:sz="1" w:space="0"/>
              <w:bottom w:val="single" w:color="CCCCBB" w:sz="1" w:space="0"/>
              <w:right w:val="single" w:color="CCCCBB" w:sz="1" w:space="0"/>
            </w:tcBorders>
            <w:shd w:fill="EDE8D8" w:val="clear"/>
            <w:tcMar>
              <w:top w:type="dxa" w:w="80"/>
              <w:left w:type="dxa" w:w="160"/>
              <w:bottom w:type="dxa" w:w="80"/>
              <w:right w:type="dxa" w:w="160"/>
            </w:tcMar>
          </w:tcPr>
          <w:p>
            <w:r>
              <w:rPr>
                <w:rFonts w:ascii="Calibri" w:cs="Calibri" w:eastAsia="Calibri" w:hAnsi="Calibri"/>
                <w:b/>
                <w:bCs/>
                <w:color w:val="0C2340"/>
                <w:sz w:val="22"/>
                <w:szCs w:val="22"/>
              </w:rPr>
              <w:t xml:space="preserve">10% of time</w:t>
            </w:r>
          </w:p>
        </w:tc>
        <w:tc>
          <w:tcPr>
            <w:tcW w:type="dxa" w:w="6400"/>
            <w:tcBorders>
              <w:top w:val="single" w:color="CCCCBB" w:sz="1" w:space="0"/>
              <w:left w:val="single" w:color="CCCCBB" w:sz="1" w:space="0"/>
              <w:bottom w:val="single" w:color="CCCCBB" w:sz="1" w:space="0"/>
              <w:right w:val="single" w:color="CCCCBB" w:sz="1" w:space="0"/>
            </w:tcBorders>
            <w:shd w:fill="FFFFFF" w:val="clear"/>
            <w:tcMar>
              <w:top w:type="dxa" w:w="80"/>
              <w:left w:type="dxa" w:w="160"/>
              <w:bottom w:type="dxa" w:w="80"/>
              <w:right w:type="dxa" w:w="160"/>
            </w:tcMar>
          </w:tcPr>
          <w:p>
            <w:r>
              <w:rPr>
                <w:rFonts w:ascii="Calibri" w:cs="Calibri" w:eastAsia="Calibri" w:hAnsi="Calibri"/>
                <w:color w:val="1E1E2E"/>
                <w:sz w:val="22"/>
                <w:szCs w:val="22"/>
              </w:rPr>
              <w:t xml:space="preserve">Media Division content development — institutional narrative, credibility asset building</w:t>
            </w:r>
          </w:p>
        </w:tc>
      </w:tr>
    </w:tbl>
    <w:p>
      <w:pPr>
        <w:spacing w:before="200" w:after="60"/>
      </w:pPr>
      <w:r>
        <w:rPr>
          <w:rFonts w:ascii="Calibri" w:cs="Calibri" w:eastAsia="Calibri" w:hAnsi="Calibri"/>
          <w:b/>
          <w:bCs/>
          <w:color w:val="1A5276"/>
          <w:sz w:val="22"/>
          <w:szCs w:val="22"/>
        </w:rPr>
        <w:t xml:space="preserve">Weekly Operational Metrics — Months 6–12</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2600"/>
        <w:gridCol w:w="6400"/>
      </w:tblGrid>
      <w:tr>
        <w:tc>
          <w:tcPr>
            <w:tcW w:type="dxa" w:w="2600"/>
            <w:tcBorders>
              <w:top w:val="single" w:color="CCCCBB" w:sz="1" w:space="0"/>
              <w:left w:val="single" w:color="CCCCBB" w:sz="1" w:space="0"/>
              <w:bottom w:val="single" w:color="CCCCBB" w:sz="1" w:space="0"/>
              <w:right w:val="single" w:color="CCCCBB" w:sz="1" w:space="0"/>
            </w:tcBorders>
            <w:shd w:fill="EDE8D8" w:val="clear"/>
            <w:tcMar>
              <w:top w:type="dxa" w:w="80"/>
              <w:left w:type="dxa" w:w="160"/>
              <w:bottom w:type="dxa" w:w="80"/>
              <w:right w:type="dxa" w:w="160"/>
            </w:tcMar>
          </w:tcPr>
          <w:p>
            <w:r>
              <w:rPr>
                <w:rFonts w:ascii="Calibri" w:cs="Calibri" w:eastAsia="Calibri" w:hAnsi="Calibri"/>
                <w:b/>
                <w:bCs/>
                <w:color w:val="0C2340"/>
                <w:sz w:val="22"/>
                <w:szCs w:val="22"/>
              </w:rPr>
              <w:t xml:space="preserve">S.E.T.H.S</w:t>
            </w:r>
          </w:p>
        </w:tc>
        <w:tc>
          <w:tcPr>
            <w:tcW w:type="dxa" w:w="6400"/>
            <w:tcBorders>
              <w:top w:val="single" w:color="CCCCBB" w:sz="1" w:space="0"/>
              <w:left w:val="single" w:color="CCCCBB" w:sz="1" w:space="0"/>
              <w:bottom w:val="single" w:color="CCCCBB" w:sz="1" w:space="0"/>
              <w:right w:val="single" w:color="CCCCBB" w:sz="1" w:space="0"/>
            </w:tcBorders>
            <w:shd w:fill="FFFFFF" w:val="clear"/>
            <w:tcMar>
              <w:top w:type="dxa" w:w="80"/>
              <w:left w:type="dxa" w:w="160"/>
              <w:bottom w:type="dxa" w:w="80"/>
              <w:right w:type="dxa" w:w="160"/>
            </w:tcMar>
          </w:tcPr>
          <w:p>
            <w:r>
              <w:rPr>
                <w:rFonts w:ascii="Calibri" w:cs="Calibri" w:eastAsia="Calibri" w:hAnsi="Calibri"/>
                <w:color w:val="1E1E2E"/>
                <w:sz w:val="22"/>
                <w:szCs w:val="22"/>
              </w:rPr>
              <w:t xml:space="preserve">Participant compliance rate (target &gt;90%); behavioral incident frequency (target &lt;5% of participant-days)</w:t>
            </w:r>
          </w:p>
        </w:tc>
      </w:tr>
      <w:tr>
        <w:tc>
          <w:tcPr>
            <w:tcW w:type="dxa" w:w="2600"/>
            <w:tcBorders>
              <w:top w:val="single" w:color="CCCCBB" w:sz="1" w:space="0"/>
              <w:left w:val="single" w:color="CCCCBB" w:sz="1" w:space="0"/>
              <w:bottom w:val="single" w:color="CCCCBB" w:sz="1" w:space="0"/>
              <w:right w:val="single" w:color="CCCCBB" w:sz="1" w:space="0"/>
            </w:tcBorders>
            <w:shd w:fill="F5F2EA" w:val="clear"/>
            <w:tcMar>
              <w:top w:type="dxa" w:w="80"/>
              <w:left w:type="dxa" w:w="160"/>
              <w:bottom w:type="dxa" w:w="80"/>
              <w:right w:type="dxa" w:w="160"/>
            </w:tcMar>
          </w:tcPr>
          <w:p>
            <w:r>
              <w:rPr>
                <w:rFonts w:ascii="Calibri" w:cs="Calibri" w:eastAsia="Calibri" w:hAnsi="Calibri"/>
                <w:b/>
                <w:bCs/>
                <w:color w:val="0C2340"/>
                <w:sz w:val="22"/>
                <w:szCs w:val="22"/>
              </w:rPr>
              <w:t xml:space="preserve">UDOC</w:t>
            </w:r>
          </w:p>
        </w:tc>
        <w:tc>
          <w:tcPr>
            <w:tcW w:type="dxa" w:w="6400"/>
            <w:tcBorders>
              <w:top w:val="single" w:color="CCCCBB" w:sz="1" w:space="0"/>
              <w:left w:val="single" w:color="CCCCBB" w:sz="1" w:space="0"/>
              <w:bottom w:val="single" w:color="CCCCBB" w:sz="1" w:space="0"/>
              <w:right w:val="single" w:color="CCCCBB" w:sz="1" w:space="0"/>
            </w:tcBorders>
            <w:shd w:fill="FAFAF5" w:val="clear"/>
            <w:tcMar>
              <w:top w:type="dxa" w:w="80"/>
              <w:left w:type="dxa" w:w="160"/>
              <w:bottom w:type="dxa" w:w="80"/>
              <w:right w:type="dxa" w:w="160"/>
            </w:tcMar>
          </w:tcPr>
          <w:p>
            <w:r>
              <w:rPr>
                <w:rFonts w:ascii="Calibri" w:cs="Calibri" w:eastAsia="Calibri" w:hAnsi="Calibri"/>
                <w:color w:val="1E1E2E"/>
                <w:sz w:val="22"/>
                <w:szCs w:val="22"/>
              </w:rPr>
              <w:t xml:space="preserve">Enterprise client engagement score; contract negotiation stage; first MRR target</w:t>
            </w:r>
          </w:p>
        </w:tc>
      </w:tr>
      <w:tr>
        <w:tc>
          <w:tcPr>
            <w:tcW w:type="dxa" w:w="2600"/>
            <w:tcBorders>
              <w:top w:val="single" w:color="CCCCBB" w:sz="1" w:space="0"/>
              <w:left w:val="single" w:color="CCCCBB" w:sz="1" w:space="0"/>
              <w:bottom w:val="single" w:color="CCCCBB" w:sz="1" w:space="0"/>
              <w:right w:val="single" w:color="CCCCBB" w:sz="1" w:space="0"/>
            </w:tcBorders>
            <w:shd w:fill="EDE8D8" w:val="clear"/>
            <w:tcMar>
              <w:top w:type="dxa" w:w="80"/>
              <w:left w:type="dxa" w:w="160"/>
              <w:bottom w:type="dxa" w:w="80"/>
              <w:right w:type="dxa" w:w="160"/>
            </w:tcMar>
          </w:tcPr>
          <w:p>
            <w:r>
              <w:rPr>
                <w:rFonts w:ascii="Calibri" w:cs="Calibri" w:eastAsia="Calibri" w:hAnsi="Calibri"/>
                <w:b/>
                <w:bCs/>
                <w:color w:val="0C2340"/>
                <w:sz w:val="22"/>
                <w:szCs w:val="22"/>
              </w:rPr>
              <w:t xml:space="preserve">Government</w:t>
            </w:r>
          </w:p>
        </w:tc>
        <w:tc>
          <w:tcPr>
            <w:tcW w:type="dxa" w:w="6400"/>
            <w:tcBorders>
              <w:top w:val="single" w:color="CCCCBB" w:sz="1" w:space="0"/>
              <w:left w:val="single" w:color="CCCCBB" w:sz="1" w:space="0"/>
              <w:bottom w:val="single" w:color="CCCCBB" w:sz="1" w:space="0"/>
              <w:right w:val="single" w:color="CCCCBB" w:sz="1" w:space="0"/>
            </w:tcBorders>
            <w:shd w:fill="FFFFFF" w:val="clear"/>
            <w:tcMar>
              <w:top w:type="dxa" w:w="80"/>
              <w:left w:type="dxa" w:w="160"/>
              <w:bottom w:type="dxa" w:w="80"/>
              <w:right w:type="dxa" w:w="160"/>
            </w:tcMar>
          </w:tcPr>
          <w:p>
            <w:r>
              <w:rPr>
                <w:rFonts w:ascii="Calibri" w:cs="Calibri" w:eastAsia="Calibri" w:hAnsi="Calibri"/>
                <w:color w:val="1E1E2E"/>
                <w:sz w:val="22"/>
                <w:szCs w:val="22"/>
              </w:rPr>
              <w:t xml:space="preserve">Meeting conversion rate; procurement timeline confirmed; LOI timeline established</w:t>
            </w:r>
          </w:p>
        </w:tc>
      </w:tr>
      <w:tr>
        <w:tc>
          <w:tcPr>
            <w:tcW w:type="dxa" w:w="2600"/>
            <w:tcBorders>
              <w:top w:val="single" w:color="CCCCBB" w:sz="1" w:space="0"/>
              <w:left w:val="single" w:color="CCCCBB" w:sz="1" w:space="0"/>
              <w:bottom w:val="single" w:color="CCCCBB" w:sz="1" w:space="0"/>
              <w:right w:val="single" w:color="CCCCBB" w:sz="1" w:space="0"/>
            </w:tcBorders>
            <w:shd w:fill="F5F2EA" w:val="clear"/>
            <w:tcMar>
              <w:top w:type="dxa" w:w="80"/>
              <w:left w:type="dxa" w:w="160"/>
              <w:bottom w:type="dxa" w:w="80"/>
              <w:right w:type="dxa" w:w="160"/>
            </w:tcMar>
          </w:tcPr>
          <w:p>
            <w:r>
              <w:rPr>
                <w:rFonts w:ascii="Calibri" w:cs="Calibri" w:eastAsia="Calibri" w:hAnsi="Calibri"/>
                <w:b/>
                <w:bCs/>
                <w:color w:val="0C2340"/>
                <w:sz w:val="22"/>
                <w:szCs w:val="22"/>
              </w:rPr>
              <w:t xml:space="preserve">Financial</w:t>
            </w:r>
          </w:p>
        </w:tc>
        <w:tc>
          <w:tcPr>
            <w:tcW w:type="dxa" w:w="6400"/>
            <w:tcBorders>
              <w:top w:val="single" w:color="CCCCBB" w:sz="1" w:space="0"/>
              <w:left w:val="single" w:color="CCCCBB" w:sz="1" w:space="0"/>
              <w:bottom w:val="single" w:color="CCCCBB" w:sz="1" w:space="0"/>
              <w:right w:val="single" w:color="CCCCBB" w:sz="1" w:space="0"/>
            </w:tcBorders>
            <w:shd w:fill="FAFAF5" w:val="clear"/>
            <w:tcMar>
              <w:top w:type="dxa" w:w="80"/>
              <w:left w:type="dxa" w:w="160"/>
              <w:bottom w:type="dxa" w:w="80"/>
              <w:right w:type="dxa" w:w="160"/>
            </w:tcMar>
          </w:tcPr>
          <w:p>
            <w:r>
              <w:rPr>
                <w:rFonts w:ascii="Calibri" w:cs="Calibri" w:eastAsia="Calibri" w:hAnsi="Calibri"/>
                <w:color w:val="1E1E2E"/>
                <w:sz w:val="22"/>
                <w:szCs w:val="22"/>
              </w:rPr>
              <w:t xml:space="preserve">Cash burn versus plan; runway remaining; 3-month runway alert trigger</w:t>
            </w:r>
          </w:p>
        </w:tc>
      </w:tr>
      <w:tr>
        <w:tc>
          <w:tcPr>
            <w:tcW w:type="dxa" w:w="2600"/>
            <w:tcBorders>
              <w:top w:val="single" w:color="CCCCBB" w:sz="1" w:space="0"/>
              <w:left w:val="single" w:color="CCCCBB" w:sz="1" w:space="0"/>
              <w:bottom w:val="single" w:color="CCCCBB" w:sz="1" w:space="0"/>
              <w:right w:val="single" w:color="CCCCBB" w:sz="1" w:space="0"/>
            </w:tcBorders>
            <w:shd w:fill="EDE8D8" w:val="clear"/>
            <w:tcMar>
              <w:top w:type="dxa" w:w="80"/>
              <w:left w:type="dxa" w:w="160"/>
              <w:bottom w:type="dxa" w:w="80"/>
              <w:right w:type="dxa" w:w="160"/>
            </w:tcMar>
          </w:tcPr>
          <w:p>
            <w:r>
              <w:rPr>
                <w:rFonts w:ascii="Calibri" w:cs="Calibri" w:eastAsia="Calibri" w:hAnsi="Calibri"/>
                <w:b/>
                <w:bCs/>
                <w:color w:val="0C2340"/>
                <w:sz w:val="22"/>
                <w:szCs w:val="22"/>
              </w:rPr>
              <w:t xml:space="preserve">Governance</w:t>
            </w:r>
          </w:p>
        </w:tc>
        <w:tc>
          <w:tcPr>
            <w:tcW w:type="dxa" w:w="6400"/>
            <w:tcBorders>
              <w:top w:val="single" w:color="CCCCBB" w:sz="1" w:space="0"/>
              <w:left w:val="single" w:color="CCCCBB" w:sz="1" w:space="0"/>
              <w:bottom w:val="single" w:color="CCCCBB" w:sz="1" w:space="0"/>
              <w:right w:val="single" w:color="CCCCBB" w:sz="1" w:space="0"/>
            </w:tcBorders>
            <w:shd w:fill="FFFFFF" w:val="clear"/>
            <w:tcMar>
              <w:top w:type="dxa" w:w="80"/>
              <w:left w:type="dxa" w:w="160"/>
              <w:bottom w:type="dxa" w:w="80"/>
              <w:right w:type="dxa" w:w="160"/>
            </w:tcMar>
          </w:tcPr>
          <w:p>
            <w:r>
              <w:rPr>
                <w:rFonts w:ascii="Calibri" w:cs="Calibri" w:eastAsia="Calibri" w:hAnsi="Calibri"/>
                <w:color w:val="1E1E2E"/>
                <w:sz w:val="22"/>
                <w:szCs w:val="22"/>
              </w:rPr>
              <w:t xml:space="preserve">COB monthly review completed; compliance issues raised and resolved; audit trail current</w:t>
            </w:r>
          </w:p>
        </w:tc>
      </w:tr>
    </w:tbl>
    <w:p>
      <w:pPr>
        <w:spacing w:before="160" w:after="0"/>
      </w:pPr>
    </w:p>
    <w:p>
      <w:pPr>
        <w:pBdr>
          <w:bottom w:val="single" w:color="C9A84C" w:sz="8" w:space="4"/>
        </w:pBdr>
        <w:spacing w:before="440" w:after="120"/>
      </w:pPr>
      <w:r>
        <w:rPr>
          <w:rFonts w:ascii="Georgia" w:cs="Georgia" w:eastAsia="Georgia" w:hAnsi="Georgia"/>
          <w:b/>
          <w:bCs/>
          <w:color w:val="B8972A"/>
          <w:sz w:val="28"/>
          <w:szCs w:val="28"/>
        </w:rPr>
        <w:t xml:space="preserve">6.4  </w:t>
      </w:r>
      <w:r>
        <w:rPr>
          <w:rFonts w:ascii="Georgia" w:cs="Georgia" w:eastAsia="Georgia" w:hAnsi="Georgia"/>
          <w:b/>
          <w:bCs/>
          <w:color w:val="0C2340"/>
          <w:sz w:val="28"/>
          <w:szCs w:val="28"/>
        </w:rPr>
        <w:t xml:space="preserve">Months 12–18: Evidence Base &amp; Scaling Preparation</w:t>
      </w:r>
    </w:p>
    <w:p>
      <w:pPr>
        <w:spacing w:before="80" w:after="80"/>
        <w:jc w:val="both"/>
      </w:pPr>
      <w:r>
        <w:rPr>
          <w:rFonts w:ascii="Calibri" w:cs="Calibri" w:eastAsia="Calibri" w:hAnsi="Calibri"/>
          <w:color w:val="1E1E2E"/>
          <w:sz w:val="22"/>
          <w:szCs w:val="22"/>
        </w:rPr>
        <w:t xml:space="preserve">By Month 12, the first S.E.T.H.S cohort completes Phases 0–3 and begins employment placements. UDOC first enterprise client is on a paying contract. The founder is in active Series A conversations with a documented investor pipeline.</w:t>
      </w:r>
    </w:p>
    <w:p>
      <w:pPr>
        <w:spacing w:before="280" w:after="80"/>
      </w:pPr>
      <w:r>
        <w:rPr>
          <w:rFonts w:ascii="Georgia" w:cs="Georgia" w:eastAsia="Georgia" w:hAnsi="Georgia"/>
          <w:b/>
          <w:bCs/>
          <w:color w:val="0C2340"/>
          <w:sz w:val="24"/>
          <w:szCs w:val="24"/>
        </w:rPr>
        <w:t xml:space="preserve">18-Month Milestones</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2600"/>
        <w:gridCol w:w="6400"/>
      </w:tblGrid>
      <w:tr>
        <w:tc>
          <w:tcPr>
            <w:tcW w:type="dxa" w:w="2600"/>
            <w:tcBorders>
              <w:top w:val="single" w:color="CCCCBB" w:sz="1" w:space="0"/>
              <w:left w:val="single" w:color="CCCCBB" w:sz="1" w:space="0"/>
              <w:bottom w:val="single" w:color="CCCCBB" w:sz="1" w:space="0"/>
              <w:right w:val="single" w:color="CCCCBB" w:sz="1" w:space="0"/>
            </w:tcBorders>
            <w:shd w:fill="EDE8D8" w:val="clear"/>
            <w:tcMar>
              <w:top w:type="dxa" w:w="80"/>
              <w:left w:type="dxa" w:w="160"/>
              <w:bottom w:type="dxa" w:w="80"/>
              <w:right w:type="dxa" w:w="160"/>
            </w:tcMar>
          </w:tcPr>
          <w:p>
            <w:r>
              <w:rPr>
                <w:rFonts w:ascii="Calibri" w:cs="Calibri" w:eastAsia="Calibri" w:hAnsi="Calibri"/>
                <w:b/>
                <w:bCs/>
                <w:color w:val="0C2340"/>
                <w:sz w:val="22"/>
                <w:szCs w:val="22"/>
              </w:rPr>
              <w:t xml:space="preserve">S.E.T.H.S</w:t>
            </w:r>
          </w:p>
        </w:tc>
        <w:tc>
          <w:tcPr>
            <w:tcW w:type="dxa" w:w="6400"/>
            <w:tcBorders>
              <w:top w:val="single" w:color="CCCCBB" w:sz="1" w:space="0"/>
              <w:left w:val="single" w:color="CCCCBB" w:sz="1" w:space="0"/>
              <w:bottom w:val="single" w:color="CCCCBB" w:sz="1" w:space="0"/>
              <w:right w:val="single" w:color="CCCCBB" w:sz="1" w:space="0"/>
            </w:tcBorders>
            <w:shd w:fill="FFFFFF" w:val="clear"/>
            <w:tcMar>
              <w:top w:type="dxa" w:w="80"/>
              <w:left w:type="dxa" w:w="160"/>
              <w:bottom w:type="dxa" w:w="80"/>
              <w:right w:type="dxa" w:w="160"/>
            </w:tcMar>
          </w:tcPr>
          <w:p>
            <w:r>
              <w:rPr>
                <w:rFonts w:ascii="Calibri" w:cs="Calibri" w:eastAsia="Calibri" w:hAnsi="Calibri"/>
                <w:color w:val="1E1E2E"/>
                <w:sz w:val="22"/>
                <w:szCs w:val="22"/>
              </w:rPr>
              <w:t xml:space="preserve">50+ participants in active programs; 10+ placements with retention data; employer feedback documented</w:t>
            </w:r>
          </w:p>
        </w:tc>
      </w:tr>
      <w:tr>
        <w:tc>
          <w:tcPr>
            <w:tcW w:type="dxa" w:w="2600"/>
            <w:tcBorders>
              <w:top w:val="single" w:color="CCCCBB" w:sz="1" w:space="0"/>
              <w:left w:val="single" w:color="CCCCBB" w:sz="1" w:space="0"/>
              <w:bottom w:val="single" w:color="CCCCBB" w:sz="1" w:space="0"/>
              <w:right w:val="single" w:color="CCCCBB" w:sz="1" w:space="0"/>
            </w:tcBorders>
            <w:shd w:fill="F5F2EA" w:val="clear"/>
            <w:tcMar>
              <w:top w:type="dxa" w:w="80"/>
              <w:left w:type="dxa" w:w="160"/>
              <w:bottom w:type="dxa" w:w="80"/>
              <w:right w:type="dxa" w:w="160"/>
            </w:tcMar>
          </w:tcPr>
          <w:p>
            <w:r>
              <w:rPr>
                <w:rFonts w:ascii="Calibri" w:cs="Calibri" w:eastAsia="Calibri" w:hAnsi="Calibri"/>
                <w:b/>
                <w:bCs/>
                <w:color w:val="0C2340"/>
                <w:sz w:val="22"/>
                <w:szCs w:val="22"/>
              </w:rPr>
              <w:t xml:space="preserve">UDOC</w:t>
            </w:r>
          </w:p>
        </w:tc>
        <w:tc>
          <w:tcPr>
            <w:tcW w:type="dxa" w:w="6400"/>
            <w:tcBorders>
              <w:top w:val="single" w:color="CCCCBB" w:sz="1" w:space="0"/>
              <w:left w:val="single" w:color="CCCCBB" w:sz="1" w:space="0"/>
              <w:bottom w:val="single" w:color="CCCCBB" w:sz="1" w:space="0"/>
              <w:right w:val="single" w:color="CCCCBB" w:sz="1" w:space="0"/>
            </w:tcBorders>
            <w:shd w:fill="FAFAF5" w:val="clear"/>
            <w:tcMar>
              <w:top w:type="dxa" w:w="80"/>
              <w:left w:type="dxa" w:w="160"/>
              <w:bottom w:type="dxa" w:w="80"/>
              <w:right w:type="dxa" w:w="160"/>
            </w:tcMar>
          </w:tcPr>
          <w:p>
            <w:r>
              <w:rPr>
                <w:rFonts w:ascii="Calibri" w:cs="Calibri" w:eastAsia="Calibri" w:hAnsi="Calibri"/>
                <w:color w:val="1E1E2E"/>
                <w:sz w:val="22"/>
                <w:szCs w:val="22"/>
              </w:rPr>
              <w:t xml:space="preserve">2+ enterprise clients on contract; government formal engagement confirmed; MVP fully functional</w:t>
            </w:r>
          </w:p>
        </w:tc>
      </w:tr>
      <w:tr>
        <w:tc>
          <w:tcPr>
            <w:tcW w:type="dxa" w:w="2600"/>
            <w:tcBorders>
              <w:top w:val="single" w:color="CCCCBB" w:sz="1" w:space="0"/>
              <w:left w:val="single" w:color="CCCCBB" w:sz="1" w:space="0"/>
              <w:bottom w:val="single" w:color="CCCCBB" w:sz="1" w:space="0"/>
              <w:right w:val="single" w:color="CCCCBB" w:sz="1" w:space="0"/>
            </w:tcBorders>
            <w:shd w:fill="EDE8D8" w:val="clear"/>
            <w:tcMar>
              <w:top w:type="dxa" w:w="80"/>
              <w:left w:type="dxa" w:w="160"/>
              <w:bottom w:type="dxa" w:w="80"/>
              <w:right w:type="dxa" w:w="160"/>
            </w:tcMar>
          </w:tcPr>
          <w:p>
            <w:r>
              <w:rPr>
                <w:rFonts w:ascii="Calibri" w:cs="Calibri" w:eastAsia="Calibri" w:hAnsi="Calibri"/>
                <w:b/>
                <w:bCs/>
                <w:color w:val="0C2340"/>
                <w:sz w:val="22"/>
                <w:szCs w:val="22"/>
              </w:rPr>
              <w:t xml:space="preserve">Capital</w:t>
            </w:r>
          </w:p>
        </w:tc>
        <w:tc>
          <w:tcPr>
            <w:tcW w:type="dxa" w:w="6400"/>
            <w:tcBorders>
              <w:top w:val="single" w:color="CCCCBB" w:sz="1" w:space="0"/>
              <w:left w:val="single" w:color="CCCCBB" w:sz="1" w:space="0"/>
              <w:bottom w:val="single" w:color="CCCCBB" w:sz="1" w:space="0"/>
              <w:right w:val="single" w:color="CCCCBB" w:sz="1" w:space="0"/>
            </w:tcBorders>
            <w:shd w:fill="FFFFFF" w:val="clear"/>
            <w:tcMar>
              <w:top w:type="dxa" w:w="80"/>
              <w:left w:type="dxa" w:w="160"/>
              <w:bottom w:type="dxa" w:w="80"/>
              <w:right w:type="dxa" w:w="160"/>
            </w:tcMar>
          </w:tcPr>
          <w:p>
            <w:r>
              <w:rPr>
                <w:rFonts w:ascii="Calibri" w:cs="Calibri" w:eastAsia="Calibri" w:hAnsi="Calibri"/>
                <w:color w:val="1E1E2E"/>
                <w:sz w:val="22"/>
                <w:szCs w:val="22"/>
              </w:rPr>
              <w:t xml:space="preserve">Seed fully deployed; Series A pipeline with 3+ qualified investor conversations in progress</w:t>
            </w:r>
          </w:p>
        </w:tc>
      </w:tr>
      <w:tr>
        <w:tc>
          <w:tcPr>
            <w:tcW w:type="dxa" w:w="2600"/>
            <w:tcBorders>
              <w:top w:val="single" w:color="CCCCBB" w:sz="1" w:space="0"/>
              <w:left w:val="single" w:color="CCCCBB" w:sz="1" w:space="0"/>
              <w:bottom w:val="single" w:color="CCCCBB" w:sz="1" w:space="0"/>
              <w:right w:val="single" w:color="CCCCBB" w:sz="1" w:space="0"/>
            </w:tcBorders>
            <w:shd w:fill="F5F2EA" w:val="clear"/>
            <w:tcMar>
              <w:top w:type="dxa" w:w="80"/>
              <w:left w:type="dxa" w:w="160"/>
              <w:bottom w:type="dxa" w:w="80"/>
              <w:right w:type="dxa" w:w="160"/>
            </w:tcMar>
          </w:tcPr>
          <w:p>
            <w:r>
              <w:rPr>
                <w:rFonts w:ascii="Calibri" w:cs="Calibri" w:eastAsia="Calibri" w:hAnsi="Calibri"/>
                <w:b/>
                <w:bCs/>
                <w:color w:val="0C2340"/>
                <w:sz w:val="22"/>
                <w:szCs w:val="22"/>
              </w:rPr>
              <w:t xml:space="preserve">Governance</w:t>
            </w:r>
          </w:p>
        </w:tc>
        <w:tc>
          <w:tcPr>
            <w:tcW w:type="dxa" w:w="6400"/>
            <w:tcBorders>
              <w:top w:val="single" w:color="CCCCBB" w:sz="1" w:space="0"/>
              <w:left w:val="single" w:color="CCCCBB" w:sz="1" w:space="0"/>
              <w:bottom w:val="single" w:color="CCCCBB" w:sz="1" w:space="0"/>
              <w:right w:val="single" w:color="CCCCBB" w:sz="1" w:space="0"/>
            </w:tcBorders>
            <w:shd w:fill="FAFAF5" w:val="clear"/>
            <w:tcMar>
              <w:top w:type="dxa" w:w="80"/>
              <w:left w:type="dxa" w:w="160"/>
              <w:bottom w:type="dxa" w:w="80"/>
              <w:right w:type="dxa" w:w="160"/>
            </w:tcMar>
          </w:tcPr>
          <w:p>
            <w:r>
              <w:rPr>
                <w:rFonts w:ascii="Calibri" w:cs="Calibri" w:eastAsia="Calibri" w:hAnsi="Calibri"/>
                <w:color w:val="1E1E2E"/>
                <w:sz w:val="22"/>
                <w:szCs w:val="22"/>
              </w:rPr>
              <w:t xml:space="preserve">Full COB operational; first annual constitutional review completed; external audit engaged</w:t>
            </w:r>
          </w:p>
        </w:tc>
      </w:tr>
      <w:tr>
        <w:tc>
          <w:tcPr>
            <w:tcW w:type="dxa" w:w="2600"/>
            <w:tcBorders>
              <w:top w:val="single" w:color="CCCCBB" w:sz="1" w:space="0"/>
              <w:left w:val="single" w:color="CCCCBB" w:sz="1" w:space="0"/>
              <w:bottom w:val="single" w:color="CCCCBB" w:sz="1" w:space="0"/>
              <w:right w:val="single" w:color="CCCCBB" w:sz="1" w:space="0"/>
            </w:tcBorders>
            <w:shd w:fill="EDE8D8" w:val="clear"/>
            <w:tcMar>
              <w:top w:type="dxa" w:w="80"/>
              <w:left w:type="dxa" w:w="160"/>
              <w:bottom w:type="dxa" w:w="80"/>
              <w:right w:type="dxa" w:w="160"/>
            </w:tcMar>
          </w:tcPr>
          <w:p>
            <w:r>
              <w:rPr>
                <w:rFonts w:ascii="Calibri" w:cs="Calibri" w:eastAsia="Calibri" w:hAnsi="Calibri"/>
                <w:b/>
                <w:bCs/>
                <w:color w:val="0C2340"/>
                <w:sz w:val="22"/>
                <w:szCs w:val="22"/>
              </w:rPr>
              <w:t xml:space="preserve">Media</w:t>
            </w:r>
          </w:p>
        </w:tc>
        <w:tc>
          <w:tcPr>
            <w:tcW w:type="dxa" w:w="6400"/>
            <w:tcBorders>
              <w:top w:val="single" w:color="CCCCBB" w:sz="1" w:space="0"/>
              <w:left w:val="single" w:color="CCCCBB" w:sz="1" w:space="0"/>
              <w:bottom w:val="single" w:color="CCCCBB" w:sz="1" w:space="0"/>
              <w:right w:val="single" w:color="CCCCBB" w:sz="1" w:space="0"/>
            </w:tcBorders>
            <w:shd w:fill="FFFFFF" w:val="clear"/>
            <w:tcMar>
              <w:top w:type="dxa" w:w="80"/>
              <w:left w:type="dxa" w:w="160"/>
              <w:bottom w:type="dxa" w:w="80"/>
              <w:right w:type="dxa" w:w="160"/>
            </w:tcMar>
          </w:tcPr>
          <w:p>
            <w:r>
              <w:rPr>
                <w:rFonts w:ascii="Calibri" w:cs="Calibri" w:eastAsia="Calibri" w:hAnsi="Calibri"/>
                <w:color w:val="1E1E2E"/>
                <w:sz w:val="22"/>
                <w:szCs w:val="22"/>
              </w:rPr>
              <w:t xml:space="preserve">First institutional content distributed; 2+ government or corporate speaking engagements</w:t>
            </w:r>
          </w:p>
        </w:tc>
      </w:tr>
    </w:tbl>
    <w:p>
      <w:pPr>
        <w:spacing w:before="160" w:after="0"/>
      </w:pPr>
    </w:p>
    <w:p>
      <w:pPr>
        <w:pBdr>
          <w:bottom w:val="single" w:color="C9A84C" w:sz="8" w:space="4"/>
        </w:pBdr>
        <w:spacing w:before="440" w:after="120"/>
      </w:pPr>
      <w:r>
        <w:rPr>
          <w:rFonts w:ascii="Georgia" w:cs="Georgia" w:eastAsia="Georgia" w:hAnsi="Georgia"/>
          <w:b/>
          <w:bCs/>
          <w:color w:val="B8972A"/>
          <w:sz w:val="28"/>
          <w:szCs w:val="28"/>
        </w:rPr>
        <w:t xml:space="preserve">6.5  </w:t>
      </w:r>
      <w:r>
        <w:rPr>
          <w:rFonts w:ascii="Georgia" w:cs="Georgia" w:eastAsia="Georgia" w:hAnsi="Georgia"/>
          <w:b/>
          <w:bCs/>
          <w:color w:val="0C2340"/>
          <w:sz w:val="28"/>
          <w:szCs w:val="28"/>
        </w:rPr>
        <w:t xml:space="preserve">Governance in Practice — The COB Function</w:t>
      </w:r>
    </w:p>
    <w:p>
      <w:pPr>
        <w:spacing w:before="80" w:after="80"/>
        <w:jc w:val="both"/>
      </w:pPr>
      <w:r>
        <w:rPr>
          <w:rFonts w:ascii="Calibri" w:cs="Calibri" w:eastAsia="Calibri" w:hAnsi="Calibri"/>
          <w:color w:val="1E1E2E"/>
          <w:sz w:val="22"/>
          <w:szCs w:val="22"/>
        </w:rPr>
        <w:t xml:space="preserve">The COB is not a ceremonial advisory board. It has defined authority and accountability. Quarterly open sessions review: constitutional compliance across all divisions; financial health and capital deployment; risk register status; program outcome metrics; and any transactions requiring constitutional approval.</w:t>
      </w:r>
    </w:p>
    <w:p>
      <w:pPr>
        <w:spacing w:before="80" w:after="80"/>
        <w:jc w:val="both"/>
      </w:pPr>
      <w:r>
        <w:rPr>
          <w:rFonts w:ascii="Calibri" w:cs="Calibri" w:eastAsia="Calibri" w:hAnsi="Calibri"/>
          <w:color w:val="1E1E2E"/>
          <w:sz w:val="22"/>
          <w:szCs w:val="22"/>
        </w:rPr>
        <w:t xml:space="preserve">Every senior hire, every government contract above R5M, every equity transaction, and every IP licensing agreement is reviewed against the Twelve Constitutional Pillars before execution. This adds time and friction to commercial decisions. That friction is structural — it is the mechanism by which institutional integrity is preserved under commercial pressure. Institutions that remove friction from governance to accelerate commercially tend not to survive their second decade.</w:t>
      </w:r>
    </w:p>
    <w:p>
      <w:pPr>
        <w:spacing w:before="160" w:after="0"/>
      </w:pPr>
    </w:p>
    <w:p>
      <w:pPr>
        <w:pBdr>
          <w:bottom w:val="single" w:color="C9A84C" w:sz="8" w:space="4"/>
        </w:pBdr>
        <w:spacing w:before="440" w:after="120"/>
      </w:pPr>
      <w:r>
        <w:rPr>
          <w:rFonts w:ascii="Georgia" w:cs="Georgia" w:eastAsia="Georgia" w:hAnsi="Georgia"/>
          <w:b/>
          <w:bCs/>
          <w:color w:val="B8972A"/>
          <w:sz w:val="28"/>
          <w:szCs w:val="28"/>
        </w:rPr>
        <w:t xml:space="preserve">6.6  </w:t>
      </w:r>
      <w:r>
        <w:rPr>
          <w:rFonts w:ascii="Georgia" w:cs="Georgia" w:eastAsia="Georgia" w:hAnsi="Georgia"/>
          <w:b/>
          <w:bCs/>
          <w:color w:val="0C2340"/>
          <w:sz w:val="28"/>
          <w:szCs w:val="28"/>
        </w:rPr>
        <w:t xml:space="preserve">Risk Register — Six Critical Risks</w:t>
      </w:r>
    </w:p>
    <w:p>
      <w:pPr>
        <w:spacing w:before="80" w:after="0"/>
      </w:pP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2200"/>
        <w:gridCol w:w="700"/>
        <w:gridCol w:w="700"/>
        <w:gridCol w:w="700"/>
        <w:gridCol w:w="4700"/>
      </w:tblGrid>
      <w:tr>
        <w:trPr>
          <w:tblHeader/>
        </w:trPr>
        <w:tc>
          <w:tcPr>
            <w:tcW w:type="dxa" w:w="2200"/>
            <w:tcBorders>
              <w:top w:val="single" w:color="CCCCBB" w:sz="1" w:space="0"/>
              <w:left w:val="single" w:color="CCCCBB" w:sz="1" w:space="0"/>
              <w:bottom w:val="single" w:color="CCCCBB" w:sz="1" w:space="0"/>
              <w:right w:val="single" w:color="CCCCBB" w:sz="1" w:space="0"/>
            </w:tcBorders>
            <w:shd w:fill="0C2340" w:val="clear"/>
            <w:tcMar>
              <w:top w:type="dxa" w:w="80"/>
              <w:left w:type="dxa" w:w="100"/>
              <w:bottom w:type="dxa" w:w="80"/>
              <w:right w:type="dxa" w:w="100"/>
            </w:tcMar>
          </w:tcPr>
          <w:p>
            <w:r>
              <w:rPr>
                <w:rFonts w:ascii="Calibri" w:cs="Calibri" w:eastAsia="Calibri" w:hAnsi="Calibri"/>
                <w:b/>
                <w:bCs/>
                <w:color w:val="FFFFFF"/>
                <w:sz w:val="18"/>
                <w:szCs w:val="18"/>
              </w:rPr>
              <w:t xml:space="preserve">Risk Area</w:t>
            </w:r>
          </w:p>
        </w:tc>
        <w:tc>
          <w:tcPr>
            <w:tcW w:type="dxa" w:w="700"/>
            <w:tcBorders>
              <w:top w:val="single" w:color="CCCCBB" w:sz="1" w:space="0"/>
              <w:left w:val="single" w:color="CCCCBB" w:sz="1" w:space="0"/>
              <w:bottom w:val="single" w:color="CCCCBB" w:sz="1" w:space="0"/>
              <w:right w:val="single" w:color="CCCCBB" w:sz="1" w:space="0"/>
            </w:tcBorders>
            <w:shd w:fill="0C2340" w:val="clear"/>
            <w:tcMar>
              <w:top w:type="dxa" w:w="80"/>
              <w:left w:type="dxa" w:w="100"/>
              <w:bottom w:type="dxa" w:w="80"/>
              <w:right w:type="dxa" w:w="100"/>
            </w:tcMar>
          </w:tcPr>
          <w:p>
            <w:r>
              <w:rPr>
                <w:rFonts w:ascii="Calibri" w:cs="Calibri" w:eastAsia="Calibri" w:hAnsi="Calibri"/>
                <w:b/>
                <w:bCs/>
                <w:color w:val="FFFFFF"/>
                <w:sz w:val="18"/>
                <w:szCs w:val="18"/>
              </w:rPr>
              <w:t xml:space="preserve">Likelihood</w:t>
            </w:r>
          </w:p>
        </w:tc>
        <w:tc>
          <w:tcPr>
            <w:tcW w:type="dxa" w:w="700"/>
            <w:tcBorders>
              <w:top w:val="single" w:color="CCCCBB" w:sz="1" w:space="0"/>
              <w:left w:val="single" w:color="CCCCBB" w:sz="1" w:space="0"/>
              <w:bottom w:val="single" w:color="CCCCBB" w:sz="1" w:space="0"/>
              <w:right w:val="single" w:color="CCCCBB" w:sz="1" w:space="0"/>
            </w:tcBorders>
            <w:shd w:fill="0C2340" w:val="clear"/>
            <w:tcMar>
              <w:top w:type="dxa" w:w="80"/>
              <w:left w:type="dxa" w:w="100"/>
              <w:bottom w:type="dxa" w:w="80"/>
              <w:right w:type="dxa" w:w="100"/>
            </w:tcMar>
          </w:tcPr>
          <w:p>
            <w:r>
              <w:rPr>
                <w:rFonts w:ascii="Calibri" w:cs="Calibri" w:eastAsia="Calibri" w:hAnsi="Calibri"/>
                <w:b/>
                <w:bCs/>
                <w:color w:val="FFFFFF"/>
                <w:sz w:val="18"/>
                <w:szCs w:val="18"/>
              </w:rPr>
              <w:t xml:space="preserve">Impact</w:t>
            </w:r>
          </w:p>
        </w:tc>
        <w:tc>
          <w:tcPr>
            <w:tcW w:type="dxa" w:w="700"/>
            <w:tcBorders>
              <w:top w:val="single" w:color="CCCCBB" w:sz="1" w:space="0"/>
              <w:left w:val="single" w:color="CCCCBB" w:sz="1" w:space="0"/>
              <w:bottom w:val="single" w:color="CCCCBB" w:sz="1" w:space="0"/>
              <w:right w:val="single" w:color="CCCCBB" w:sz="1" w:space="0"/>
            </w:tcBorders>
            <w:shd w:fill="0C2340" w:val="clear"/>
            <w:tcMar>
              <w:top w:type="dxa" w:w="80"/>
              <w:left w:type="dxa" w:w="100"/>
              <w:bottom w:type="dxa" w:w="80"/>
              <w:right w:type="dxa" w:w="100"/>
            </w:tcMar>
          </w:tcPr>
          <w:p>
            <w:r>
              <w:rPr>
                <w:rFonts w:ascii="Calibri" w:cs="Calibri" w:eastAsia="Calibri" w:hAnsi="Calibri"/>
                <w:b/>
                <w:bCs/>
                <w:color w:val="FFFFFF"/>
                <w:sz w:val="18"/>
                <w:szCs w:val="18"/>
              </w:rPr>
              <w:t xml:space="preserve">Rating</w:t>
            </w:r>
          </w:p>
        </w:tc>
        <w:tc>
          <w:tcPr>
            <w:tcW w:type="dxa" w:w="4700"/>
            <w:tcBorders>
              <w:top w:val="single" w:color="CCCCBB" w:sz="1" w:space="0"/>
              <w:left w:val="single" w:color="CCCCBB" w:sz="1" w:space="0"/>
              <w:bottom w:val="single" w:color="CCCCBB" w:sz="1" w:space="0"/>
              <w:right w:val="single" w:color="CCCCBB" w:sz="1" w:space="0"/>
            </w:tcBorders>
            <w:shd w:fill="0C2340" w:val="clear"/>
            <w:tcMar>
              <w:top w:type="dxa" w:w="80"/>
              <w:left w:type="dxa" w:w="100"/>
              <w:bottom w:type="dxa" w:w="80"/>
              <w:right w:type="dxa" w:w="100"/>
            </w:tcMar>
          </w:tcPr>
          <w:p>
            <w:r>
              <w:rPr>
                <w:rFonts w:ascii="Calibri" w:cs="Calibri" w:eastAsia="Calibri" w:hAnsi="Calibri"/>
                <w:b/>
                <w:bCs/>
                <w:color w:val="FFFFFF"/>
                <w:sz w:val="18"/>
                <w:szCs w:val="18"/>
              </w:rPr>
              <w:t xml:space="preserve">Mitigation</w:t>
            </w:r>
          </w:p>
        </w:tc>
      </w:tr>
      <w:tr>
        <w:tc>
          <w:tcPr>
            <w:tcW w:type="dxa" w:w="2200"/>
            <w:tcBorders>
              <w:top w:val="single" w:color="CCCCBB" w:sz="1" w:space="0"/>
              <w:left w:val="single" w:color="CCCCBB" w:sz="1" w:space="0"/>
              <w:bottom w:val="single" w:color="CCCCBB" w:sz="1" w:space="0"/>
              <w:right w:val="single" w:color="CCCCBB" w:sz="1" w:space="0"/>
            </w:tcBorders>
            <w:tcMar>
              <w:top w:type="dxa" w:w="80"/>
              <w:left w:type="dxa" w:w="100"/>
              <w:bottom w:type="dxa" w:w="80"/>
              <w:right w:type="dxa" w:w="100"/>
            </w:tcMar>
          </w:tcPr>
          <w:p>
            <w:r>
              <w:rPr>
                <w:rFonts w:ascii="Calibri" w:cs="Calibri" w:eastAsia="Calibri" w:hAnsi="Calibri"/>
                <w:color w:val="1E1E2E"/>
                <w:sz w:val="18"/>
                <w:szCs w:val="18"/>
              </w:rPr>
              <w:t xml:space="preserve">Mission drift under commercial pressure</w:t>
            </w:r>
          </w:p>
        </w:tc>
        <w:tc>
          <w:tcPr>
            <w:tcW w:type="dxa" w:w="700"/>
            <w:tcBorders>
              <w:top w:val="single" w:color="CCCCBB" w:sz="1" w:space="0"/>
              <w:left w:val="single" w:color="CCCCBB" w:sz="1" w:space="0"/>
              <w:bottom w:val="single" w:color="CCCCBB" w:sz="1" w:space="0"/>
              <w:right w:val="single" w:color="CCCCBB" w:sz="1" w:space="0"/>
            </w:tcBorders>
            <w:shd w:fill="F5F5F0" w:val="clear"/>
            <w:tcMar>
              <w:top w:type="dxa" w:w="80"/>
              <w:left w:type="dxa" w:w="80"/>
              <w:bottom w:type="dxa" w:w="80"/>
              <w:right w:type="dxa" w:w="80"/>
            </w:tcMar>
          </w:tcPr>
          <w:p>
            <w:pPr>
              <w:jc w:val="center"/>
            </w:pPr>
            <w:r>
              <w:rPr>
                <w:rFonts w:ascii="Calibri" w:cs="Calibri" w:eastAsia="Calibri" w:hAnsi="Calibri"/>
                <w:color w:val="1E1E2E"/>
                <w:sz w:val="18"/>
                <w:szCs w:val="18"/>
              </w:rPr>
              <w:t xml:space="preserve">3</w:t>
            </w:r>
          </w:p>
        </w:tc>
        <w:tc>
          <w:tcPr>
            <w:tcW w:type="dxa" w:w="700"/>
            <w:tcBorders>
              <w:top w:val="single" w:color="CCCCBB" w:sz="1" w:space="0"/>
              <w:left w:val="single" w:color="CCCCBB" w:sz="1" w:space="0"/>
              <w:bottom w:val="single" w:color="CCCCBB" w:sz="1" w:space="0"/>
              <w:right w:val="single" w:color="CCCCBB" w:sz="1" w:space="0"/>
            </w:tcBorders>
            <w:shd w:fill="F5F5F0" w:val="clear"/>
            <w:tcMar>
              <w:top w:type="dxa" w:w="80"/>
              <w:left w:type="dxa" w:w="80"/>
              <w:bottom w:type="dxa" w:w="80"/>
              <w:right w:type="dxa" w:w="80"/>
            </w:tcMar>
          </w:tcPr>
          <w:p>
            <w:pPr>
              <w:jc w:val="center"/>
            </w:pPr>
            <w:r>
              <w:rPr>
                <w:rFonts w:ascii="Calibri" w:cs="Calibri" w:eastAsia="Calibri" w:hAnsi="Calibri"/>
                <w:color w:val="1E1E2E"/>
                <w:sz w:val="18"/>
                <w:szCs w:val="18"/>
              </w:rPr>
              <w:t xml:space="preserve">5</w:t>
            </w:r>
          </w:p>
        </w:tc>
        <w:tc>
          <w:tcPr>
            <w:tcW w:type="dxa" w:w="700"/>
            <w:tcBorders>
              <w:top w:val="single" w:color="CCCCBB" w:sz="1" w:space="0"/>
              <w:left w:val="single" w:color="CCCCBB" w:sz="1" w:space="0"/>
              <w:bottom w:val="single" w:color="CCCCBB" w:sz="1" w:space="0"/>
              <w:right w:val="single" w:color="CCCCBB" w:sz="1" w:space="0"/>
            </w:tcBorders>
            <w:shd w:fill="C0392B" w:val="clear"/>
            <w:tcMar>
              <w:top w:type="dxa" w:w="80"/>
              <w:left w:type="dxa" w:w="80"/>
              <w:bottom w:type="dxa" w:w="80"/>
              <w:right w:type="dxa" w:w="80"/>
            </w:tcMar>
          </w:tcPr>
          <w:p>
            <w:pPr>
              <w:jc w:val="center"/>
            </w:pPr>
            <w:r>
              <w:rPr>
                <w:rFonts w:ascii="Calibri" w:cs="Calibri" w:eastAsia="Calibri" w:hAnsi="Calibri"/>
                <w:b/>
                <w:bCs/>
                <w:color w:val="FFFFFF"/>
                <w:sz w:val="18"/>
                <w:szCs w:val="18"/>
              </w:rPr>
              <w:t xml:space="preserve">HIGH</w:t>
            </w:r>
          </w:p>
        </w:tc>
        <w:tc>
          <w:tcPr>
            <w:tcW w:type="dxa" w:w="4700"/>
            <w:tcBorders>
              <w:top w:val="single" w:color="CCCCBB" w:sz="1" w:space="0"/>
              <w:left w:val="single" w:color="CCCCBB" w:sz="1" w:space="0"/>
              <w:bottom w:val="single" w:color="CCCCBB" w:sz="1" w:space="0"/>
              <w:right w:val="single" w:color="CCCCBB" w:sz="1" w:space="0"/>
            </w:tcBorders>
            <w:tcMar>
              <w:top w:type="dxa" w:w="80"/>
              <w:left w:type="dxa" w:w="100"/>
              <w:bottom w:type="dxa" w:w="80"/>
              <w:right w:type="dxa" w:w="100"/>
            </w:tcMar>
          </w:tcPr>
          <w:p>
            <w:r>
              <w:rPr>
                <w:rFonts w:ascii="Calibri" w:cs="Calibri" w:eastAsia="Calibri" w:hAnsi="Calibri"/>
                <w:i/>
                <w:iCs/>
                <w:color w:val="5A5A72"/>
                <w:sz w:val="18"/>
                <w:szCs w:val="18"/>
              </w:rPr>
              <w:t xml:space="preserve">12 Pillars; annual COB constitutional review; IP Trust insulated from commercial decisions</w:t>
            </w:r>
          </w:p>
        </w:tc>
      </w:tr>
      <w:tr>
        <w:tc>
          <w:tcPr>
            <w:tcW w:type="dxa" w:w="2200"/>
            <w:tcBorders>
              <w:top w:val="single" w:color="CCCCBB" w:sz="1" w:space="0"/>
              <w:left w:val="single" w:color="CCCCBB" w:sz="1" w:space="0"/>
              <w:bottom w:val="single" w:color="CCCCBB" w:sz="1" w:space="0"/>
              <w:right w:val="single" w:color="CCCCBB" w:sz="1" w:space="0"/>
            </w:tcBorders>
            <w:tcMar>
              <w:top w:type="dxa" w:w="80"/>
              <w:left w:type="dxa" w:w="100"/>
              <w:bottom w:type="dxa" w:w="80"/>
              <w:right w:type="dxa" w:w="100"/>
            </w:tcMar>
          </w:tcPr>
          <w:p>
            <w:r>
              <w:rPr>
                <w:rFonts w:ascii="Calibri" w:cs="Calibri" w:eastAsia="Calibri" w:hAnsi="Calibri"/>
                <w:color w:val="1E1E2E"/>
                <w:sz w:val="18"/>
                <w:szCs w:val="18"/>
              </w:rPr>
              <w:t xml:space="preserve">Political resistance / administration change</w:t>
            </w:r>
          </w:p>
        </w:tc>
        <w:tc>
          <w:tcPr>
            <w:tcW w:type="dxa" w:w="700"/>
            <w:tcBorders>
              <w:top w:val="single" w:color="CCCCBB" w:sz="1" w:space="0"/>
              <w:left w:val="single" w:color="CCCCBB" w:sz="1" w:space="0"/>
              <w:bottom w:val="single" w:color="CCCCBB" w:sz="1" w:space="0"/>
              <w:right w:val="single" w:color="CCCCBB" w:sz="1" w:space="0"/>
            </w:tcBorders>
            <w:shd w:fill="F5F5F0" w:val="clear"/>
            <w:tcMar>
              <w:top w:type="dxa" w:w="80"/>
              <w:left w:type="dxa" w:w="80"/>
              <w:bottom w:type="dxa" w:w="80"/>
              <w:right w:type="dxa" w:w="80"/>
            </w:tcMar>
          </w:tcPr>
          <w:p>
            <w:pPr>
              <w:jc w:val="center"/>
            </w:pPr>
            <w:r>
              <w:rPr>
                <w:rFonts w:ascii="Calibri" w:cs="Calibri" w:eastAsia="Calibri" w:hAnsi="Calibri"/>
                <w:color w:val="1E1E2E"/>
                <w:sz w:val="18"/>
                <w:szCs w:val="18"/>
              </w:rPr>
              <w:t xml:space="preserve">4</w:t>
            </w:r>
          </w:p>
        </w:tc>
        <w:tc>
          <w:tcPr>
            <w:tcW w:type="dxa" w:w="700"/>
            <w:tcBorders>
              <w:top w:val="single" w:color="CCCCBB" w:sz="1" w:space="0"/>
              <w:left w:val="single" w:color="CCCCBB" w:sz="1" w:space="0"/>
              <w:bottom w:val="single" w:color="CCCCBB" w:sz="1" w:space="0"/>
              <w:right w:val="single" w:color="CCCCBB" w:sz="1" w:space="0"/>
            </w:tcBorders>
            <w:shd w:fill="F5F5F0" w:val="clear"/>
            <w:tcMar>
              <w:top w:type="dxa" w:w="80"/>
              <w:left w:type="dxa" w:w="80"/>
              <w:bottom w:type="dxa" w:w="80"/>
              <w:right w:type="dxa" w:w="80"/>
            </w:tcMar>
          </w:tcPr>
          <w:p>
            <w:pPr>
              <w:jc w:val="center"/>
            </w:pPr>
            <w:r>
              <w:rPr>
                <w:rFonts w:ascii="Calibri" w:cs="Calibri" w:eastAsia="Calibri" w:hAnsi="Calibri"/>
                <w:color w:val="1E1E2E"/>
                <w:sz w:val="18"/>
                <w:szCs w:val="18"/>
              </w:rPr>
              <w:t xml:space="preserve">3</w:t>
            </w:r>
          </w:p>
        </w:tc>
        <w:tc>
          <w:tcPr>
            <w:tcW w:type="dxa" w:w="700"/>
            <w:tcBorders>
              <w:top w:val="single" w:color="CCCCBB" w:sz="1" w:space="0"/>
              <w:left w:val="single" w:color="CCCCBB" w:sz="1" w:space="0"/>
              <w:bottom w:val="single" w:color="CCCCBB" w:sz="1" w:space="0"/>
              <w:right w:val="single" w:color="CCCCBB" w:sz="1" w:space="0"/>
            </w:tcBorders>
            <w:shd w:fill="C0392B" w:val="clear"/>
            <w:tcMar>
              <w:top w:type="dxa" w:w="80"/>
              <w:left w:type="dxa" w:w="80"/>
              <w:bottom w:type="dxa" w:w="80"/>
              <w:right w:type="dxa" w:w="80"/>
            </w:tcMar>
          </w:tcPr>
          <w:p>
            <w:pPr>
              <w:jc w:val="center"/>
            </w:pPr>
            <w:r>
              <w:rPr>
                <w:rFonts w:ascii="Calibri" w:cs="Calibri" w:eastAsia="Calibri" w:hAnsi="Calibri"/>
                <w:b/>
                <w:bCs/>
                <w:color w:val="FFFFFF"/>
                <w:sz w:val="18"/>
                <w:szCs w:val="18"/>
              </w:rPr>
              <w:t xml:space="preserve">HIGH</w:t>
            </w:r>
          </w:p>
        </w:tc>
        <w:tc>
          <w:tcPr>
            <w:tcW w:type="dxa" w:w="4700"/>
            <w:tcBorders>
              <w:top w:val="single" w:color="CCCCBB" w:sz="1" w:space="0"/>
              <w:left w:val="single" w:color="CCCCBB" w:sz="1" w:space="0"/>
              <w:bottom w:val="single" w:color="CCCCBB" w:sz="1" w:space="0"/>
              <w:right w:val="single" w:color="CCCCBB" w:sz="1" w:space="0"/>
            </w:tcBorders>
            <w:tcMar>
              <w:top w:type="dxa" w:w="80"/>
              <w:left w:type="dxa" w:w="100"/>
              <w:bottom w:type="dxa" w:w="80"/>
              <w:right w:type="dxa" w:w="100"/>
            </w:tcMar>
          </w:tcPr>
          <w:p>
            <w:r>
              <w:rPr>
                <w:rFonts w:ascii="Calibri" w:cs="Calibri" w:eastAsia="Calibri" w:hAnsi="Calibri"/>
                <w:i/>
                <w:iCs/>
                <w:color w:val="5A5A72"/>
                <w:sz w:val="18"/>
                <w:szCs w:val="18"/>
              </w:rPr>
              <w:t xml:space="preserve">Multiple relationships per department; contractual independence from individual champions; performance record</w:t>
            </w:r>
          </w:p>
        </w:tc>
      </w:tr>
      <w:tr>
        <w:tc>
          <w:tcPr>
            <w:tcW w:type="dxa" w:w="2200"/>
            <w:tcBorders>
              <w:top w:val="single" w:color="CCCCBB" w:sz="1" w:space="0"/>
              <w:left w:val="single" w:color="CCCCBB" w:sz="1" w:space="0"/>
              <w:bottom w:val="single" w:color="CCCCBB" w:sz="1" w:space="0"/>
              <w:right w:val="single" w:color="CCCCBB" w:sz="1" w:space="0"/>
            </w:tcBorders>
            <w:tcMar>
              <w:top w:type="dxa" w:w="80"/>
              <w:left w:type="dxa" w:w="100"/>
              <w:bottom w:type="dxa" w:w="80"/>
              <w:right w:type="dxa" w:w="100"/>
            </w:tcMar>
          </w:tcPr>
          <w:p>
            <w:r>
              <w:rPr>
                <w:rFonts w:ascii="Calibri" w:cs="Calibri" w:eastAsia="Calibri" w:hAnsi="Calibri"/>
                <w:color w:val="1E1E2E"/>
                <w:sz w:val="18"/>
                <w:szCs w:val="18"/>
              </w:rPr>
              <w:t xml:space="preserve">Capital liquidity before revenue milestones</w:t>
            </w:r>
          </w:p>
        </w:tc>
        <w:tc>
          <w:tcPr>
            <w:tcW w:type="dxa" w:w="700"/>
            <w:tcBorders>
              <w:top w:val="single" w:color="CCCCBB" w:sz="1" w:space="0"/>
              <w:left w:val="single" w:color="CCCCBB" w:sz="1" w:space="0"/>
              <w:bottom w:val="single" w:color="CCCCBB" w:sz="1" w:space="0"/>
              <w:right w:val="single" w:color="CCCCBB" w:sz="1" w:space="0"/>
            </w:tcBorders>
            <w:shd w:fill="F5F5F0" w:val="clear"/>
            <w:tcMar>
              <w:top w:type="dxa" w:w="80"/>
              <w:left w:type="dxa" w:w="80"/>
              <w:bottom w:type="dxa" w:w="80"/>
              <w:right w:type="dxa" w:w="80"/>
            </w:tcMar>
          </w:tcPr>
          <w:p>
            <w:pPr>
              <w:jc w:val="center"/>
            </w:pPr>
            <w:r>
              <w:rPr>
                <w:rFonts w:ascii="Calibri" w:cs="Calibri" w:eastAsia="Calibri" w:hAnsi="Calibri"/>
                <w:color w:val="1E1E2E"/>
                <w:sz w:val="18"/>
                <w:szCs w:val="18"/>
              </w:rPr>
              <w:t xml:space="preserve">3</w:t>
            </w:r>
          </w:p>
        </w:tc>
        <w:tc>
          <w:tcPr>
            <w:tcW w:type="dxa" w:w="700"/>
            <w:tcBorders>
              <w:top w:val="single" w:color="CCCCBB" w:sz="1" w:space="0"/>
              <w:left w:val="single" w:color="CCCCBB" w:sz="1" w:space="0"/>
              <w:bottom w:val="single" w:color="CCCCBB" w:sz="1" w:space="0"/>
              <w:right w:val="single" w:color="CCCCBB" w:sz="1" w:space="0"/>
            </w:tcBorders>
            <w:shd w:fill="F5F5F0" w:val="clear"/>
            <w:tcMar>
              <w:top w:type="dxa" w:w="80"/>
              <w:left w:type="dxa" w:w="80"/>
              <w:bottom w:type="dxa" w:w="80"/>
              <w:right w:type="dxa" w:w="80"/>
            </w:tcMar>
          </w:tcPr>
          <w:p>
            <w:pPr>
              <w:jc w:val="center"/>
            </w:pPr>
            <w:r>
              <w:rPr>
                <w:rFonts w:ascii="Calibri" w:cs="Calibri" w:eastAsia="Calibri" w:hAnsi="Calibri"/>
                <w:color w:val="1E1E2E"/>
                <w:sz w:val="18"/>
                <w:szCs w:val="18"/>
              </w:rPr>
              <w:t xml:space="preserve">4</w:t>
            </w:r>
          </w:p>
        </w:tc>
        <w:tc>
          <w:tcPr>
            <w:tcW w:type="dxa" w:w="700"/>
            <w:tcBorders>
              <w:top w:val="single" w:color="CCCCBB" w:sz="1" w:space="0"/>
              <w:left w:val="single" w:color="CCCCBB" w:sz="1" w:space="0"/>
              <w:bottom w:val="single" w:color="CCCCBB" w:sz="1" w:space="0"/>
              <w:right w:val="single" w:color="CCCCBB" w:sz="1" w:space="0"/>
            </w:tcBorders>
            <w:shd w:fill="C0392B" w:val="clear"/>
            <w:tcMar>
              <w:top w:type="dxa" w:w="80"/>
              <w:left w:type="dxa" w:w="80"/>
              <w:bottom w:type="dxa" w:w="80"/>
              <w:right w:type="dxa" w:w="80"/>
            </w:tcMar>
          </w:tcPr>
          <w:p>
            <w:pPr>
              <w:jc w:val="center"/>
            </w:pPr>
            <w:r>
              <w:rPr>
                <w:rFonts w:ascii="Calibri" w:cs="Calibri" w:eastAsia="Calibri" w:hAnsi="Calibri"/>
                <w:b/>
                <w:bCs/>
                <w:color w:val="FFFFFF"/>
                <w:sz w:val="18"/>
                <w:szCs w:val="18"/>
              </w:rPr>
              <w:t xml:space="preserve">HIGH</w:t>
            </w:r>
          </w:p>
        </w:tc>
        <w:tc>
          <w:tcPr>
            <w:tcW w:type="dxa" w:w="4700"/>
            <w:tcBorders>
              <w:top w:val="single" w:color="CCCCBB" w:sz="1" w:space="0"/>
              <w:left w:val="single" w:color="CCCCBB" w:sz="1" w:space="0"/>
              <w:bottom w:val="single" w:color="CCCCBB" w:sz="1" w:space="0"/>
              <w:right w:val="single" w:color="CCCCBB" w:sz="1" w:space="0"/>
            </w:tcBorders>
            <w:tcMar>
              <w:top w:type="dxa" w:w="80"/>
              <w:left w:type="dxa" w:w="100"/>
              <w:bottom w:type="dxa" w:w="80"/>
              <w:right w:type="dxa" w:w="100"/>
            </w:tcMar>
          </w:tcPr>
          <w:p>
            <w:r>
              <w:rPr>
                <w:rFonts w:ascii="Calibri" w:cs="Calibri" w:eastAsia="Calibri" w:hAnsi="Calibri"/>
                <w:i/>
                <w:iCs/>
                <w:color w:val="5A5A72"/>
                <w:sz w:val="18"/>
                <w:szCs w:val="18"/>
              </w:rPr>
              <w:t xml:space="preserve">18-month cash runway maintained; diversified capital sources; staged cost scaling to confirmed revenue</w:t>
            </w:r>
          </w:p>
        </w:tc>
      </w:tr>
      <w:tr>
        <w:tc>
          <w:tcPr>
            <w:tcW w:type="dxa" w:w="2200"/>
            <w:tcBorders>
              <w:top w:val="single" w:color="CCCCBB" w:sz="1" w:space="0"/>
              <w:left w:val="single" w:color="CCCCBB" w:sz="1" w:space="0"/>
              <w:bottom w:val="single" w:color="CCCCBB" w:sz="1" w:space="0"/>
              <w:right w:val="single" w:color="CCCCBB" w:sz="1" w:space="0"/>
            </w:tcBorders>
            <w:tcMar>
              <w:top w:type="dxa" w:w="80"/>
              <w:left w:type="dxa" w:w="100"/>
              <w:bottom w:type="dxa" w:w="80"/>
              <w:right w:type="dxa" w:w="100"/>
            </w:tcMar>
          </w:tcPr>
          <w:p>
            <w:r>
              <w:rPr>
                <w:rFonts w:ascii="Calibri" w:cs="Calibri" w:eastAsia="Calibri" w:hAnsi="Calibri"/>
                <w:color w:val="1E1E2E"/>
                <w:sz w:val="18"/>
                <w:szCs w:val="18"/>
              </w:rPr>
              <w:t xml:space="preserve">Data breach — UDOC or S.E.T.H.S systems</w:t>
            </w:r>
          </w:p>
        </w:tc>
        <w:tc>
          <w:tcPr>
            <w:tcW w:type="dxa" w:w="700"/>
            <w:tcBorders>
              <w:top w:val="single" w:color="CCCCBB" w:sz="1" w:space="0"/>
              <w:left w:val="single" w:color="CCCCBB" w:sz="1" w:space="0"/>
              <w:bottom w:val="single" w:color="CCCCBB" w:sz="1" w:space="0"/>
              <w:right w:val="single" w:color="CCCCBB" w:sz="1" w:space="0"/>
            </w:tcBorders>
            <w:shd w:fill="F5F5F0" w:val="clear"/>
            <w:tcMar>
              <w:top w:type="dxa" w:w="80"/>
              <w:left w:type="dxa" w:w="80"/>
              <w:bottom w:type="dxa" w:w="80"/>
              <w:right w:type="dxa" w:w="80"/>
            </w:tcMar>
          </w:tcPr>
          <w:p>
            <w:pPr>
              <w:jc w:val="center"/>
            </w:pPr>
            <w:r>
              <w:rPr>
                <w:rFonts w:ascii="Calibri" w:cs="Calibri" w:eastAsia="Calibri" w:hAnsi="Calibri"/>
                <w:color w:val="1E1E2E"/>
                <w:sz w:val="18"/>
                <w:szCs w:val="18"/>
              </w:rPr>
              <w:t xml:space="preserve">2</w:t>
            </w:r>
          </w:p>
        </w:tc>
        <w:tc>
          <w:tcPr>
            <w:tcW w:type="dxa" w:w="700"/>
            <w:tcBorders>
              <w:top w:val="single" w:color="CCCCBB" w:sz="1" w:space="0"/>
              <w:left w:val="single" w:color="CCCCBB" w:sz="1" w:space="0"/>
              <w:bottom w:val="single" w:color="CCCCBB" w:sz="1" w:space="0"/>
              <w:right w:val="single" w:color="CCCCBB" w:sz="1" w:space="0"/>
            </w:tcBorders>
            <w:shd w:fill="F5F5F0" w:val="clear"/>
            <w:tcMar>
              <w:top w:type="dxa" w:w="80"/>
              <w:left w:type="dxa" w:w="80"/>
              <w:bottom w:type="dxa" w:w="80"/>
              <w:right w:type="dxa" w:w="80"/>
            </w:tcMar>
          </w:tcPr>
          <w:p>
            <w:pPr>
              <w:jc w:val="center"/>
            </w:pPr>
            <w:r>
              <w:rPr>
                <w:rFonts w:ascii="Calibri" w:cs="Calibri" w:eastAsia="Calibri" w:hAnsi="Calibri"/>
                <w:color w:val="1E1E2E"/>
                <w:sz w:val="18"/>
                <w:szCs w:val="18"/>
              </w:rPr>
              <w:t xml:space="preserve">5</w:t>
            </w:r>
          </w:p>
        </w:tc>
        <w:tc>
          <w:tcPr>
            <w:tcW w:type="dxa" w:w="700"/>
            <w:tcBorders>
              <w:top w:val="single" w:color="CCCCBB" w:sz="1" w:space="0"/>
              <w:left w:val="single" w:color="CCCCBB" w:sz="1" w:space="0"/>
              <w:bottom w:val="single" w:color="CCCCBB" w:sz="1" w:space="0"/>
              <w:right w:val="single" w:color="CCCCBB" w:sz="1" w:space="0"/>
            </w:tcBorders>
            <w:shd w:fill="C0392B" w:val="clear"/>
            <w:tcMar>
              <w:top w:type="dxa" w:w="80"/>
              <w:left w:type="dxa" w:w="80"/>
              <w:bottom w:type="dxa" w:w="80"/>
              <w:right w:type="dxa" w:w="80"/>
            </w:tcMar>
          </w:tcPr>
          <w:p>
            <w:pPr>
              <w:jc w:val="center"/>
            </w:pPr>
            <w:r>
              <w:rPr>
                <w:rFonts w:ascii="Calibri" w:cs="Calibri" w:eastAsia="Calibri" w:hAnsi="Calibri"/>
                <w:b/>
                <w:bCs/>
                <w:color w:val="FFFFFF"/>
                <w:sz w:val="18"/>
                <w:szCs w:val="18"/>
              </w:rPr>
              <w:t xml:space="preserve">HIGH</w:t>
            </w:r>
          </w:p>
        </w:tc>
        <w:tc>
          <w:tcPr>
            <w:tcW w:type="dxa" w:w="4700"/>
            <w:tcBorders>
              <w:top w:val="single" w:color="CCCCBB" w:sz="1" w:space="0"/>
              <w:left w:val="single" w:color="CCCCBB" w:sz="1" w:space="0"/>
              <w:bottom w:val="single" w:color="CCCCBB" w:sz="1" w:space="0"/>
              <w:right w:val="single" w:color="CCCCBB" w:sz="1" w:space="0"/>
            </w:tcBorders>
            <w:tcMar>
              <w:top w:type="dxa" w:w="80"/>
              <w:left w:type="dxa" w:w="100"/>
              <w:bottom w:type="dxa" w:w="80"/>
              <w:right w:type="dxa" w:w="100"/>
            </w:tcMar>
          </w:tcPr>
          <w:p>
            <w:r>
              <w:rPr>
                <w:rFonts w:ascii="Calibri" w:cs="Calibri" w:eastAsia="Calibri" w:hAnsi="Calibri"/>
                <w:i/>
                <w:iCs/>
                <w:color w:val="5A5A72"/>
                <w:sz w:val="18"/>
                <w:szCs w:val="18"/>
              </w:rPr>
              <w:t xml:space="preserve">Zero-trust security architecture; cyber insurance; quarterly penetration testing (see Annexure D)</w:t>
            </w:r>
          </w:p>
        </w:tc>
      </w:tr>
      <w:tr>
        <w:tc>
          <w:tcPr>
            <w:tcW w:type="dxa" w:w="2200"/>
            <w:tcBorders>
              <w:top w:val="single" w:color="CCCCBB" w:sz="1" w:space="0"/>
              <w:left w:val="single" w:color="CCCCBB" w:sz="1" w:space="0"/>
              <w:bottom w:val="single" w:color="CCCCBB" w:sz="1" w:space="0"/>
              <w:right w:val="single" w:color="CCCCBB" w:sz="1" w:space="0"/>
            </w:tcBorders>
            <w:tcMar>
              <w:top w:type="dxa" w:w="80"/>
              <w:left w:type="dxa" w:w="100"/>
              <w:bottom w:type="dxa" w:w="80"/>
              <w:right w:type="dxa" w:w="100"/>
            </w:tcMar>
          </w:tcPr>
          <w:p>
            <w:r>
              <w:rPr>
                <w:rFonts w:ascii="Calibri" w:cs="Calibri" w:eastAsia="Calibri" w:hAnsi="Calibri"/>
                <w:color w:val="1E1E2E"/>
                <w:sz w:val="18"/>
                <w:szCs w:val="18"/>
              </w:rPr>
              <w:t xml:space="preserve">S.E.T.H.S incident causing reputational risk</w:t>
            </w:r>
          </w:p>
        </w:tc>
        <w:tc>
          <w:tcPr>
            <w:tcW w:type="dxa" w:w="700"/>
            <w:tcBorders>
              <w:top w:val="single" w:color="CCCCBB" w:sz="1" w:space="0"/>
              <w:left w:val="single" w:color="CCCCBB" w:sz="1" w:space="0"/>
              <w:bottom w:val="single" w:color="CCCCBB" w:sz="1" w:space="0"/>
              <w:right w:val="single" w:color="CCCCBB" w:sz="1" w:space="0"/>
            </w:tcBorders>
            <w:shd w:fill="F5F5F0" w:val="clear"/>
            <w:tcMar>
              <w:top w:type="dxa" w:w="80"/>
              <w:left w:type="dxa" w:w="80"/>
              <w:bottom w:type="dxa" w:w="80"/>
              <w:right w:type="dxa" w:w="80"/>
            </w:tcMar>
          </w:tcPr>
          <w:p>
            <w:pPr>
              <w:jc w:val="center"/>
            </w:pPr>
            <w:r>
              <w:rPr>
                <w:rFonts w:ascii="Calibri" w:cs="Calibri" w:eastAsia="Calibri" w:hAnsi="Calibri"/>
                <w:color w:val="1E1E2E"/>
                <w:sz w:val="18"/>
                <w:szCs w:val="18"/>
              </w:rPr>
              <w:t xml:space="preserve">3</w:t>
            </w:r>
          </w:p>
        </w:tc>
        <w:tc>
          <w:tcPr>
            <w:tcW w:type="dxa" w:w="700"/>
            <w:tcBorders>
              <w:top w:val="single" w:color="CCCCBB" w:sz="1" w:space="0"/>
              <w:left w:val="single" w:color="CCCCBB" w:sz="1" w:space="0"/>
              <w:bottom w:val="single" w:color="CCCCBB" w:sz="1" w:space="0"/>
              <w:right w:val="single" w:color="CCCCBB" w:sz="1" w:space="0"/>
            </w:tcBorders>
            <w:shd w:fill="F5F5F0" w:val="clear"/>
            <w:tcMar>
              <w:top w:type="dxa" w:w="80"/>
              <w:left w:type="dxa" w:w="80"/>
              <w:bottom w:type="dxa" w:w="80"/>
              <w:right w:type="dxa" w:w="80"/>
            </w:tcMar>
          </w:tcPr>
          <w:p>
            <w:pPr>
              <w:jc w:val="center"/>
            </w:pPr>
            <w:r>
              <w:rPr>
                <w:rFonts w:ascii="Calibri" w:cs="Calibri" w:eastAsia="Calibri" w:hAnsi="Calibri"/>
                <w:color w:val="1E1E2E"/>
                <w:sz w:val="18"/>
                <w:szCs w:val="18"/>
              </w:rPr>
              <w:t xml:space="preserve">3</w:t>
            </w:r>
          </w:p>
        </w:tc>
        <w:tc>
          <w:tcPr>
            <w:tcW w:type="dxa" w:w="700"/>
            <w:tcBorders>
              <w:top w:val="single" w:color="CCCCBB" w:sz="1" w:space="0"/>
              <w:left w:val="single" w:color="CCCCBB" w:sz="1" w:space="0"/>
              <w:bottom w:val="single" w:color="CCCCBB" w:sz="1" w:space="0"/>
              <w:right w:val="single" w:color="CCCCBB" w:sz="1" w:space="0"/>
            </w:tcBorders>
            <w:shd w:fill="D4AC0D" w:val="clear"/>
            <w:tcMar>
              <w:top w:type="dxa" w:w="80"/>
              <w:left w:type="dxa" w:w="80"/>
              <w:bottom w:type="dxa" w:w="80"/>
              <w:right w:type="dxa" w:w="80"/>
            </w:tcMar>
          </w:tcPr>
          <w:p>
            <w:pPr>
              <w:jc w:val="center"/>
            </w:pPr>
            <w:r>
              <w:rPr>
                <w:rFonts w:ascii="Calibri" w:cs="Calibri" w:eastAsia="Calibri" w:hAnsi="Calibri"/>
                <w:b/>
                <w:bCs/>
                <w:color w:val="FFFFFF"/>
                <w:sz w:val="18"/>
                <w:szCs w:val="18"/>
              </w:rPr>
              <w:t xml:space="preserve">MEDIUM</w:t>
            </w:r>
          </w:p>
        </w:tc>
        <w:tc>
          <w:tcPr>
            <w:tcW w:type="dxa" w:w="4700"/>
            <w:tcBorders>
              <w:top w:val="single" w:color="CCCCBB" w:sz="1" w:space="0"/>
              <w:left w:val="single" w:color="CCCCBB" w:sz="1" w:space="0"/>
              <w:bottom w:val="single" w:color="CCCCBB" w:sz="1" w:space="0"/>
              <w:right w:val="single" w:color="CCCCBB" w:sz="1" w:space="0"/>
            </w:tcBorders>
            <w:tcMar>
              <w:top w:type="dxa" w:w="80"/>
              <w:left w:type="dxa" w:w="100"/>
              <w:bottom w:type="dxa" w:w="80"/>
              <w:right w:type="dxa" w:w="100"/>
            </w:tcMar>
          </w:tcPr>
          <w:p>
            <w:r>
              <w:rPr>
                <w:rFonts w:ascii="Calibri" w:cs="Calibri" w:eastAsia="Calibri" w:hAnsi="Calibri"/>
                <w:i/>
                <w:iCs/>
                <w:color w:val="5A5A72"/>
                <w:sz w:val="18"/>
                <w:szCs w:val="18"/>
              </w:rPr>
              <w:t xml:space="preserve">Incident protocol; insurance; independent investigation provision; proactive communication framework</w:t>
            </w:r>
          </w:p>
        </w:tc>
      </w:tr>
      <w:tr>
        <w:tc>
          <w:tcPr>
            <w:tcW w:type="dxa" w:w="2200"/>
            <w:tcBorders>
              <w:top w:val="single" w:color="CCCCBB" w:sz="1" w:space="0"/>
              <w:left w:val="single" w:color="CCCCBB" w:sz="1" w:space="0"/>
              <w:bottom w:val="single" w:color="CCCCBB" w:sz="1" w:space="0"/>
              <w:right w:val="single" w:color="CCCCBB" w:sz="1" w:space="0"/>
            </w:tcBorders>
            <w:tcMar>
              <w:top w:type="dxa" w:w="80"/>
              <w:left w:type="dxa" w:w="100"/>
              <w:bottom w:type="dxa" w:w="80"/>
              <w:right w:type="dxa" w:w="100"/>
            </w:tcMar>
          </w:tcPr>
          <w:p>
            <w:r>
              <w:rPr>
                <w:rFonts w:ascii="Calibri" w:cs="Calibri" w:eastAsia="Calibri" w:hAnsi="Calibri"/>
                <w:color w:val="1E1E2E"/>
                <w:sz w:val="18"/>
                <w:szCs w:val="18"/>
              </w:rPr>
              <w:t xml:space="preserve">UDOC sales cycle extension</w:t>
            </w:r>
          </w:p>
        </w:tc>
        <w:tc>
          <w:tcPr>
            <w:tcW w:type="dxa" w:w="700"/>
            <w:tcBorders>
              <w:top w:val="single" w:color="CCCCBB" w:sz="1" w:space="0"/>
              <w:left w:val="single" w:color="CCCCBB" w:sz="1" w:space="0"/>
              <w:bottom w:val="single" w:color="CCCCBB" w:sz="1" w:space="0"/>
              <w:right w:val="single" w:color="CCCCBB" w:sz="1" w:space="0"/>
            </w:tcBorders>
            <w:shd w:fill="F5F5F0" w:val="clear"/>
            <w:tcMar>
              <w:top w:type="dxa" w:w="80"/>
              <w:left w:type="dxa" w:w="80"/>
              <w:bottom w:type="dxa" w:w="80"/>
              <w:right w:type="dxa" w:w="80"/>
            </w:tcMar>
          </w:tcPr>
          <w:p>
            <w:pPr>
              <w:jc w:val="center"/>
            </w:pPr>
            <w:r>
              <w:rPr>
                <w:rFonts w:ascii="Calibri" w:cs="Calibri" w:eastAsia="Calibri" w:hAnsi="Calibri"/>
                <w:color w:val="1E1E2E"/>
                <w:sz w:val="18"/>
                <w:szCs w:val="18"/>
              </w:rPr>
              <w:t xml:space="preserve">3</w:t>
            </w:r>
          </w:p>
        </w:tc>
        <w:tc>
          <w:tcPr>
            <w:tcW w:type="dxa" w:w="700"/>
            <w:tcBorders>
              <w:top w:val="single" w:color="CCCCBB" w:sz="1" w:space="0"/>
              <w:left w:val="single" w:color="CCCCBB" w:sz="1" w:space="0"/>
              <w:bottom w:val="single" w:color="CCCCBB" w:sz="1" w:space="0"/>
              <w:right w:val="single" w:color="CCCCBB" w:sz="1" w:space="0"/>
            </w:tcBorders>
            <w:shd w:fill="F5F5F0" w:val="clear"/>
            <w:tcMar>
              <w:top w:type="dxa" w:w="80"/>
              <w:left w:type="dxa" w:w="80"/>
              <w:bottom w:type="dxa" w:w="80"/>
              <w:right w:type="dxa" w:w="80"/>
            </w:tcMar>
          </w:tcPr>
          <w:p>
            <w:pPr>
              <w:jc w:val="center"/>
            </w:pPr>
            <w:r>
              <w:rPr>
                <w:rFonts w:ascii="Calibri" w:cs="Calibri" w:eastAsia="Calibri" w:hAnsi="Calibri"/>
                <w:color w:val="1E1E2E"/>
                <w:sz w:val="18"/>
                <w:szCs w:val="18"/>
              </w:rPr>
              <w:t xml:space="preserve">3</w:t>
            </w:r>
          </w:p>
        </w:tc>
        <w:tc>
          <w:tcPr>
            <w:tcW w:type="dxa" w:w="700"/>
            <w:tcBorders>
              <w:top w:val="single" w:color="CCCCBB" w:sz="1" w:space="0"/>
              <w:left w:val="single" w:color="CCCCBB" w:sz="1" w:space="0"/>
              <w:bottom w:val="single" w:color="CCCCBB" w:sz="1" w:space="0"/>
              <w:right w:val="single" w:color="CCCCBB" w:sz="1" w:space="0"/>
            </w:tcBorders>
            <w:shd w:fill="D4AC0D" w:val="clear"/>
            <w:tcMar>
              <w:top w:type="dxa" w:w="80"/>
              <w:left w:type="dxa" w:w="80"/>
              <w:bottom w:type="dxa" w:w="80"/>
              <w:right w:type="dxa" w:w="80"/>
            </w:tcMar>
          </w:tcPr>
          <w:p>
            <w:pPr>
              <w:jc w:val="center"/>
            </w:pPr>
            <w:r>
              <w:rPr>
                <w:rFonts w:ascii="Calibri" w:cs="Calibri" w:eastAsia="Calibri" w:hAnsi="Calibri"/>
                <w:b/>
                <w:bCs/>
                <w:color w:val="FFFFFF"/>
                <w:sz w:val="18"/>
                <w:szCs w:val="18"/>
              </w:rPr>
              <w:t xml:space="preserve">MEDIUM</w:t>
            </w:r>
          </w:p>
        </w:tc>
        <w:tc>
          <w:tcPr>
            <w:tcW w:type="dxa" w:w="4700"/>
            <w:tcBorders>
              <w:top w:val="single" w:color="CCCCBB" w:sz="1" w:space="0"/>
              <w:left w:val="single" w:color="CCCCBB" w:sz="1" w:space="0"/>
              <w:bottom w:val="single" w:color="CCCCBB" w:sz="1" w:space="0"/>
              <w:right w:val="single" w:color="CCCCBB" w:sz="1" w:space="0"/>
            </w:tcBorders>
            <w:tcMar>
              <w:top w:type="dxa" w:w="80"/>
              <w:left w:type="dxa" w:w="100"/>
              <w:bottom w:type="dxa" w:w="80"/>
              <w:right w:type="dxa" w:w="100"/>
            </w:tcMar>
          </w:tcPr>
          <w:p>
            <w:r>
              <w:rPr>
                <w:rFonts w:ascii="Calibri" w:cs="Calibri" w:eastAsia="Calibri" w:hAnsi="Calibri"/>
                <w:i/>
                <w:iCs/>
                <w:color w:val="5A5A72"/>
                <w:sz w:val="18"/>
                <w:szCs w:val="18"/>
              </w:rPr>
              <w:t xml:space="preserve">Conservative financial modeling; government contract as parallel revenue path; 18-month runway</w:t>
            </w:r>
          </w:p>
        </w:tc>
      </w:tr>
      <w:tr>
        <w:tc>
          <w:tcPr>
            <w:tcW w:type="dxa" w:w="2200"/>
            <w:tcBorders>
              <w:top w:val="single" w:color="CCCCBB" w:sz="1" w:space="0"/>
              <w:left w:val="single" w:color="CCCCBB" w:sz="1" w:space="0"/>
              <w:bottom w:val="single" w:color="CCCCBB" w:sz="1" w:space="0"/>
              <w:right w:val="single" w:color="CCCCBB" w:sz="1" w:space="0"/>
            </w:tcBorders>
            <w:tcMar>
              <w:top w:type="dxa" w:w="80"/>
              <w:left w:type="dxa" w:w="100"/>
              <w:bottom w:type="dxa" w:w="80"/>
              <w:right w:type="dxa" w:w="100"/>
            </w:tcMar>
          </w:tcPr>
          <w:p>
            <w:r>
              <w:rPr>
                <w:rFonts w:ascii="Calibri" w:cs="Calibri" w:eastAsia="Calibri" w:hAnsi="Calibri"/>
                <w:color w:val="1E1E2E"/>
                <w:sz w:val="18"/>
                <w:szCs w:val="18"/>
              </w:rPr>
              <w:t xml:space="preserve">Founder incapacitation without succession</w:t>
            </w:r>
          </w:p>
        </w:tc>
        <w:tc>
          <w:tcPr>
            <w:tcW w:type="dxa" w:w="700"/>
            <w:tcBorders>
              <w:top w:val="single" w:color="CCCCBB" w:sz="1" w:space="0"/>
              <w:left w:val="single" w:color="CCCCBB" w:sz="1" w:space="0"/>
              <w:bottom w:val="single" w:color="CCCCBB" w:sz="1" w:space="0"/>
              <w:right w:val="single" w:color="CCCCBB" w:sz="1" w:space="0"/>
            </w:tcBorders>
            <w:shd w:fill="F5F5F0" w:val="clear"/>
            <w:tcMar>
              <w:top w:type="dxa" w:w="80"/>
              <w:left w:type="dxa" w:w="80"/>
              <w:bottom w:type="dxa" w:w="80"/>
              <w:right w:type="dxa" w:w="80"/>
            </w:tcMar>
          </w:tcPr>
          <w:p>
            <w:pPr>
              <w:jc w:val="center"/>
            </w:pPr>
            <w:r>
              <w:rPr>
                <w:rFonts w:ascii="Calibri" w:cs="Calibri" w:eastAsia="Calibri" w:hAnsi="Calibri"/>
                <w:color w:val="1E1E2E"/>
                <w:sz w:val="18"/>
                <w:szCs w:val="18"/>
              </w:rPr>
              <w:t xml:space="preserve">2</w:t>
            </w:r>
          </w:p>
        </w:tc>
        <w:tc>
          <w:tcPr>
            <w:tcW w:type="dxa" w:w="700"/>
            <w:tcBorders>
              <w:top w:val="single" w:color="CCCCBB" w:sz="1" w:space="0"/>
              <w:left w:val="single" w:color="CCCCBB" w:sz="1" w:space="0"/>
              <w:bottom w:val="single" w:color="CCCCBB" w:sz="1" w:space="0"/>
              <w:right w:val="single" w:color="CCCCBB" w:sz="1" w:space="0"/>
            </w:tcBorders>
            <w:shd w:fill="F5F5F0" w:val="clear"/>
            <w:tcMar>
              <w:top w:type="dxa" w:w="80"/>
              <w:left w:type="dxa" w:w="80"/>
              <w:bottom w:type="dxa" w:w="80"/>
              <w:right w:type="dxa" w:w="80"/>
            </w:tcMar>
          </w:tcPr>
          <w:p>
            <w:pPr>
              <w:jc w:val="center"/>
            </w:pPr>
            <w:r>
              <w:rPr>
                <w:rFonts w:ascii="Calibri" w:cs="Calibri" w:eastAsia="Calibri" w:hAnsi="Calibri"/>
                <w:color w:val="1E1E2E"/>
                <w:sz w:val="18"/>
                <w:szCs w:val="18"/>
              </w:rPr>
              <w:t xml:space="preserve">4</w:t>
            </w:r>
          </w:p>
        </w:tc>
        <w:tc>
          <w:tcPr>
            <w:tcW w:type="dxa" w:w="700"/>
            <w:tcBorders>
              <w:top w:val="single" w:color="CCCCBB" w:sz="1" w:space="0"/>
              <w:left w:val="single" w:color="CCCCBB" w:sz="1" w:space="0"/>
              <w:bottom w:val="single" w:color="CCCCBB" w:sz="1" w:space="0"/>
              <w:right w:val="single" w:color="CCCCBB" w:sz="1" w:space="0"/>
            </w:tcBorders>
            <w:shd w:fill="D4AC0D" w:val="clear"/>
            <w:tcMar>
              <w:top w:type="dxa" w:w="80"/>
              <w:left w:type="dxa" w:w="80"/>
              <w:bottom w:type="dxa" w:w="80"/>
              <w:right w:type="dxa" w:w="80"/>
            </w:tcMar>
          </w:tcPr>
          <w:p>
            <w:pPr>
              <w:jc w:val="center"/>
            </w:pPr>
            <w:r>
              <w:rPr>
                <w:rFonts w:ascii="Calibri" w:cs="Calibri" w:eastAsia="Calibri" w:hAnsi="Calibri"/>
                <w:b/>
                <w:bCs/>
                <w:color w:val="FFFFFF"/>
                <w:sz w:val="18"/>
                <w:szCs w:val="18"/>
              </w:rPr>
              <w:t xml:space="preserve">MEDIUM</w:t>
            </w:r>
          </w:p>
        </w:tc>
        <w:tc>
          <w:tcPr>
            <w:tcW w:type="dxa" w:w="4700"/>
            <w:tcBorders>
              <w:top w:val="single" w:color="CCCCBB" w:sz="1" w:space="0"/>
              <w:left w:val="single" w:color="CCCCBB" w:sz="1" w:space="0"/>
              <w:bottom w:val="single" w:color="CCCCBB" w:sz="1" w:space="0"/>
              <w:right w:val="single" w:color="CCCCBB" w:sz="1" w:space="0"/>
            </w:tcBorders>
            <w:tcMar>
              <w:top w:type="dxa" w:w="80"/>
              <w:left w:type="dxa" w:w="100"/>
              <w:bottom w:type="dxa" w:w="80"/>
              <w:right w:type="dxa" w:w="100"/>
            </w:tcMar>
          </w:tcPr>
          <w:p>
            <w:r>
              <w:rPr>
                <w:rFonts w:ascii="Calibri" w:cs="Calibri" w:eastAsia="Calibri" w:hAnsi="Calibri"/>
                <w:i/>
                <w:iCs/>
                <w:color w:val="5A5A72"/>
                <w:sz w:val="18"/>
                <w:szCs w:val="18"/>
              </w:rPr>
              <w:t xml:space="preserve">Documented succession framework; minimum 3 leadership candidates identified by Year 3; COB transition authority</w:t>
            </w:r>
          </w:p>
        </w:tc>
      </w:tr>
      <w:tr>
        <w:tc>
          <w:tcPr>
            <w:tcW w:type="dxa" w:w="2200"/>
            <w:tcBorders>
              <w:top w:val="single" w:color="CCCCBB" w:sz="1" w:space="0"/>
              <w:left w:val="single" w:color="CCCCBB" w:sz="1" w:space="0"/>
              <w:bottom w:val="single" w:color="CCCCBB" w:sz="1" w:space="0"/>
              <w:right w:val="single" w:color="CCCCBB" w:sz="1" w:space="0"/>
            </w:tcBorders>
            <w:tcMar>
              <w:top w:type="dxa" w:w="80"/>
              <w:left w:type="dxa" w:w="100"/>
              <w:bottom w:type="dxa" w:w="80"/>
              <w:right w:type="dxa" w:w="100"/>
            </w:tcMar>
          </w:tcPr>
          <w:p>
            <w:r>
              <w:rPr>
                <w:rFonts w:ascii="Calibri" w:cs="Calibri" w:eastAsia="Calibri" w:hAnsi="Calibri"/>
                <w:color w:val="1E1E2E"/>
                <w:sz w:val="18"/>
                <w:szCs w:val="18"/>
              </w:rPr>
              <w:t xml:space="preserve">G.O.D.S name misinterpretation</w:t>
            </w:r>
          </w:p>
        </w:tc>
        <w:tc>
          <w:tcPr>
            <w:tcW w:type="dxa" w:w="700"/>
            <w:tcBorders>
              <w:top w:val="single" w:color="CCCCBB" w:sz="1" w:space="0"/>
              <w:left w:val="single" w:color="CCCCBB" w:sz="1" w:space="0"/>
              <w:bottom w:val="single" w:color="CCCCBB" w:sz="1" w:space="0"/>
              <w:right w:val="single" w:color="CCCCBB" w:sz="1" w:space="0"/>
            </w:tcBorders>
            <w:shd w:fill="F5F5F0" w:val="clear"/>
            <w:tcMar>
              <w:top w:type="dxa" w:w="80"/>
              <w:left w:type="dxa" w:w="80"/>
              <w:bottom w:type="dxa" w:w="80"/>
              <w:right w:type="dxa" w:w="80"/>
            </w:tcMar>
          </w:tcPr>
          <w:p>
            <w:pPr>
              <w:jc w:val="center"/>
            </w:pPr>
            <w:r>
              <w:rPr>
                <w:rFonts w:ascii="Calibri" w:cs="Calibri" w:eastAsia="Calibri" w:hAnsi="Calibri"/>
                <w:color w:val="1E1E2E"/>
                <w:sz w:val="18"/>
                <w:szCs w:val="18"/>
              </w:rPr>
              <w:t xml:space="preserve">3</w:t>
            </w:r>
          </w:p>
        </w:tc>
        <w:tc>
          <w:tcPr>
            <w:tcW w:type="dxa" w:w="700"/>
            <w:tcBorders>
              <w:top w:val="single" w:color="CCCCBB" w:sz="1" w:space="0"/>
              <w:left w:val="single" w:color="CCCCBB" w:sz="1" w:space="0"/>
              <w:bottom w:val="single" w:color="CCCCBB" w:sz="1" w:space="0"/>
              <w:right w:val="single" w:color="CCCCBB" w:sz="1" w:space="0"/>
            </w:tcBorders>
            <w:shd w:fill="F5F5F0" w:val="clear"/>
            <w:tcMar>
              <w:top w:type="dxa" w:w="80"/>
              <w:left w:type="dxa" w:w="80"/>
              <w:bottom w:type="dxa" w:w="80"/>
              <w:right w:type="dxa" w:w="80"/>
            </w:tcMar>
          </w:tcPr>
          <w:p>
            <w:pPr>
              <w:jc w:val="center"/>
            </w:pPr>
            <w:r>
              <w:rPr>
                <w:rFonts w:ascii="Calibri" w:cs="Calibri" w:eastAsia="Calibri" w:hAnsi="Calibri"/>
                <w:color w:val="1E1E2E"/>
                <w:sz w:val="18"/>
                <w:szCs w:val="18"/>
              </w:rPr>
              <w:t xml:space="preserve">2</w:t>
            </w:r>
          </w:p>
        </w:tc>
        <w:tc>
          <w:tcPr>
            <w:tcW w:type="dxa" w:w="700"/>
            <w:tcBorders>
              <w:top w:val="single" w:color="CCCCBB" w:sz="1" w:space="0"/>
              <w:left w:val="single" w:color="CCCCBB" w:sz="1" w:space="0"/>
              <w:bottom w:val="single" w:color="CCCCBB" w:sz="1" w:space="0"/>
              <w:right w:val="single" w:color="CCCCBB" w:sz="1" w:space="0"/>
            </w:tcBorders>
            <w:shd w:fill="27AE60" w:val="clear"/>
            <w:tcMar>
              <w:top w:type="dxa" w:w="80"/>
              <w:left w:type="dxa" w:w="80"/>
              <w:bottom w:type="dxa" w:w="80"/>
              <w:right w:type="dxa" w:w="80"/>
            </w:tcMar>
          </w:tcPr>
          <w:p>
            <w:pPr>
              <w:jc w:val="center"/>
            </w:pPr>
            <w:r>
              <w:rPr>
                <w:rFonts w:ascii="Calibri" w:cs="Calibri" w:eastAsia="Calibri" w:hAnsi="Calibri"/>
                <w:b/>
                <w:bCs/>
                <w:color w:val="FFFFFF"/>
                <w:sz w:val="18"/>
                <w:szCs w:val="18"/>
              </w:rPr>
              <w:t xml:space="preserve">LOW</w:t>
            </w:r>
          </w:p>
        </w:tc>
        <w:tc>
          <w:tcPr>
            <w:tcW w:type="dxa" w:w="4700"/>
            <w:tcBorders>
              <w:top w:val="single" w:color="CCCCBB" w:sz="1" w:space="0"/>
              <w:left w:val="single" w:color="CCCCBB" w:sz="1" w:space="0"/>
              <w:bottom w:val="single" w:color="CCCCBB" w:sz="1" w:space="0"/>
              <w:right w:val="single" w:color="CCCCBB" w:sz="1" w:space="0"/>
            </w:tcBorders>
            <w:tcMar>
              <w:top w:type="dxa" w:w="80"/>
              <w:left w:type="dxa" w:w="100"/>
              <w:bottom w:type="dxa" w:w="80"/>
              <w:right w:type="dxa" w:w="100"/>
            </w:tcMar>
          </w:tcPr>
          <w:p>
            <w:r>
              <w:rPr>
                <w:rFonts w:ascii="Calibri" w:cs="Calibri" w:eastAsia="Calibri" w:hAnsi="Calibri"/>
                <w:i/>
                <w:iCs/>
                <w:color w:val="5A5A72"/>
                <w:sz w:val="18"/>
                <w:szCs w:val="18"/>
              </w:rPr>
              <w:t xml:space="preserve">All communications lead with full name and commercial description; institutional language in formal documents</w:t>
            </w:r>
          </w:p>
        </w:tc>
      </w:tr>
    </w:tbl>
    <w:p>
      <w:pPr>
        <w:spacing w:before="160" w:after="0"/>
      </w:pPr>
    </w:p>
    <w:p>
      <w:pPr>
        <w:pBdr>
          <w:bottom w:val="single" w:color="C9A84C" w:sz="8" w:space="4"/>
        </w:pBdr>
        <w:spacing w:before="440" w:after="120"/>
      </w:pPr>
      <w:r>
        <w:rPr>
          <w:rFonts w:ascii="Georgia" w:cs="Georgia" w:eastAsia="Georgia" w:hAnsi="Georgia"/>
          <w:b/>
          <w:bCs/>
          <w:color w:val="B8972A"/>
          <w:sz w:val="28"/>
          <w:szCs w:val="28"/>
        </w:rPr>
        <w:t xml:space="preserve">6.7  </w:t>
      </w:r>
      <w:r>
        <w:rPr>
          <w:rFonts w:ascii="Georgia" w:cs="Georgia" w:eastAsia="Georgia" w:hAnsi="Georgia"/>
          <w:b/>
          <w:bCs/>
          <w:color w:val="0C2340"/>
          <w:sz w:val="28"/>
          <w:szCs w:val="28"/>
        </w:rPr>
        <w:t xml:space="preserve">Talent &amp; Compensation Architecture</w:t>
      </w:r>
    </w:p>
    <w:p>
      <w:pPr>
        <w:spacing w:before="80" w:after="80"/>
        <w:jc w:val="both"/>
      </w:pPr>
      <w:r>
        <w:rPr>
          <w:rFonts w:ascii="Calibri" w:cs="Calibri" w:eastAsia="Calibri" w:hAnsi="Calibri"/>
          <w:color w:val="1E1E2E"/>
          <w:sz w:val="22"/>
          <w:szCs w:val="22"/>
        </w:rPr>
        <w:t xml:space="preserve">G.O.D.S cannot and does not attempt to compete on immediate compensation with large financial institutions or established technology companies. The compensation architecture is designed to self-select for the right candidates — those motivated by long-horizon contribution rather than immediate compensation maximization.</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2600"/>
        <w:gridCol w:w="6400"/>
      </w:tblGrid>
      <w:tr>
        <w:tc>
          <w:tcPr>
            <w:tcW w:type="dxa" w:w="2600"/>
            <w:tcBorders>
              <w:top w:val="single" w:color="CCCCBB" w:sz="1" w:space="0"/>
              <w:left w:val="single" w:color="CCCCBB" w:sz="1" w:space="0"/>
              <w:bottom w:val="single" w:color="CCCCBB" w:sz="1" w:space="0"/>
              <w:right w:val="single" w:color="CCCCBB" w:sz="1" w:space="0"/>
            </w:tcBorders>
            <w:shd w:fill="EDE8D8" w:val="clear"/>
            <w:tcMar>
              <w:top w:type="dxa" w:w="80"/>
              <w:left w:type="dxa" w:w="160"/>
              <w:bottom w:type="dxa" w:w="80"/>
              <w:right w:type="dxa" w:w="160"/>
            </w:tcMar>
          </w:tcPr>
          <w:p>
            <w:r>
              <w:rPr>
                <w:rFonts w:ascii="Calibri" w:cs="Calibri" w:eastAsia="Calibri" w:hAnsi="Calibri"/>
                <w:b/>
                <w:bCs/>
                <w:color w:val="0C2340"/>
                <w:sz w:val="22"/>
                <w:szCs w:val="22"/>
              </w:rPr>
              <w:t xml:space="preserve">Base Salary</w:t>
            </w:r>
          </w:p>
        </w:tc>
        <w:tc>
          <w:tcPr>
            <w:tcW w:type="dxa" w:w="6400"/>
            <w:tcBorders>
              <w:top w:val="single" w:color="CCCCBB" w:sz="1" w:space="0"/>
              <w:left w:val="single" w:color="CCCCBB" w:sz="1" w:space="0"/>
              <w:bottom w:val="single" w:color="CCCCBB" w:sz="1" w:space="0"/>
              <w:right w:val="single" w:color="CCCCBB" w:sz="1" w:space="0"/>
            </w:tcBorders>
            <w:shd w:fill="FFFFFF" w:val="clear"/>
            <w:tcMar>
              <w:top w:type="dxa" w:w="80"/>
              <w:left w:type="dxa" w:w="160"/>
              <w:bottom w:type="dxa" w:w="80"/>
              <w:right w:type="dxa" w:w="160"/>
            </w:tcMar>
          </w:tcPr>
          <w:p>
            <w:r>
              <w:rPr>
                <w:rFonts w:ascii="Calibri" w:cs="Calibri" w:eastAsia="Calibri" w:hAnsi="Calibri"/>
                <w:color w:val="1E1E2E"/>
                <w:sz w:val="22"/>
                <w:szCs w:val="22"/>
              </w:rPr>
              <w:t xml:space="preserve">Market-competitive — capable, not maximum. Ensures capability threshold without misaligning incentives.</w:t>
            </w:r>
          </w:p>
        </w:tc>
      </w:tr>
      <w:tr>
        <w:tc>
          <w:tcPr>
            <w:tcW w:type="dxa" w:w="2600"/>
            <w:tcBorders>
              <w:top w:val="single" w:color="CCCCBB" w:sz="1" w:space="0"/>
              <w:left w:val="single" w:color="CCCCBB" w:sz="1" w:space="0"/>
              <w:bottom w:val="single" w:color="CCCCBB" w:sz="1" w:space="0"/>
              <w:right w:val="single" w:color="CCCCBB" w:sz="1" w:space="0"/>
            </w:tcBorders>
            <w:shd w:fill="F5F2EA" w:val="clear"/>
            <w:tcMar>
              <w:top w:type="dxa" w:w="80"/>
              <w:left w:type="dxa" w:w="160"/>
              <w:bottom w:type="dxa" w:w="80"/>
              <w:right w:type="dxa" w:w="160"/>
            </w:tcMar>
          </w:tcPr>
          <w:p>
            <w:r>
              <w:rPr>
                <w:rFonts w:ascii="Calibri" w:cs="Calibri" w:eastAsia="Calibri" w:hAnsi="Calibri"/>
                <w:b/>
                <w:bCs/>
                <w:color w:val="0C2340"/>
                <w:sz w:val="22"/>
                <w:szCs w:val="22"/>
              </w:rPr>
              <w:t xml:space="preserve">Equity Component</w:t>
            </w:r>
          </w:p>
        </w:tc>
        <w:tc>
          <w:tcPr>
            <w:tcW w:type="dxa" w:w="6400"/>
            <w:tcBorders>
              <w:top w:val="single" w:color="CCCCBB" w:sz="1" w:space="0"/>
              <w:left w:val="single" w:color="CCCCBB" w:sz="1" w:space="0"/>
              <w:bottom w:val="single" w:color="CCCCBB" w:sz="1" w:space="0"/>
              <w:right w:val="single" w:color="CCCCBB" w:sz="1" w:space="0"/>
            </w:tcBorders>
            <w:shd w:fill="FAFAF5" w:val="clear"/>
            <w:tcMar>
              <w:top w:type="dxa" w:w="80"/>
              <w:left w:type="dxa" w:w="160"/>
              <w:bottom w:type="dxa" w:w="80"/>
              <w:right w:type="dxa" w:w="160"/>
            </w:tcMar>
          </w:tcPr>
          <w:p>
            <w:r>
              <w:rPr>
                <w:rFonts w:ascii="Calibri" w:cs="Calibri" w:eastAsia="Calibri" w:hAnsi="Calibri"/>
                <w:color w:val="1E1E2E"/>
                <w:sz w:val="22"/>
                <w:szCs w:val="22"/>
              </w:rPr>
              <w:t xml:space="preserve">Significant long-horizon equity (5–7 year vest) structured to reward institutional performance and tenure.</w:t>
            </w:r>
          </w:p>
        </w:tc>
      </w:tr>
      <w:tr>
        <w:tc>
          <w:tcPr>
            <w:tcW w:type="dxa" w:w="2600"/>
            <w:tcBorders>
              <w:top w:val="single" w:color="CCCCBB" w:sz="1" w:space="0"/>
              <w:left w:val="single" w:color="CCCCBB" w:sz="1" w:space="0"/>
              <w:bottom w:val="single" w:color="CCCCBB" w:sz="1" w:space="0"/>
              <w:right w:val="single" w:color="CCCCBB" w:sz="1" w:space="0"/>
            </w:tcBorders>
            <w:shd w:fill="EDE8D8" w:val="clear"/>
            <w:tcMar>
              <w:top w:type="dxa" w:w="80"/>
              <w:left w:type="dxa" w:w="160"/>
              <w:bottom w:type="dxa" w:w="80"/>
              <w:right w:type="dxa" w:w="160"/>
            </w:tcMar>
          </w:tcPr>
          <w:p>
            <w:r>
              <w:rPr>
                <w:rFonts w:ascii="Calibri" w:cs="Calibri" w:eastAsia="Calibri" w:hAnsi="Calibri"/>
                <w:b/>
                <w:bCs/>
                <w:color w:val="0C2340"/>
                <w:sz w:val="22"/>
                <w:szCs w:val="22"/>
              </w:rPr>
              <w:t xml:space="preserve">Annual Bonus</w:t>
            </w:r>
          </w:p>
        </w:tc>
        <w:tc>
          <w:tcPr>
            <w:tcW w:type="dxa" w:w="6400"/>
            <w:tcBorders>
              <w:top w:val="single" w:color="CCCCBB" w:sz="1" w:space="0"/>
              <w:left w:val="single" w:color="CCCCBB" w:sz="1" w:space="0"/>
              <w:bottom w:val="single" w:color="CCCCBB" w:sz="1" w:space="0"/>
              <w:right w:val="single" w:color="CCCCBB" w:sz="1" w:space="0"/>
            </w:tcBorders>
            <w:shd w:fill="FFFFFF" w:val="clear"/>
            <w:tcMar>
              <w:top w:type="dxa" w:w="80"/>
              <w:left w:type="dxa" w:w="160"/>
              <w:bottom w:type="dxa" w:w="80"/>
              <w:right w:type="dxa" w:w="160"/>
            </w:tcMar>
          </w:tcPr>
          <w:p>
            <w:r>
              <w:rPr>
                <w:rFonts w:ascii="Calibri" w:cs="Calibri" w:eastAsia="Calibri" w:hAnsi="Calibri"/>
                <w:color w:val="1E1E2E"/>
                <w:sz w:val="22"/>
                <w:szCs w:val="22"/>
              </w:rPr>
              <w:t xml:space="preserve">Performance-linked to divisional outcomes and constitutional compliance rating — not purely financial metrics.</w:t>
            </w:r>
          </w:p>
        </w:tc>
      </w:tr>
      <w:tr>
        <w:tc>
          <w:tcPr>
            <w:tcW w:type="dxa" w:w="2600"/>
            <w:tcBorders>
              <w:top w:val="single" w:color="CCCCBB" w:sz="1" w:space="0"/>
              <w:left w:val="single" w:color="CCCCBB" w:sz="1" w:space="0"/>
              <w:bottom w:val="single" w:color="CCCCBB" w:sz="1" w:space="0"/>
              <w:right w:val="single" w:color="CCCCBB" w:sz="1" w:space="0"/>
            </w:tcBorders>
            <w:shd w:fill="F5F2EA" w:val="clear"/>
            <w:tcMar>
              <w:top w:type="dxa" w:w="80"/>
              <w:left w:type="dxa" w:w="160"/>
              <w:bottom w:type="dxa" w:w="80"/>
              <w:right w:type="dxa" w:w="160"/>
            </w:tcMar>
          </w:tcPr>
          <w:p>
            <w:r>
              <w:rPr>
                <w:rFonts w:ascii="Calibri" w:cs="Calibri" w:eastAsia="Calibri" w:hAnsi="Calibri"/>
                <w:b/>
                <w:bCs/>
                <w:color w:val="0C2340"/>
                <w:sz w:val="22"/>
                <w:szCs w:val="22"/>
              </w:rPr>
              <w:t xml:space="preserve">Mission Premium</w:t>
            </w:r>
          </w:p>
        </w:tc>
        <w:tc>
          <w:tcPr>
            <w:tcW w:type="dxa" w:w="6400"/>
            <w:tcBorders>
              <w:top w:val="single" w:color="CCCCBB" w:sz="1" w:space="0"/>
              <w:left w:val="single" w:color="CCCCBB" w:sz="1" w:space="0"/>
              <w:bottom w:val="single" w:color="CCCCBB" w:sz="1" w:space="0"/>
              <w:right w:val="single" w:color="CCCCBB" w:sz="1" w:space="0"/>
            </w:tcBorders>
            <w:shd w:fill="FAFAF5" w:val="clear"/>
            <w:tcMar>
              <w:top w:type="dxa" w:w="80"/>
              <w:left w:type="dxa" w:w="160"/>
              <w:bottom w:type="dxa" w:w="80"/>
              <w:right w:type="dxa" w:w="160"/>
            </w:tcMar>
          </w:tcPr>
          <w:p>
            <w:r>
              <w:rPr>
                <w:rFonts w:ascii="Calibri" w:cs="Calibri" w:eastAsia="Calibri" w:hAnsi="Calibri"/>
                <w:color w:val="1E1E2E"/>
                <w:sz w:val="22"/>
                <w:szCs w:val="22"/>
              </w:rPr>
              <w:t xml:space="preserve">Research consistently demonstrates a meaningful salary discount for genuinely purpose-driven work. G.O.D.S makes this explicit.</w:t>
            </w:r>
          </w:p>
        </w:tc>
      </w:tr>
      <w:tr>
        <w:tc>
          <w:tcPr>
            <w:tcW w:type="dxa" w:w="2600"/>
            <w:tcBorders>
              <w:top w:val="single" w:color="CCCCBB" w:sz="1" w:space="0"/>
              <w:left w:val="single" w:color="CCCCBB" w:sz="1" w:space="0"/>
              <w:bottom w:val="single" w:color="CCCCBB" w:sz="1" w:space="0"/>
              <w:right w:val="single" w:color="CCCCBB" w:sz="1" w:space="0"/>
            </w:tcBorders>
            <w:shd w:fill="EDE8D8" w:val="clear"/>
            <w:tcMar>
              <w:top w:type="dxa" w:w="80"/>
              <w:left w:type="dxa" w:w="160"/>
              <w:bottom w:type="dxa" w:w="80"/>
              <w:right w:type="dxa" w:w="160"/>
            </w:tcMar>
          </w:tcPr>
          <w:p>
            <w:r>
              <w:rPr>
                <w:rFonts w:ascii="Calibri" w:cs="Calibri" w:eastAsia="Calibri" w:hAnsi="Calibri"/>
                <w:b/>
                <w:bCs/>
                <w:color w:val="0C2340"/>
                <w:sz w:val="22"/>
                <w:szCs w:val="22"/>
              </w:rPr>
              <w:t xml:space="preserve">Selection Effect</w:t>
            </w:r>
          </w:p>
        </w:tc>
        <w:tc>
          <w:tcPr>
            <w:tcW w:type="dxa" w:w="6400"/>
            <w:tcBorders>
              <w:top w:val="single" w:color="CCCCBB" w:sz="1" w:space="0"/>
              <w:left w:val="single" w:color="CCCCBB" w:sz="1" w:space="0"/>
              <w:bottom w:val="single" w:color="CCCCBB" w:sz="1" w:space="0"/>
              <w:right w:val="single" w:color="CCCCBB" w:sz="1" w:space="0"/>
            </w:tcBorders>
            <w:shd w:fill="FFFFFF" w:val="clear"/>
            <w:tcMar>
              <w:top w:type="dxa" w:w="80"/>
              <w:left w:type="dxa" w:w="160"/>
              <w:bottom w:type="dxa" w:w="80"/>
              <w:right w:type="dxa" w:w="160"/>
            </w:tcMar>
          </w:tcPr>
          <w:p>
            <w:r>
              <w:rPr>
                <w:rFonts w:ascii="Calibri" w:cs="Calibri" w:eastAsia="Calibri" w:hAnsi="Calibri"/>
                <w:color w:val="1E1E2E"/>
                <w:sz w:val="22"/>
                <w:szCs w:val="22"/>
              </w:rPr>
              <w:t xml:space="preserve">This structure attracts candidates motivated by long-horizon contribution. Immediate-maximization candidates will choose other employers. That is by design.</w:t>
            </w:r>
          </w:p>
        </w:tc>
      </w:tr>
    </w:tbl>
    <w:p>
      <w:r>
        <w:br w:type="page"/>
      </w:r>
    </w:p>
    <w:p>
      <w:pPr>
        <w:pBdr>
          <w:bottom w:val="single" w:color="C9A84C" w:sz="8" w:space="4"/>
        </w:pBdr>
        <w:spacing w:before="440" w:after="120"/>
      </w:pPr>
      <w:r>
        <w:rPr>
          <w:rFonts w:ascii="Georgia" w:cs="Georgia" w:eastAsia="Georgia" w:hAnsi="Georgia"/>
          <w:b/>
          <w:bCs/>
          <w:color w:val="B8972A"/>
          <w:sz w:val="28"/>
          <w:szCs w:val="28"/>
        </w:rPr>
        <w:t xml:space="preserve"/>
      </w:r>
      <w:r>
        <w:rPr>
          <w:rFonts w:ascii="Georgia" w:cs="Georgia" w:eastAsia="Georgia" w:hAnsi="Georgia"/>
          <w:b/>
          <w:bCs/>
          <w:color w:val="0C2340"/>
          <w:sz w:val="28"/>
          <w:szCs w:val="28"/>
        </w:rPr>
        <w:t xml:space="preserve">THE LEGACY CLAUSE</w:t>
      </w:r>
    </w:p>
    <w:p>
      <w:pPr>
        <w:spacing w:before="140" w:after="160"/>
        <w:jc w:val="both"/>
      </w:pPr>
      <w:r>
        <w:rPr>
          <w:rFonts w:ascii="Georgia" w:cs="Georgia" w:eastAsia="Georgia" w:hAnsi="Georgia"/>
          <w:i/>
          <w:iCs/>
          <w:color w:val="5A5A72"/>
          <w:sz w:val="24"/>
          <w:szCs w:val="24"/>
        </w:rPr>
        <w:t xml:space="preserve">What we are building is not a company. It is a framework for generations.</w:t>
      </w:r>
    </w:p>
    <w:p>
      <w:pPr>
        <w:spacing w:before="80" w:after="80"/>
        <w:jc w:val="both"/>
      </w:pPr>
      <w:r>
        <w:rPr>
          <w:rFonts w:ascii="Calibri" w:cs="Calibri" w:eastAsia="Calibri" w:hAnsi="Calibri"/>
          <w:color w:val="1E1E2E"/>
          <w:sz w:val="22"/>
          <w:szCs w:val="22"/>
        </w:rPr>
        <w:t xml:space="preserve">We are passing on the evidence — rigorously documented, longitudinally deep, intellectually honest — that excluded human beings, given structured opportunity and genuine support, become extraordinary contributors to the societies that once discarded them. That evidence is the foundation everything else rests on.</w:t>
      </w:r>
    </w:p>
    <w:p>
      <w:pPr>
        <w:spacing w:before="80" w:after="80"/>
        <w:jc w:val="both"/>
      </w:pPr>
      <w:r>
        <w:rPr>
          <w:rFonts w:ascii="Calibri" w:cs="Calibri" w:eastAsia="Calibri" w:hAnsi="Calibri"/>
          <w:color w:val="1E1E2E"/>
          <w:sz w:val="22"/>
          <w:szCs w:val="22"/>
        </w:rPr>
        <w:t xml:space="preserve">We are passing on the governance architecture that prevented good intentions from becoming institutional corruption: the Twelve Pillars, the Constitutional Oversight Board, the IP Trust, the founder removal mechanism. These structures created commercial friction and cost real opportunities. They also preserved the institutional integrity that made everything else possible. Do not dismantle them because they are inconvenient. They exist precisely because they are.</w:t>
      </w:r>
    </w:p>
    <w:p>
      <w:pPr>
        <w:spacing w:before="80" w:after="80"/>
        <w:jc w:val="both"/>
      </w:pPr>
      <w:r>
        <w:rPr>
          <w:rFonts w:ascii="Calibri" w:cs="Calibri" w:eastAsia="Calibri" w:hAnsi="Calibri"/>
          <w:color w:val="1E1E2E"/>
          <w:sz w:val="22"/>
          <w:szCs w:val="22"/>
        </w:rPr>
        <w:t xml:space="preserve">We are passing on the direction — not the destination. Each generation that inherits G.O.D.S inherits a set of constitutional principles, a body of evidence, and institutional credibility sufficient to continue building. That is the inheritance. Use it deliberately.</w:t>
      </w:r>
    </w:p>
    <w:p>
      <w:pPr>
        <w:pBdr>
          <w:left w:val="single" w:color="B8972A" w:sz="14" w:space="1"/>
        </w:pBdr>
        <w:shd w:fill="FBF7EE" w:val="clear"/>
        <w:spacing w:before="200" w:after="200"/>
        <w:ind w:left="480" w:right="480"/>
        <w:jc w:val="both"/>
      </w:pPr>
      <w:r>
        <w:rPr>
          <w:rFonts w:ascii="Georgia" w:cs="Georgia" w:eastAsia="Georgia" w:hAnsi="Georgia"/>
          <w:i/>
          <w:iCs/>
          <w:color w:val="1E1E2E"/>
          <w:sz w:val="22"/>
          <w:szCs w:val="22"/>
        </w:rPr>
        <w:t xml:space="preserve">If G.O.D.S has an institutional character in 100 years, it will be this: the institution that chose slow and right over fast and impressive — that believed evidence beat rhetoric, governance beat ambition, and that dignity mattered more than efficiency when the two were in conflict.</w:t>
      </w:r>
    </w:p>
    <w:p>
      <w:pPr>
        <w:spacing w:before="160" w:after="0"/>
      </w:pPr>
    </w:p>
    <w:p>
      <w:pPr>
        <w:pBdr>
          <w:bottom w:val="single" w:color="C9A84C" w:sz="8" w:space="4"/>
        </w:pBdr>
        <w:spacing w:before="440" w:after="120"/>
      </w:pPr>
      <w:r>
        <w:rPr>
          <w:rFonts w:ascii="Georgia" w:cs="Georgia" w:eastAsia="Georgia" w:hAnsi="Georgia"/>
          <w:b/>
          <w:bCs/>
          <w:color w:val="B8972A"/>
          <w:sz w:val="28"/>
          <w:szCs w:val="28"/>
        </w:rPr>
        <w:t xml:space="preserve"/>
      </w:r>
      <w:r>
        <w:rPr>
          <w:rFonts w:ascii="Georgia" w:cs="Georgia" w:eastAsia="Georgia" w:hAnsi="Georgia"/>
          <w:b/>
          <w:bCs/>
          <w:color w:val="0C2340"/>
          <w:sz w:val="28"/>
          <w:szCs w:val="28"/>
        </w:rPr>
        <w:t xml:space="preserve">INVITATION TO PARTICIPATION</w:t>
      </w:r>
    </w:p>
    <w:p>
      <w:pPr>
        <w:spacing w:before="80" w:after="80"/>
        <w:jc w:val="both"/>
      </w:pPr>
      <w:r>
        <w:rPr>
          <w:rFonts w:ascii="Calibri" w:cs="Calibri" w:eastAsia="Calibri" w:hAnsi="Calibri"/>
          <w:color w:val="1E1E2E"/>
          <w:sz w:val="22"/>
          <w:szCs w:val="22"/>
        </w:rPr>
        <w:t xml:space="preserve">G.O.D.S does not seek followers. It seeks contributors.</w:t>
      </w:r>
    </w:p>
    <w:p>
      <w:pPr>
        <w:spacing w:before="200" w:after="60"/>
      </w:pPr>
      <w:r>
        <w:rPr>
          <w:rFonts w:ascii="Calibri" w:cs="Calibri" w:eastAsia="Calibri" w:hAnsi="Calibri"/>
          <w:b/>
          <w:bCs/>
          <w:color w:val="1A5276"/>
          <w:sz w:val="22"/>
          <w:szCs w:val="22"/>
        </w:rPr>
        <w:t xml:space="preserve">For Governments</w:t>
      </w:r>
    </w:p>
    <w:p>
      <w:pPr>
        <w:spacing w:before="80" w:after="80"/>
        <w:jc w:val="both"/>
      </w:pPr>
      <w:r>
        <w:rPr>
          <w:rFonts w:ascii="Calibri" w:cs="Calibri" w:eastAsia="Calibri" w:hAnsi="Calibri"/>
          <w:color w:val="1E1E2E"/>
          <w:sz w:val="22"/>
          <w:szCs w:val="22"/>
        </w:rPr>
        <w:t xml:space="preserve">G.O.D.S offers a partnership architecture built for transparency and performance. Sovereign data custody is guaranteed. Majority control in all SPV structures is non-negotiable. Measurable outcomes are independently audited. The partnership is designed to survive electoral cycles because its value is demonstrated rather than rhetorical.</w:t>
      </w:r>
    </w:p>
    <w:p>
      <w:pPr>
        <w:spacing w:before="200" w:after="60"/>
      </w:pPr>
      <w:r>
        <w:rPr>
          <w:rFonts w:ascii="Calibri" w:cs="Calibri" w:eastAsia="Calibri" w:hAnsi="Calibri"/>
          <w:b/>
          <w:bCs/>
          <w:color w:val="1A5276"/>
          <w:sz w:val="22"/>
          <w:szCs w:val="22"/>
        </w:rPr>
        <w:t xml:space="preserve">For Investors</w:t>
      </w:r>
    </w:p>
    <w:p>
      <w:pPr>
        <w:spacing w:before="80" w:after="80"/>
        <w:jc w:val="both"/>
      </w:pPr>
      <w:r>
        <w:rPr>
          <w:rFonts w:ascii="Calibri" w:cs="Calibri" w:eastAsia="Calibri" w:hAnsi="Calibri"/>
          <w:color w:val="1E1E2E"/>
          <w:sz w:val="22"/>
          <w:szCs w:val="22"/>
        </w:rPr>
        <w:t xml:space="preserve">G.O.D.S offers capital partners who understand long-horizon infrastructure returns — significant commercial returns across eight revenue divisions, within a constitutional framework that protects both the mission and the value of the investment. The requirement is patience measured in years, not quarters.</w:t>
      </w:r>
    </w:p>
    <w:p>
      <w:pPr>
        <w:spacing w:before="200" w:after="60"/>
      </w:pPr>
      <w:r>
        <w:rPr>
          <w:rFonts w:ascii="Calibri" w:cs="Calibri" w:eastAsia="Calibri" w:hAnsi="Calibri"/>
          <w:b/>
          <w:bCs/>
          <w:color w:val="1A5276"/>
          <w:sz w:val="22"/>
          <w:szCs w:val="22"/>
        </w:rPr>
        <w:t xml:space="preserve">For Team Members</w:t>
      </w:r>
    </w:p>
    <w:p>
      <w:pPr>
        <w:spacing w:before="80" w:after="80"/>
        <w:jc w:val="both"/>
      </w:pPr>
      <w:r>
        <w:rPr>
          <w:rFonts w:ascii="Calibri" w:cs="Calibri" w:eastAsia="Calibri" w:hAnsi="Calibri"/>
          <w:color w:val="1E1E2E"/>
          <w:sz w:val="22"/>
          <w:szCs w:val="22"/>
        </w:rPr>
        <w:t xml:space="preserve">G.O.D.S seeks people of rare capability and genuine conviction — who apply their talent to something that matters rather than merely something that pays. Below-maximum immediate compensation. Above-maximum long-horizon equity. An institutional environment where governance means something. The requirement: integrity, discipline, and the willingness to be held to the same standards applied to everyone else.</w:t>
      </w:r>
    </w:p>
    <w:p>
      <w:pPr>
        <w:spacing w:before="200" w:after="60"/>
      </w:pPr>
      <w:r>
        <w:rPr>
          <w:rFonts w:ascii="Calibri" w:cs="Calibri" w:eastAsia="Calibri" w:hAnsi="Calibri"/>
          <w:b/>
          <w:bCs/>
          <w:color w:val="1A5276"/>
          <w:sz w:val="22"/>
          <w:szCs w:val="22"/>
        </w:rPr>
        <w:t xml:space="preserve">For Communities</w:t>
      </w:r>
    </w:p>
    <w:p>
      <w:pPr>
        <w:spacing w:before="80" w:after="80"/>
        <w:jc w:val="both"/>
      </w:pPr>
      <w:r>
        <w:rPr>
          <w:rFonts w:ascii="Calibri" w:cs="Calibri" w:eastAsia="Calibri" w:hAnsi="Calibri"/>
          <w:color w:val="1E1E2E"/>
          <w:sz w:val="22"/>
          <w:szCs w:val="22"/>
        </w:rPr>
        <w:t xml:space="preserve">G.O.D.S is, at its most fundamental level, built for the people its systems serve — not to manage or process them, but to build the infrastructure that makes their contribution possible and their dignity non-negotiable.</w:t>
      </w:r>
    </w:p>
    <w:p>
      <w:pPr>
        <w:spacing w:before="120" w:after="0"/>
      </w:pPr>
    </w:p>
    <w:p>
      <w:pPr>
        <w:pBdr>
          <w:left w:val="single" w:color="B8972A" w:sz="14" w:space="1"/>
        </w:pBdr>
        <w:shd w:fill="FBF7EE" w:val="clear"/>
        <w:spacing w:before="200" w:after="200"/>
        <w:ind w:left="480" w:right="480"/>
        <w:jc w:val="both"/>
      </w:pPr>
      <w:r>
        <w:rPr>
          <w:rFonts w:ascii="Georgia" w:cs="Georgia" w:eastAsia="Georgia" w:hAnsi="Georgia"/>
          <w:i/>
          <w:iCs/>
          <w:color w:val="1E1E2E"/>
          <w:sz w:val="22"/>
          <w:szCs w:val="22"/>
        </w:rPr>
        <w:t xml:space="preserve">Good Orderly Directional Systems. Built for those who were underestimated. Built for those capable of more. Built so that future generations inherit structure instead of instability.</w:t>
      </w:r>
    </w:p>
    <w:p>
      <w:pPr>
        <w:spacing w:before="80" w:after="0"/>
      </w:pPr>
    </w:p>
    <w:p>
      <w:pPr>
        <w:spacing w:before="80" w:after="60"/>
        <w:jc w:val="center"/>
      </w:pPr>
      <w:r>
        <w:rPr>
          <w:rFonts w:ascii="Georgia" w:cs="Georgia" w:eastAsia="Georgia" w:hAnsi="Georgia"/>
          <w:b/>
          <w:bCs/>
          <w:color w:val="0C2340"/>
          <w:sz w:val="28"/>
          <w:szCs w:val="28"/>
        </w:rPr>
        <w:t xml:space="preserve">Sashin J. Singh</w:t>
      </w:r>
      <w:r>
        <w:rPr>
          <w:rFonts w:ascii="Calibri" w:cs="Calibri" w:eastAsia="Calibri" w:hAnsi="Calibri"/>
          <w:color w:val="5A5A72"/>
          <w:sz w:val="22"/>
          <w:szCs w:val="22"/>
        </w:rPr>
        <w:t xml:space="preserve">   |   Founder &amp; Architect, G.O.D.S</w:t>
      </w:r>
    </w:p>
    <w:p>
      <w:pPr>
        <w:spacing w:before="0" w:after="80"/>
        <w:jc w:val="center"/>
      </w:pPr>
      <w:r>
        <w:rPr>
          <w:rFonts w:ascii="Calibri" w:cs="Calibri" w:eastAsia="Calibri" w:hAnsi="Calibri"/>
          <w:i/>
          <w:iCs/>
          <w:color w:val="5A5A72"/>
          <w:sz w:val="20"/>
          <w:szCs w:val="20"/>
        </w:rPr>
        <w:t xml:space="preserve">Johannesburg, South Africa  |  2026</w:t>
      </w:r>
    </w:p>
    <w:p>
      <w:pPr>
        <w:pBdr>
          <w:bottom w:val="single" w:color="C9A84C" w:sz="4" w:space="1"/>
        </w:pBdr>
        <w:spacing w:before="200" w:after="200"/>
      </w:pPr>
    </w:p>
    <w:p>
      <w:r>
        <w:br w:type="page"/>
      </w:r>
    </w:p>
    <w:p>
      <w:pPr>
        <w:spacing w:before="480" w:after="80"/>
        <w:jc w:val="center"/>
      </w:pPr>
      <w:r>
        <w:rPr>
          <w:rFonts w:ascii="Georgia" w:cs="Georgia" w:eastAsia="Georgia" w:hAnsi="Georgia"/>
          <w:b/>
          <w:bCs/>
          <w:color w:val="B8972A"/>
          <w:sz w:val="72"/>
          <w:szCs w:val="72"/>
        </w:rPr>
        <w:t xml:space="preserve">ANNEXURES</w:t>
      </w:r>
    </w:p>
    <w:p>
      <w:pPr>
        <w:spacing w:before="0" w:after="480"/>
        <w:jc w:val="center"/>
      </w:pPr>
      <w:r>
        <w:rPr>
          <w:rFonts w:ascii="Calibri" w:cs="Calibri" w:eastAsia="Calibri" w:hAnsi="Calibri"/>
          <w:i/>
          <w:iCs/>
          <w:color w:val="0C2340"/>
          <w:sz w:val="22"/>
          <w:szCs w:val="22"/>
        </w:rPr>
        <w:t xml:space="preserve">Supporting Documents · Technical Specifications · Governance Frameworks</w:t>
      </w:r>
    </w:p>
    <w:p>
      <w:pPr>
        <w:pBdr>
          <w:bottom w:val="single" w:color="C9A84C" w:sz="4" w:space="1"/>
        </w:pBdr>
        <w:spacing w:before="200" w:after="200"/>
      </w:pPr>
    </w:p>
    <w:p>
      <w:r>
        <w:br w:type="page"/>
      </w:r>
    </w:p>
    <w:p>
      <w:pPr>
        <w:pBdr>
          <w:bottom w:val="single" w:color="C9A84C" w:sz="8" w:space="4"/>
        </w:pBdr>
        <w:spacing w:before="440" w:after="120"/>
      </w:pPr>
      <w:r>
        <w:rPr>
          <w:rFonts w:ascii="Georgia" w:cs="Georgia" w:eastAsia="Georgia" w:hAnsi="Georgia"/>
          <w:b/>
          <w:bCs/>
          <w:color w:val="B8972A"/>
          <w:sz w:val="28"/>
          <w:szCs w:val="28"/>
        </w:rPr>
        <w:t xml:space="preserve">ANNEXURE A  </w:t>
      </w:r>
      <w:r>
        <w:rPr>
          <w:rFonts w:ascii="Georgia" w:cs="Georgia" w:eastAsia="Georgia" w:hAnsi="Georgia"/>
          <w:b/>
          <w:bCs/>
          <w:color w:val="0C2340"/>
          <w:sz w:val="28"/>
          <w:szCs w:val="28"/>
        </w:rPr>
        <w:t xml:space="preserve">Capital Flow Modeling &amp; Financial Architecture</w:t>
      </w:r>
    </w:p>
    <w:p>
      <w:pPr>
        <w:spacing w:before="140" w:after="160"/>
        <w:jc w:val="both"/>
      </w:pPr>
      <w:r>
        <w:rPr>
          <w:rFonts w:ascii="Georgia" w:cs="Georgia" w:eastAsia="Georgia" w:hAnsi="Georgia"/>
          <w:i/>
          <w:iCs/>
          <w:color w:val="5A5A72"/>
          <w:sz w:val="24"/>
          <w:szCs w:val="24"/>
        </w:rPr>
        <w:t xml:space="preserve">Detailed capital deployment, revenue ramp projections, and investor returns across Conservative, Base, and Accelerated scenarios.</w:t>
      </w:r>
    </w:p>
    <w:p>
      <w:pPr>
        <w:spacing w:before="280" w:after="80"/>
      </w:pPr>
      <w:r>
        <w:rPr>
          <w:rFonts w:ascii="Georgia" w:cs="Georgia" w:eastAsia="Georgia" w:hAnsi="Georgia"/>
          <w:b/>
          <w:bCs/>
          <w:color w:val="0C2340"/>
          <w:sz w:val="24"/>
          <w:szCs w:val="24"/>
        </w:rPr>
        <w:t xml:space="preserve">A.1 Startup Capital Deployment (Years 0–3)</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3200"/>
        <w:gridCol w:w="1933"/>
        <w:gridCol w:w="1933"/>
        <w:gridCol w:w="1934"/>
      </w:tblGrid>
      <w:tr>
        <w:trPr>
          <w:tblHeader/>
        </w:trPr>
        <w:tc>
          <w:tcPr>
            <w:tcW w:type="dxa" w:w="3200"/>
            <w:tcBorders>
              <w:top w:val="single" w:color="CCCCBB" w:sz="1" w:space="0"/>
              <w:left w:val="single" w:color="CCCCBB" w:sz="1" w:space="0"/>
              <w:bottom w:val="single" w:color="CCCCBB" w:sz="1" w:space="0"/>
              <w:right w:val="single" w:color="CCCCBB" w:sz="1" w:space="0"/>
            </w:tcBorders>
            <w:shd w:fill="0C2340" w:val="clear"/>
            <w:tcMar>
              <w:top w:type="dxa" w:w="80"/>
              <w:left w:type="dxa" w:w="120"/>
              <w:bottom w:type="dxa" w:w="80"/>
              <w:right w:type="dxa" w:w="120"/>
            </w:tcMar>
          </w:tcPr>
          <w:p>
            <w:pPr>
              <w:jc w:val="left"/>
            </w:pPr>
            <w:r>
              <w:rPr>
                <w:rFonts w:ascii="Calibri" w:cs="Calibri" w:eastAsia="Calibri" w:hAnsi="Calibri"/>
                <w:b/>
                <w:bCs/>
                <w:color w:val="FFFFFF"/>
                <w:sz w:val="20"/>
                <w:szCs w:val="20"/>
              </w:rPr>
              <w:t xml:space="preserve">Use of Capital</w:t>
            </w:r>
          </w:p>
        </w:tc>
        <w:tc>
          <w:tcPr>
            <w:tcW w:type="dxa" w:w="1933"/>
            <w:tcBorders>
              <w:top w:val="single" w:color="CCCCBB" w:sz="1" w:space="0"/>
              <w:left w:val="single" w:color="CCCCBB" w:sz="1" w:space="0"/>
              <w:bottom w:val="single" w:color="CCCCBB" w:sz="1" w:space="0"/>
              <w:right w:val="single" w:color="CCCCBB" w:sz="1" w:space="0"/>
            </w:tcBorders>
            <w:shd w:fill="0C2340" w:val="clear"/>
            <w:tcMar>
              <w:top w:type="dxa" w:w="80"/>
              <w:left w:type="dxa" w:w="120"/>
              <w:bottom w:type="dxa" w:w="80"/>
              <w:right w:type="dxa" w:w="120"/>
            </w:tcMar>
          </w:tcPr>
          <w:p>
            <w:pPr>
              <w:jc w:val="left"/>
            </w:pPr>
            <w:r>
              <w:rPr>
                <w:rFonts w:ascii="Calibri" w:cs="Calibri" w:eastAsia="Calibri" w:hAnsi="Calibri"/>
                <w:b/>
                <w:bCs/>
                <w:color w:val="FFFFFF"/>
                <w:sz w:val="20"/>
                <w:szCs w:val="20"/>
              </w:rPr>
              <w:t xml:space="preserve">Conservative</w:t>
            </w:r>
          </w:p>
        </w:tc>
        <w:tc>
          <w:tcPr>
            <w:tcW w:type="dxa" w:w="1933"/>
            <w:tcBorders>
              <w:top w:val="single" w:color="CCCCBB" w:sz="1" w:space="0"/>
              <w:left w:val="single" w:color="CCCCBB" w:sz="1" w:space="0"/>
              <w:bottom w:val="single" w:color="CCCCBB" w:sz="1" w:space="0"/>
              <w:right w:val="single" w:color="CCCCBB" w:sz="1" w:space="0"/>
            </w:tcBorders>
            <w:shd w:fill="0C2340" w:val="clear"/>
            <w:tcMar>
              <w:top w:type="dxa" w:w="80"/>
              <w:left w:type="dxa" w:w="120"/>
              <w:bottom w:type="dxa" w:w="80"/>
              <w:right w:type="dxa" w:w="120"/>
            </w:tcMar>
          </w:tcPr>
          <w:p>
            <w:pPr>
              <w:jc w:val="left"/>
            </w:pPr>
            <w:r>
              <w:rPr>
                <w:rFonts w:ascii="Calibri" w:cs="Calibri" w:eastAsia="Calibri" w:hAnsi="Calibri"/>
                <w:b/>
                <w:bCs/>
                <w:color w:val="FFFFFF"/>
                <w:sz w:val="20"/>
                <w:szCs w:val="20"/>
              </w:rPr>
              <w:t xml:space="preserve">Base</w:t>
            </w:r>
          </w:p>
        </w:tc>
        <w:tc>
          <w:tcPr>
            <w:tcW w:type="dxa" w:w="1934"/>
            <w:tcBorders>
              <w:top w:val="single" w:color="CCCCBB" w:sz="1" w:space="0"/>
              <w:left w:val="single" w:color="CCCCBB" w:sz="1" w:space="0"/>
              <w:bottom w:val="single" w:color="CCCCBB" w:sz="1" w:space="0"/>
              <w:right w:val="single" w:color="CCCCBB" w:sz="1" w:space="0"/>
            </w:tcBorders>
            <w:shd w:fill="0C2340" w:val="clear"/>
            <w:tcMar>
              <w:top w:type="dxa" w:w="80"/>
              <w:left w:type="dxa" w:w="120"/>
              <w:bottom w:type="dxa" w:w="80"/>
              <w:right w:type="dxa" w:w="120"/>
            </w:tcMar>
          </w:tcPr>
          <w:p>
            <w:pPr>
              <w:jc w:val="left"/>
            </w:pPr>
            <w:r>
              <w:rPr>
                <w:rFonts w:ascii="Calibri" w:cs="Calibri" w:eastAsia="Calibri" w:hAnsi="Calibri"/>
                <w:b/>
                <w:bCs/>
                <w:color w:val="FFFFFF"/>
                <w:sz w:val="20"/>
                <w:szCs w:val="20"/>
              </w:rPr>
              <w:t xml:space="preserve">Accelerated</w:t>
            </w:r>
          </w:p>
        </w:tc>
      </w:tr>
      <w:tr>
        <w:tc>
          <w:tcPr>
            <w:tcW w:type="dxa" w:w="3200"/>
            <w:tcBorders>
              <w:top w:val="single" w:color="CCCCBB" w:sz="1" w:space="0"/>
              <w:left w:val="single" w:color="CCCCBB" w:sz="1" w:space="0"/>
              <w:bottom w:val="single" w:color="CCCCBB" w:sz="1" w:space="0"/>
              <w:right w:val="single" w:color="CCCCBB" w:sz="1" w:space="0"/>
            </w:tcBorders>
            <w:shd w:fill="F0EDE6" w:val="clear"/>
            <w:tcMar>
              <w:top w:type="dxa" w:w="80"/>
              <w:left w:type="dxa" w:w="120"/>
              <w:bottom w:type="dxa" w:w="80"/>
              <w:right w:type="dxa" w:w="120"/>
            </w:tcMar>
          </w:tcPr>
          <w:p>
            <w:pPr>
              <w:jc w:val="left"/>
            </w:pPr>
            <w:r>
              <w:rPr>
                <w:rFonts w:ascii="Calibri" w:cs="Calibri" w:eastAsia="Calibri" w:hAnsi="Calibri"/>
                <w:b/>
                <w:bCs/>
                <w:color w:val="0C2340"/>
                <w:sz w:val="20"/>
                <w:szCs w:val="20"/>
              </w:rPr>
              <w:t xml:space="preserve">Legal &amp; governance infrastructure</w:t>
            </w:r>
          </w:p>
        </w:tc>
        <w:tc>
          <w:tcPr>
            <w:tcW w:type="dxa" w:w="1933"/>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R150K</w:t>
            </w:r>
          </w:p>
        </w:tc>
        <w:tc>
          <w:tcPr>
            <w:tcW w:type="dxa" w:w="1933"/>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R200K</w:t>
            </w:r>
          </w:p>
        </w:tc>
        <w:tc>
          <w:tcPr>
            <w:tcW w:type="dxa" w:w="1934"/>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R300K</w:t>
            </w:r>
          </w:p>
        </w:tc>
      </w:tr>
      <w:tr>
        <w:tc>
          <w:tcPr>
            <w:tcW w:type="dxa" w:w="3200"/>
            <w:tcBorders>
              <w:top w:val="single" w:color="CCCCBB" w:sz="1" w:space="0"/>
              <w:left w:val="single" w:color="CCCCBB" w:sz="1" w:space="0"/>
              <w:bottom w:val="single" w:color="CCCCBB" w:sz="1" w:space="0"/>
              <w:right w:val="single" w:color="CCCCBB" w:sz="1" w:space="0"/>
            </w:tcBorders>
            <w:shd w:fill="F0EDE6" w:val="clear"/>
            <w:tcMar>
              <w:top w:type="dxa" w:w="80"/>
              <w:left w:type="dxa" w:w="120"/>
              <w:bottom w:type="dxa" w:w="80"/>
              <w:right w:type="dxa" w:w="120"/>
            </w:tcMar>
          </w:tcPr>
          <w:p>
            <w:pPr>
              <w:jc w:val="left"/>
            </w:pPr>
            <w:r>
              <w:rPr>
                <w:rFonts w:ascii="Calibri" w:cs="Calibri" w:eastAsia="Calibri" w:hAnsi="Calibri"/>
                <w:b/>
                <w:bCs/>
                <w:color w:val="0C2340"/>
                <w:sz w:val="20"/>
                <w:szCs w:val="20"/>
              </w:rPr>
              <w:t xml:space="preserve">S.E.T.H.S SDU fit-out &amp; operations</w:t>
            </w:r>
          </w:p>
        </w:tc>
        <w:tc>
          <w:tcPr>
            <w:tcW w:type="dxa" w:w="1933"/>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R3M</w:t>
            </w:r>
          </w:p>
        </w:tc>
        <w:tc>
          <w:tcPr>
            <w:tcW w:type="dxa" w:w="1933"/>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R6M</w:t>
            </w:r>
          </w:p>
        </w:tc>
        <w:tc>
          <w:tcPr>
            <w:tcW w:type="dxa" w:w="1934"/>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R10M</w:t>
            </w:r>
          </w:p>
        </w:tc>
      </w:tr>
      <w:tr>
        <w:tc>
          <w:tcPr>
            <w:tcW w:type="dxa" w:w="3200"/>
            <w:tcBorders>
              <w:top w:val="single" w:color="CCCCBB" w:sz="1" w:space="0"/>
              <w:left w:val="single" w:color="CCCCBB" w:sz="1" w:space="0"/>
              <w:bottom w:val="single" w:color="CCCCBB" w:sz="1" w:space="0"/>
              <w:right w:val="single" w:color="CCCCBB" w:sz="1" w:space="0"/>
            </w:tcBorders>
            <w:shd w:fill="F0EDE6" w:val="clear"/>
            <w:tcMar>
              <w:top w:type="dxa" w:w="80"/>
              <w:left w:type="dxa" w:w="120"/>
              <w:bottom w:type="dxa" w:w="80"/>
              <w:right w:type="dxa" w:w="120"/>
            </w:tcMar>
          </w:tcPr>
          <w:p>
            <w:pPr>
              <w:jc w:val="left"/>
            </w:pPr>
            <w:r>
              <w:rPr>
                <w:rFonts w:ascii="Calibri" w:cs="Calibri" w:eastAsia="Calibri" w:hAnsi="Calibri"/>
                <w:b/>
                <w:bCs/>
                <w:color w:val="0C2340"/>
                <w:sz w:val="20"/>
                <w:szCs w:val="20"/>
              </w:rPr>
              <w:t xml:space="preserve">UDOC platform development</w:t>
            </w:r>
          </w:p>
        </w:tc>
        <w:tc>
          <w:tcPr>
            <w:tcW w:type="dxa" w:w="1933"/>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R5M</w:t>
            </w:r>
          </w:p>
        </w:tc>
        <w:tc>
          <w:tcPr>
            <w:tcW w:type="dxa" w:w="1933"/>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R8M</w:t>
            </w:r>
          </w:p>
        </w:tc>
        <w:tc>
          <w:tcPr>
            <w:tcW w:type="dxa" w:w="1934"/>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R15M</w:t>
            </w:r>
          </w:p>
        </w:tc>
      </w:tr>
      <w:tr>
        <w:tc>
          <w:tcPr>
            <w:tcW w:type="dxa" w:w="3200"/>
            <w:tcBorders>
              <w:top w:val="single" w:color="CCCCBB" w:sz="1" w:space="0"/>
              <w:left w:val="single" w:color="CCCCBB" w:sz="1" w:space="0"/>
              <w:bottom w:val="single" w:color="CCCCBB" w:sz="1" w:space="0"/>
              <w:right w:val="single" w:color="CCCCBB" w:sz="1" w:space="0"/>
            </w:tcBorders>
            <w:shd w:fill="F0EDE6" w:val="clear"/>
            <w:tcMar>
              <w:top w:type="dxa" w:w="80"/>
              <w:left w:type="dxa" w:w="120"/>
              <w:bottom w:type="dxa" w:w="80"/>
              <w:right w:type="dxa" w:w="120"/>
            </w:tcMar>
          </w:tcPr>
          <w:p>
            <w:pPr>
              <w:jc w:val="left"/>
            </w:pPr>
            <w:r>
              <w:rPr>
                <w:rFonts w:ascii="Calibri" w:cs="Calibri" w:eastAsia="Calibri" w:hAnsi="Calibri"/>
                <w:b/>
                <w:bCs/>
                <w:color w:val="0C2340"/>
                <w:sz w:val="20"/>
                <w:szCs w:val="20"/>
              </w:rPr>
              <w:t xml:space="preserve">Team salaries &amp; operations (Yr 1–3)</w:t>
            </w:r>
          </w:p>
        </w:tc>
        <w:tc>
          <w:tcPr>
            <w:tcW w:type="dxa" w:w="1933"/>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R8M</w:t>
            </w:r>
          </w:p>
        </w:tc>
        <w:tc>
          <w:tcPr>
            <w:tcW w:type="dxa" w:w="1933"/>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R15M</w:t>
            </w:r>
          </w:p>
        </w:tc>
        <w:tc>
          <w:tcPr>
            <w:tcW w:type="dxa" w:w="1934"/>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R25M</w:t>
            </w:r>
          </w:p>
        </w:tc>
      </w:tr>
      <w:tr>
        <w:tc>
          <w:tcPr>
            <w:tcW w:type="dxa" w:w="3200"/>
            <w:tcBorders>
              <w:top w:val="single" w:color="CCCCBB" w:sz="1" w:space="0"/>
              <w:left w:val="single" w:color="CCCCBB" w:sz="1" w:space="0"/>
              <w:bottom w:val="single" w:color="CCCCBB" w:sz="1" w:space="0"/>
              <w:right w:val="single" w:color="CCCCBB" w:sz="1" w:space="0"/>
            </w:tcBorders>
            <w:shd w:fill="F0EDE6" w:val="clear"/>
            <w:tcMar>
              <w:top w:type="dxa" w:w="80"/>
              <w:left w:type="dxa" w:w="120"/>
              <w:bottom w:type="dxa" w:w="80"/>
              <w:right w:type="dxa" w:w="120"/>
            </w:tcMar>
          </w:tcPr>
          <w:p>
            <w:pPr>
              <w:jc w:val="left"/>
            </w:pPr>
            <w:r>
              <w:rPr>
                <w:rFonts w:ascii="Calibri" w:cs="Calibri" w:eastAsia="Calibri" w:hAnsi="Calibri"/>
                <w:b/>
                <w:bCs/>
                <w:color w:val="0C2340"/>
                <w:sz w:val="20"/>
                <w:szCs w:val="20"/>
              </w:rPr>
              <w:t xml:space="preserve">Media Division content production</w:t>
            </w:r>
          </w:p>
        </w:tc>
        <w:tc>
          <w:tcPr>
            <w:tcW w:type="dxa" w:w="1933"/>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R1M</w:t>
            </w:r>
          </w:p>
        </w:tc>
        <w:tc>
          <w:tcPr>
            <w:tcW w:type="dxa" w:w="1933"/>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R2.5M</w:t>
            </w:r>
          </w:p>
        </w:tc>
        <w:tc>
          <w:tcPr>
            <w:tcW w:type="dxa" w:w="1934"/>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R5M</w:t>
            </w:r>
          </w:p>
        </w:tc>
      </w:tr>
      <w:tr>
        <w:tc>
          <w:tcPr>
            <w:tcW w:type="dxa" w:w="3200"/>
            <w:tcBorders>
              <w:top w:val="single" w:color="CCCCBB" w:sz="1" w:space="0"/>
              <w:left w:val="single" w:color="CCCCBB" w:sz="1" w:space="0"/>
              <w:bottom w:val="single" w:color="CCCCBB" w:sz="1" w:space="0"/>
              <w:right w:val="single" w:color="CCCCBB" w:sz="1" w:space="0"/>
            </w:tcBorders>
            <w:shd w:fill="F0EDE6" w:val="clear"/>
            <w:tcMar>
              <w:top w:type="dxa" w:w="80"/>
              <w:left w:type="dxa" w:w="120"/>
              <w:bottom w:type="dxa" w:w="80"/>
              <w:right w:type="dxa" w:w="120"/>
            </w:tcMar>
          </w:tcPr>
          <w:p>
            <w:pPr>
              <w:jc w:val="left"/>
            </w:pPr>
            <w:r>
              <w:rPr>
                <w:rFonts w:ascii="Calibri" w:cs="Calibri" w:eastAsia="Calibri" w:hAnsi="Calibri"/>
                <w:b/>
                <w:bCs/>
                <w:color w:val="0C2340"/>
                <w:sz w:val="20"/>
                <w:szCs w:val="20"/>
              </w:rPr>
              <w:t xml:space="preserve">Working capital reserve (18-month)</w:t>
            </w:r>
          </w:p>
        </w:tc>
        <w:tc>
          <w:tcPr>
            <w:tcW w:type="dxa" w:w="1933"/>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R7.5M</w:t>
            </w:r>
          </w:p>
        </w:tc>
        <w:tc>
          <w:tcPr>
            <w:tcW w:type="dxa" w:w="1933"/>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R12M</w:t>
            </w:r>
          </w:p>
        </w:tc>
        <w:tc>
          <w:tcPr>
            <w:tcW w:type="dxa" w:w="1934"/>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R18M</w:t>
            </w:r>
          </w:p>
        </w:tc>
      </w:tr>
      <w:tr>
        <w:tc>
          <w:tcPr>
            <w:tcW w:type="dxa" w:w="3200"/>
            <w:tcBorders>
              <w:top w:val="single" w:color="CCCCBB" w:sz="1" w:space="0"/>
              <w:left w:val="single" w:color="CCCCBB" w:sz="1" w:space="0"/>
              <w:bottom w:val="single" w:color="CCCCBB" w:sz="1" w:space="0"/>
              <w:right w:val="single" w:color="CCCCBB" w:sz="1" w:space="0"/>
            </w:tcBorders>
            <w:shd w:fill="F0EDE6" w:val="clear"/>
            <w:tcMar>
              <w:top w:type="dxa" w:w="80"/>
              <w:left w:type="dxa" w:w="120"/>
              <w:bottom w:type="dxa" w:w="80"/>
              <w:right w:type="dxa" w:w="120"/>
            </w:tcMar>
          </w:tcPr>
          <w:p>
            <w:pPr>
              <w:jc w:val="left"/>
            </w:pPr>
            <w:r>
              <w:rPr>
                <w:rFonts w:ascii="Calibri" w:cs="Calibri" w:eastAsia="Calibri" w:hAnsi="Calibri"/>
                <w:b/>
                <w:bCs/>
                <w:color w:val="0C2340"/>
                <w:sz w:val="20"/>
                <w:szCs w:val="20"/>
              </w:rPr>
              <w:t xml:space="preserve">TOTAL</w:t>
            </w:r>
          </w:p>
        </w:tc>
        <w:tc>
          <w:tcPr>
            <w:tcW w:type="dxa" w:w="1933"/>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R24.65M</w:t>
            </w:r>
          </w:p>
        </w:tc>
        <w:tc>
          <w:tcPr>
            <w:tcW w:type="dxa" w:w="1933"/>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R43.7M</w:t>
            </w:r>
          </w:p>
        </w:tc>
        <w:tc>
          <w:tcPr>
            <w:tcW w:type="dxa" w:w="1934"/>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R73.3M</w:t>
            </w:r>
          </w:p>
        </w:tc>
      </w:tr>
    </w:tbl>
    <w:p>
      <w:pPr>
        <w:spacing w:before="160" w:after="0"/>
      </w:pPr>
    </w:p>
    <w:p>
      <w:pPr>
        <w:spacing w:before="280" w:after="80"/>
      </w:pPr>
      <w:r>
        <w:rPr>
          <w:rFonts w:ascii="Georgia" w:cs="Georgia" w:eastAsia="Georgia" w:hAnsi="Georgia"/>
          <w:b/>
          <w:bCs/>
          <w:color w:val="0C2340"/>
          <w:sz w:val="24"/>
          <w:szCs w:val="24"/>
        </w:rPr>
        <w:t xml:space="preserve">A.2 Revenue Ramp by Scenario</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1400"/>
        <w:gridCol w:w="1400"/>
        <w:gridCol w:w="1400"/>
        <w:gridCol w:w="1400"/>
        <w:gridCol w:w="3400"/>
      </w:tblGrid>
      <w:tr>
        <w:trPr>
          <w:tblHeader/>
        </w:trPr>
        <w:tc>
          <w:tcPr>
            <w:tcW w:type="dxa" w:w="1400"/>
            <w:tcBorders>
              <w:top w:val="single" w:color="CCCCBB" w:sz="1" w:space="0"/>
              <w:left w:val="single" w:color="CCCCBB" w:sz="1" w:space="0"/>
              <w:bottom w:val="single" w:color="CCCCBB" w:sz="1" w:space="0"/>
              <w:right w:val="single" w:color="CCCCBB" w:sz="1" w:space="0"/>
            </w:tcBorders>
            <w:shd w:fill="0C2340" w:val="clear"/>
            <w:tcMar>
              <w:top w:type="dxa" w:w="80"/>
              <w:left w:type="dxa" w:w="120"/>
              <w:bottom w:type="dxa" w:w="80"/>
              <w:right w:type="dxa" w:w="120"/>
            </w:tcMar>
          </w:tcPr>
          <w:p>
            <w:pPr>
              <w:jc w:val="left"/>
            </w:pPr>
            <w:r>
              <w:rPr>
                <w:rFonts w:ascii="Calibri" w:cs="Calibri" w:eastAsia="Calibri" w:hAnsi="Calibri"/>
                <w:b/>
                <w:bCs/>
                <w:color w:val="FFFFFF"/>
                <w:sz w:val="20"/>
                <w:szCs w:val="20"/>
              </w:rPr>
              <w:t xml:space="preserve">Year</w:t>
            </w:r>
          </w:p>
        </w:tc>
        <w:tc>
          <w:tcPr>
            <w:tcW w:type="dxa" w:w="1400"/>
            <w:tcBorders>
              <w:top w:val="single" w:color="CCCCBB" w:sz="1" w:space="0"/>
              <w:left w:val="single" w:color="CCCCBB" w:sz="1" w:space="0"/>
              <w:bottom w:val="single" w:color="CCCCBB" w:sz="1" w:space="0"/>
              <w:right w:val="single" w:color="CCCCBB" w:sz="1" w:space="0"/>
            </w:tcBorders>
            <w:shd w:fill="0C2340" w:val="clear"/>
            <w:tcMar>
              <w:top w:type="dxa" w:w="80"/>
              <w:left w:type="dxa" w:w="120"/>
              <w:bottom w:type="dxa" w:w="80"/>
              <w:right w:type="dxa" w:w="120"/>
            </w:tcMar>
          </w:tcPr>
          <w:p>
            <w:pPr>
              <w:jc w:val="left"/>
            </w:pPr>
            <w:r>
              <w:rPr>
                <w:rFonts w:ascii="Calibri" w:cs="Calibri" w:eastAsia="Calibri" w:hAnsi="Calibri"/>
                <w:b/>
                <w:bCs/>
                <w:color w:val="FFFFFF"/>
                <w:sz w:val="20"/>
                <w:szCs w:val="20"/>
              </w:rPr>
              <w:t xml:space="preserve">Conservative</w:t>
            </w:r>
          </w:p>
        </w:tc>
        <w:tc>
          <w:tcPr>
            <w:tcW w:type="dxa" w:w="1400"/>
            <w:tcBorders>
              <w:top w:val="single" w:color="CCCCBB" w:sz="1" w:space="0"/>
              <w:left w:val="single" w:color="CCCCBB" w:sz="1" w:space="0"/>
              <w:bottom w:val="single" w:color="CCCCBB" w:sz="1" w:space="0"/>
              <w:right w:val="single" w:color="CCCCBB" w:sz="1" w:space="0"/>
            </w:tcBorders>
            <w:shd w:fill="0C2340" w:val="clear"/>
            <w:tcMar>
              <w:top w:type="dxa" w:w="80"/>
              <w:left w:type="dxa" w:w="120"/>
              <w:bottom w:type="dxa" w:w="80"/>
              <w:right w:type="dxa" w:w="120"/>
            </w:tcMar>
          </w:tcPr>
          <w:p>
            <w:pPr>
              <w:jc w:val="left"/>
            </w:pPr>
            <w:r>
              <w:rPr>
                <w:rFonts w:ascii="Calibri" w:cs="Calibri" w:eastAsia="Calibri" w:hAnsi="Calibri"/>
                <w:b/>
                <w:bCs/>
                <w:color w:val="FFFFFF"/>
                <w:sz w:val="20"/>
                <w:szCs w:val="20"/>
              </w:rPr>
              <w:t xml:space="preserve">Base</w:t>
            </w:r>
          </w:p>
        </w:tc>
        <w:tc>
          <w:tcPr>
            <w:tcW w:type="dxa" w:w="1400"/>
            <w:tcBorders>
              <w:top w:val="single" w:color="CCCCBB" w:sz="1" w:space="0"/>
              <w:left w:val="single" w:color="CCCCBB" w:sz="1" w:space="0"/>
              <w:bottom w:val="single" w:color="CCCCBB" w:sz="1" w:space="0"/>
              <w:right w:val="single" w:color="CCCCBB" w:sz="1" w:space="0"/>
            </w:tcBorders>
            <w:shd w:fill="0C2340" w:val="clear"/>
            <w:tcMar>
              <w:top w:type="dxa" w:w="80"/>
              <w:left w:type="dxa" w:w="120"/>
              <w:bottom w:type="dxa" w:w="80"/>
              <w:right w:type="dxa" w:w="120"/>
            </w:tcMar>
          </w:tcPr>
          <w:p>
            <w:pPr>
              <w:jc w:val="left"/>
            </w:pPr>
            <w:r>
              <w:rPr>
                <w:rFonts w:ascii="Calibri" w:cs="Calibri" w:eastAsia="Calibri" w:hAnsi="Calibri"/>
                <w:b/>
                <w:bCs/>
                <w:color w:val="FFFFFF"/>
                <w:sz w:val="20"/>
                <w:szCs w:val="20"/>
              </w:rPr>
              <w:t xml:space="preserve">Accelerated</w:t>
            </w:r>
          </w:p>
        </w:tc>
        <w:tc>
          <w:tcPr>
            <w:tcW w:type="dxa" w:w="3400"/>
            <w:tcBorders>
              <w:top w:val="single" w:color="CCCCBB" w:sz="1" w:space="0"/>
              <w:left w:val="single" w:color="CCCCBB" w:sz="1" w:space="0"/>
              <w:bottom w:val="single" w:color="CCCCBB" w:sz="1" w:space="0"/>
              <w:right w:val="single" w:color="CCCCBB" w:sz="1" w:space="0"/>
            </w:tcBorders>
            <w:shd w:fill="0C2340" w:val="clear"/>
            <w:tcMar>
              <w:top w:type="dxa" w:w="80"/>
              <w:left w:type="dxa" w:w="120"/>
              <w:bottom w:type="dxa" w:w="80"/>
              <w:right w:type="dxa" w:w="120"/>
            </w:tcMar>
          </w:tcPr>
          <w:p>
            <w:pPr>
              <w:jc w:val="left"/>
            </w:pPr>
            <w:r>
              <w:rPr>
                <w:rFonts w:ascii="Calibri" w:cs="Calibri" w:eastAsia="Calibri" w:hAnsi="Calibri"/>
                <w:b/>
                <w:bCs/>
                <w:color w:val="FFFFFF"/>
                <w:sz w:val="20"/>
                <w:szCs w:val="20"/>
              </w:rPr>
              <w:t xml:space="preserve">Primary Driver</w:t>
            </w:r>
          </w:p>
        </w:tc>
      </w:tr>
      <w:tr>
        <w:tc>
          <w:tcPr>
            <w:tcW w:type="dxa" w:w="1400"/>
            <w:tcBorders>
              <w:top w:val="single" w:color="CCCCBB" w:sz="1" w:space="0"/>
              <w:left w:val="single" w:color="CCCCBB" w:sz="1" w:space="0"/>
              <w:bottom w:val="single" w:color="CCCCBB" w:sz="1" w:space="0"/>
              <w:right w:val="single" w:color="CCCCBB" w:sz="1" w:space="0"/>
            </w:tcBorders>
            <w:shd w:fill="F0EDE6" w:val="clear"/>
            <w:tcMar>
              <w:top w:type="dxa" w:w="80"/>
              <w:left w:type="dxa" w:w="120"/>
              <w:bottom w:type="dxa" w:w="80"/>
              <w:right w:type="dxa" w:w="120"/>
            </w:tcMar>
          </w:tcPr>
          <w:p>
            <w:pPr>
              <w:jc w:val="left"/>
            </w:pPr>
            <w:r>
              <w:rPr>
                <w:rFonts w:ascii="Calibri" w:cs="Calibri" w:eastAsia="Calibri" w:hAnsi="Calibri"/>
                <w:b/>
                <w:bCs/>
                <w:color w:val="0C2340"/>
                <w:sz w:val="20"/>
                <w:szCs w:val="20"/>
              </w:rPr>
              <w:t xml:space="preserve">Year 1</w:t>
            </w:r>
          </w:p>
        </w:tc>
        <w:tc>
          <w:tcPr>
            <w:tcW w:type="dxa" w:w="140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R3.5M</w:t>
            </w:r>
          </w:p>
        </w:tc>
        <w:tc>
          <w:tcPr>
            <w:tcW w:type="dxa" w:w="140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R6M</w:t>
            </w:r>
          </w:p>
        </w:tc>
        <w:tc>
          <w:tcPr>
            <w:tcW w:type="dxa" w:w="140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R12M</w:t>
            </w:r>
          </w:p>
        </w:tc>
        <w:tc>
          <w:tcPr>
            <w:tcW w:type="dxa" w:w="340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S.E.T.H.S pilot + UDOC beta</w:t>
            </w:r>
          </w:p>
        </w:tc>
      </w:tr>
      <w:tr>
        <w:tc>
          <w:tcPr>
            <w:tcW w:type="dxa" w:w="1400"/>
            <w:tcBorders>
              <w:top w:val="single" w:color="CCCCBB" w:sz="1" w:space="0"/>
              <w:left w:val="single" w:color="CCCCBB" w:sz="1" w:space="0"/>
              <w:bottom w:val="single" w:color="CCCCBB" w:sz="1" w:space="0"/>
              <w:right w:val="single" w:color="CCCCBB" w:sz="1" w:space="0"/>
            </w:tcBorders>
            <w:shd w:fill="F0EDE6" w:val="clear"/>
            <w:tcMar>
              <w:top w:type="dxa" w:w="80"/>
              <w:left w:type="dxa" w:w="120"/>
              <w:bottom w:type="dxa" w:w="80"/>
              <w:right w:type="dxa" w:w="120"/>
            </w:tcMar>
          </w:tcPr>
          <w:p>
            <w:pPr>
              <w:jc w:val="left"/>
            </w:pPr>
            <w:r>
              <w:rPr>
                <w:rFonts w:ascii="Calibri" w:cs="Calibri" w:eastAsia="Calibri" w:hAnsi="Calibri"/>
                <w:b/>
                <w:bCs/>
                <w:color w:val="0C2340"/>
                <w:sz w:val="20"/>
                <w:szCs w:val="20"/>
              </w:rPr>
              <w:t xml:space="preserve">Year 2</w:t>
            </w:r>
          </w:p>
        </w:tc>
        <w:tc>
          <w:tcPr>
            <w:tcW w:type="dxa" w:w="140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R15M</w:t>
            </w:r>
          </w:p>
        </w:tc>
        <w:tc>
          <w:tcPr>
            <w:tcW w:type="dxa" w:w="140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R25M</w:t>
            </w:r>
          </w:p>
        </w:tc>
        <w:tc>
          <w:tcPr>
            <w:tcW w:type="dxa" w:w="140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R45M</w:t>
            </w:r>
          </w:p>
        </w:tc>
        <w:tc>
          <w:tcPr>
            <w:tcW w:type="dxa" w:w="340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Govt pilot + UDOC enterprise</w:t>
            </w:r>
          </w:p>
        </w:tc>
      </w:tr>
      <w:tr>
        <w:tc>
          <w:tcPr>
            <w:tcW w:type="dxa" w:w="1400"/>
            <w:tcBorders>
              <w:top w:val="single" w:color="CCCCBB" w:sz="1" w:space="0"/>
              <w:left w:val="single" w:color="CCCCBB" w:sz="1" w:space="0"/>
              <w:bottom w:val="single" w:color="CCCCBB" w:sz="1" w:space="0"/>
              <w:right w:val="single" w:color="CCCCBB" w:sz="1" w:space="0"/>
            </w:tcBorders>
            <w:shd w:fill="F0EDE6" w:val="clear"/>
            <w:tcMar>
              <w:top w:type="dxa" w:w="80"/>
              <w:left w:type="dxa" w:w="120"/>
              <w:bottom w:type="dxa" w:w="80"/>
              <w:right w:type="dxa" w:w="120"/>
            </w:tcMar>
          </w:tcPr>
          <w:p>
            <w:pPr>
              <w:jc w:val="left"/>
            </w:pPr>
            <w:r>
              <w:rPr>
                <w:rFonts w:ascii="Calibri" w:cs="Calibri" w:eastAsia="Calibri" w:hAnsi="Calibri"/>
                <w:b/>
                <w:bCs/>
                <w:color w:val="0C2340"/>
                <w:sz w:val="20"/>
                <w:szCs w:val="20"/>
              </w:rPr>
              <w:t xml:space="preserve">Year 3</w:t>
            </w:r>
          </w:p>
        </w:tc>
        <w:tc>
          <w:tcPr>
            <w:tcW w:type="dxa" w:w="140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R98M</w:t>
            </w:r>
          </w:p>
        </w:tc>
        <w:tc>
          <w:tcPr>
            <w:tcW w:type="dxa" w:w="140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R150M</w:t>
            </w:r>
          </w:p>
        </w:tc>
        <w:tc>
          <w:tcPr>
            <w:tcW w:type="dxa" w:w="140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R280M</w:t>
            </w:r>
          </w:p>
        </w:tc>
        <w:tc>
          <w:tcPr>
            <w:tcW w:type="dxa" w:w="340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Govt backbone + UDOC scale</w:t>
            </w:r>
          </w:p>
        </w:tc>
      </w:tr>
      <w:tr>
        <w:tc>
          <w:tcPr>
            <w:tcW w:type="dxa" w:w="1400"/>
            <w:tcBorders>
              <w:top w:val="single" w:color="CCCCBB" w:sz="1" w:space="0"/>
              <w:left w:val="single" w:color="CCCCBB" w:sz="1" w:space="0"/>
              <w:bottom w:val="single" w:color="CCCCBB" w:sz="1" w:space="0"/>
              <w:right w:val="single" w:color="CCCCBB" w:sz="1" w:space="0"/>
            </w:tcBorders>
            <w:shd w:fill="F0EDE6" w:val="clear"/>
            <w:tcMar>
              <w:top w:type="dxa" w:w="80"/>
              <w:left w:type="dxa" w:w="120"/>
              <w:bottom w:type="dxa" w:w="80"/>
              <w:right w:type="dxa" w:w="120"/>
            </w:tcMar>
          </w:tcPr>
          <w:p>
            <w:pPr>
              <w:jc w:val="left"/>
            </w:pPr>
            <w:r>
              <w:rPr>
                <w:rFonts w:ascii="Calibri" w:cs="Calibri" w:eastAsia="Calibri" w:hAnsi="Calibri"/>
                <w:b/>
                <w:bCs/>
                <w:color w:val="0C2340"/>
                <w:sz w:val="20"/>
                <w:szCs w:val="20"/>
              </w:rPr>
              <w:t xml:space="preserve">Year 5</w:t>
            </w:r>
          </w:p>
        </w:tc>
        <w:tc>
          <w:tcPr>
            <w:tcW w:type="dxa" w:w="140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R400M</w:t>
            </w:r>
          </w:p>
        </w:tc>
        <w:tc>
          <w:tcPr>
            <w:tcW w:type="dxa" w:w="140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R650M</w:t>
            </w:r>
          </w:p>
        </w:tc>
        <w:tc>
          <w:tcPr>
            <w:tcW w:type="dxa" w:w="140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R1.1B</w:t>
            </w:r>
          </w:p>
        </w:tc>
        <w:tc>
          <w:tcPr>
            <w:tcW w:type="dxa" w:w="340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All 8 divisions operational</w:t>
            </w:r>
          </w:p>
        </w:tc>
      </w:tr>
      <w:tr>
        <w:tc>
          <w:tcPr>
            <w:tcW w:type="dxa" w:w="1400"/>
            <w:tcBorders>
              <w:top w:val="single" w:color="CCCCBB" w:sz="1" w:space="0"/>
              <w:left w:val="single" w:color="CCCCBB" w:sz="1" w:space="0"/>
              <w:bottom w:val="single" w:color="CCCCBB" w:sz="1" w:space="0"/>
              <w:right w:val="single" w:color="CCCCBB" w:sz="1" w:space="0"/>
            </w:tcBorders>
            <w:shd w:fill="F0EDE6" w:val="clear"/>
            <w:tcMar>
              <w:top w:type="dxa" w:w="80"/>
              <w:left w:type="dxa" w:w="120"/>
              <w:bottom w:type="dxa" w:w="80"/>
              <w:right w:type="dxa" w:w="120"/>
            </w:tcMar>
          </w:tcPr>
          <w:p>
            <w:pPr>
              <w:jc w:val="left"/>
            </w:pPr>
            <w:r>
              <w:rPr>
                <w:rFonts w:ascii="Calibri" w:cs="Calibri" w:eastAsia="Calibri" w:hAnsi="Calibri"/>
                <w:b/>
                <w:bCs/>
                <w:color w:val="0C2340"/>
                <w:sz w:val="20"/>
                <w:szCs w:val="20"/>
              </w:rPr>
              <w:t xml:space="preserve">Year 10</w:t>
            </w:r>
          </w:p>
        </w:tc>
        <w:tc>
          <w:tcPr>
            <w:tcW w:type="dxa" w:w="140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R1.14B</w:t>
            </w:r>
          </w:p>
        </w:tc>
        <w:tc>
          <w:tcPr>
            <w:tcW w:type="dxa" w:w="140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R2B</w:t>
            </w:r>
          </w:p>
        </w:tc>
        <w:tc>
          <w:tcPr>
            <w:tcW w:type="dxa" w:w="140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R4B</w:t>
            </w:r>
          </w:p>
        </w:tc>
        <w:tc>
          <w:tcPr>
            <w:tcW w:type="dxa" w:w="340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Africa expansion + licensing</w:t>
            </w:r>
          </w:p>
        </w:tc>
      </w:tr>
      <w:tr>
        <w:tc>
          <w:tcPr>
            <w:tcW w:type="dxa" w:w="1400"/>
            <w:tcBorders>
              <w:top w:val="single" w:color="CCCCBB" w:sz="1" w:space="0"/>
              <w:left w:val="single" w:color="CCCCBB" w:sz="1" w:space="0"/>
              <w:bottom w:val="single" w:color="CCCCBB" w:sz="1" w:space="0"/>
              <w:right w:val="single" w:color="CCCCBB" w:sz="1" w:space="0"/>
            </w:tcBorders>
            <w:shd w:fill="F0EDE6" w:val="clear"/>
            <w:tcMar>
              <w:top w:type="dxa" w:w="80"/>
              <w:left w:type="dxa" w:w="120"/>
              <w:bottom w:type="dxa" w:w="80"/>
              <w:right w:type="dxa" w:w="120"/>
            </w:tcMar>
          </w:tcPr>
          <w:p>
            <w:pPr>
              <w:jc w:val="left"/>
            </w:pPr>
            <w:r>
              <w:rPr>
                <w:rFonts w:ascii="Calibri" w:cs="Calibri" w:eastAsia="Calibri" w:hAnsi="Calibri"/>
                <w:b/>
                <w:bCs/>
                <w:color w:val="0C2340"/>
                <w:sz w:val="20"/>
                <w:szCs w:val="20"/>
              </w:rPr>
              <w:t xml:space="preserve">Year 25</w:t>
            </w:r>
          </w:p>
        </w:tc>
        <w:tc>
          <w:tcPr>
            <w:tcW w:type="dxa" w:w="140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R5B+</w:t>
            </w:r>
          </w:p>
        </w:tc>
        <w:tc>
          <w:tcPr>
            <w:tcW w:type="dxa" w:w="140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R12B+</w:t>
            </w:r>
          </w:p>
        </w:tc>
        <w:tc>
          <w:tcPr>
            <w:tcW w:type="dxa" w:w="140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R25B+</w:t>
            </w:r>
          </w:p>
        </w:tc>
        <w:tc>
          <w:tcPr>
            <w:tcW w:type="dxa" w:w="340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Multi-national standards body</w:t>
            </w:r>
          </w:p>
        </w:tc>
      </w:tr>
    </w:tbl>
    <w:p>
      <w:pPr>
        <w:spacing w:before="160" w:after="0"/>
      </w:pPr>
    </w:p>
    <w:p>
      <w:pPr>
        <w:spacing w:before="280" w:after="80"/>
      </w:pPr>
      <w:r>
        <w:rPr>
          <w:rFonts w:ascii="Georgia" w:cs="Georgia" w:eastAsia="Georgia" w:hAnsi="Georgia"/>
          <w:b/>
          <w:bCs/>
          <w:color w:val="0C2340"/>
          <w:sz w:val="24"/>
          <w:szCs w:val="24"/>
        </w:rPr>
        <w:t xml:space="preserve">A.3 Break-Even Analysis</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2600"/>
        <w:gridCol w:w="6400"/>
      </w:tblGrid>
      <w:tr>
        <w:tc>
          <w:tcPr>
            <w:tcW w:type="dxa" w:w="2600"/>
            <w:tcBorders>
              <w:top w:val="single" w:color="CCCCBB" w:sz="1" w:space="0"/>
              <w:left w:val="single" w:color="CCCCBB" w:sz="1" w:space="0"/>
              <w:bottom w:val="single" w:color="CCCCBB" w:sz="1" w:space="0"/>
              <w:right w:val="single" w:color="CCCCBB" w:sz="1" w:space="0"/>
            </w:tcBorders>
            <w:shd w:fill="EDE8D8" w:val="clear"/>
            <w:tcMar>
              <w:top w:type="dxa" w:w="80"/>
              <w:left w:type="dxa" w:w="160"/>
              <w:bottom w:type="dxa" w:w="80"/>
              <w:right w:type="dxa" w:w="160"/>
            </w:tcMar>
          </w:tcPr>
          <w:p>
            <w:r>
              <w:rPr>
                <w:rFonts w:ascii="Calibri" w:cs="Calibri" w:eastAsia="Calibri" w:hAnsi="Calibri"/>
                <w:b/>
                <w:bCs/>
                <w:color w:val="0C2340"/>
                <w:sz w:val="22"/>
                <w:szCs w:val="22"/>
              </w:rPr>
              <w:t xml:space="preserve">Cash positive (operational)</w:t>
            </w:r>
          </w:p>
        </w:tc>
        <w:tc>
          <w:tcPr>
            <w:tcW w:type="dxa" w:w="6400"/>
            <w:tcBorders>
              <w:top w:val="single" w:color="CCCCBB" w:sz="1" w:space="0"/>
              <w:left w:val="single" w:color="CCCCBB" w:sz="1" w:space="0"/>
              <w:bottom w:val="single" w:color="CCCCBB" w:sz="1" w:space="0"/>
              <w:right w:val="single" w:color="CCCCBB" w:sz="1" w:space="0"/>
            </w:tcBorders>
            <w:shd w:fill="FFFFFF" w:val="clear"/>
            <w:tcMar>
              <w:top w:type="dxa" w:w="80"/>
              <w:left w:type="dxa" w:w="160"/>
              <w:bottom w:type="dxa" w:w="80"/>
              <w:right w:type="dxa" w:w="160"/>
            </w:tcMar>
          </w:tcPr>
          <w:p>
            <w:r>
              <w:rPr>
                <w:rFonts w:ascii="Calibri" w:cs="Calibri" w:eastAsia="Calibri" w:hAnsi="Calibri"/>
                <w:color w:val="1E1E2E"/>
                <w:sz w:val="22"/>
                <w:szCs w:val="22"/>
              </w:rPr>
              <w:t xml:space="preserve">Year 2–3 conservative / Year 1–2 accelerated — driven by UDOC enterprise contracts</w:t>
            </w:r>
          </w:p>
        </w:tc>
      </w:tr>
      <w:tr>
        <w:tc>
          <w:tcPr>
            <w:tcW w:type="dxa" w:w="2600"/>
            <w:tcBorders>
              <w:top w:val="single" w:color="CCCCBB" w:sz="1" w:space="0"/>
              <w:left w:val="single" w:color="CCCCBB" w:sz="1" w:space="0"/>
              <w:bottom w:val="single" w:color="CCCCBB" w:sz="1" w:space="0"/>
              <w:right w:val="single" w:color="CCCCBB" w:sz="1" w:space="0"/>
            </w:tcBorders>
            <w:shd w:fill="F5F2EA" w:val="clear"/>
            <w:tcMar>
              <w:top w:type="dxa" w:w="80"/>
              <w:left w:type="dxa" w:w="160"/>
              <w:bottom w:type="dxa" w:w="80"/>
              <w:right w:type="dxa" w:w="160"/>
            </w:tcMar>
          </w:tcPr>
          <w:p>
            <w:r>
              <w:rPr>
                <w:rFonts w:ascii="Calibri" w:cs="Calibri" w:eastAsia="Calibri" w:hAnsi="Calibri"/>
                <w:b/>
                <w:bCs/>
                <w:color w:val="0C2340"/>
                <w:sz w:val="22"/>
                <w:szCs w:val="22"/>
              </w:rPr>
              <w:t xml:space="preserve">Full capital recovery</w:t>
            </w:r>
          </w:p>
        </w:tc>
        <w:tc>
          <w:tcPr>
            <w:tcW w:type="dxa" w:w="6400"/>
            <w:tcBorders>
              <w:top w:val="single" w:color="CCCCBB" w:sz="1" w:space="0"/>
              <w:left w:val="single" w:color="CCCCBB" w:sz="1" w:space="0"/>
              <w:bottom w:val="single" w:color="CCCCBB" w:sz="1" w:space="0"/>
              <w:right w:val="single" w:color="CCCCBB" w:sz="1" w:space="0"/>
            </w:tcBorders>
            <w:shd w:fill="FAFAF5" w:val="clear"/>
            <w:tcMar>
              <w:top w:type="dxa" w:w="80"/>
              <w:left w:type="dxa" w:w="160"/>
              <w:bottom w:type="dxa" w:w="80"/>
              <w:right w:type="dxa" w:w="160"/>
            </w:tcMar>
          </w:tcPr>
          <w:p>
            <w:r>
              <w:rPr>
                <w:rFonts w:ascii="Calibri" w:cs="Calibri" w:eastAsia="Calibri" w:hAnsi="Calibri"/>
                <w:color w:val="1E1E2E"/>
                <w:sz w:val="22"/>
                <w:szCs w:val="22"/>
              </w:rPr>
              <w:t xml:space="preserve">Year 4–6 conservative / Year 2–4 accelerated</w:t>
            </w:r>
          </w:p>
        </w:tc>
      </w:tr>
      <w:tr>
        <w:tc>
          <w:tcPr>
            <w:tcW w:type="dxa" w:w="2600"/>
            <w:tcBorders>
              <w:top w:val="single" w:color="CCCCBB" w:sz="1" w:space="0"/>
              <w:left w:val="single" w:color="CCCCBB" w:sz="1" w:space="0"/>
              <w:bottom w:val="single" w:color="CCCCBB" w:sz="1" w:space="0"/>
              <w:right w:val="single" w:color="CCCCBB" w:sz="1" w:space="0"/>
            </w:tcBorders>
            <w:shd w:fill="EDE8D8" w:val="clear"/>
            <w:tcMar>
              <w:top w:type="dxa" w:w="80"/>
              <w:left w:type="dxa" w:w="160"/>
              <w:bottom w:type="dxa" w:w="80"/>
              <w:right w:type="dxa" w:w="160"/>
            </w:tcMar>
          </w:tcPr>
          <w:p>
            <w:r>
              <w:rPr>
                <w:rFonts w:ascii="Calibri" w:cs="Calibri" w:eastAsia="Calibri" w:hAnsi="Calibri"/>
                <w:b/>
                <w:bCs/>
                <w:color w:val="0C2340"/>
                <w:sz w:val="22"/>
                <w:szCs w:val="22"/>
              </w:rPr>
              <w:t xml:space="preserve">EBITDA positive (consolidated)</w:t>
            </w:r>
          </w:p>
        </w:tc>
        <w:tc>
          <w:tcPr>
            <w:tcW w:type="dxa" w:w="6400"/>
            <w:tcBorders>
              <w:top w:val="single" w:color="CCCCBB" w:sz="1" w:space="0"/>
              <w:left w:val="single" w:color="CCCCBB" w:sz="1" w:space="0"/>
              <w:bottom w:val="single" w:color="CCCCBB" w:sz="1" w:space="0"/>
              <w:right w:val="single" w:color="CCCCBB" w:sz="1" w:space="0"/>
            </w:tcBorders>
            <w:shd w:fill="FFFFFF" w:val="clear"/>
            <w:tcMar>
              <w:top w:type="dxa" w:w="80"/>
              <w:left w:type="dxa" w:w="160"/>
              <w:bottom w:type="dxa" w:w="80"/>
              <w:right w:type="dxa" w:w="160"/>
            </w:tcMar>
          </w:tcPr>
          <w:p>
            <w:r>
              <w:rPr>
                <w:rFonts w:ascii="Calibri" w:cs="Calibri" w:eastAsia="Calibri" w:hAnsi="Calibri"/>
                <w:color w:val="1E1E2E"/>
                <w:sz w:val="22"/>
                <w:szCs w:val="22"/>
              </w:rPr>
              <w:t xml:space="preserve">Year 3–4 conservative / Year 2–3 accelerated</w:t>
            </w:r>
          </w:p>
        </w:tc>
      </w:tr>
      <w:tr>
        <w:tc>
          <w:tcPr>
            <w:tcW w:type="dxa" w:w="2600"/>
            <w:tcBorders>
              <w:top w:val="single" w:color="CCCCBB" w:sz="1" w:space="0"/>
              <w:left w:val="single" w:color="CCCCBB" w:sz="1" w:space="0"/>
              <w:bottom w:val="single" w:color="CCCCBB" w:sz="1" w:space="0"/>
              <w:right w:val="single" w:color="CCCCBB" w:sz="1" w:space="0"/>
            </w:tcBorders>
            <w:shd w:fill="F5F2EA" w:val="clear"/>
            <w:tcMar>
              <w:top w:type="dxa" w:w="80"/>
              <w:left w:type="dxa" w:w="160"/>
              <w:bottom w:type="dxa" w:w="80"/>
              <w:right w:type="dxa" w:w="160"/>
            </w:tcMar>
          </w:tcPr>
          <w:p>
            <w:r>
              <w:rPr>
                <w:rFonts w:ascii="Calibri" w:cs="Calibri" w:eastAsia="Calibri" w:hAnsi="Calibri"/>
                <w:b/>
                <w:bCs/>
                <w:color w:val="0C2340"/>
                <w:sz w:val="22"/>
                <w:szCs w:val="22"/>
              </w:rPr>
              <w:t xml:space="preserve">Series A investor full return</w:t>
            </w:r>
          </w:p>
        </w:tc>
        <w:tc>
          <w:tcPr>
            <w:tcW w:type="dxa" w:w="6400"/>
            <w:tcBorders>
              <w:top w:val="single" w:color="CCCCBB" w:sz="1" w:space="0"/>
              <w:left w:val="single" w:color="CCCCBB" w:sz="1" w:space="0"/>
              <w:bottom w:val="single" w:color="CCCCBB" w:sz="1" w:space="0"/>
              <w:right w:val="single" w:color="CCCCBB" w:sz="1" w:space="0"/>
            </w:tcBorders>
            <w:shd w:fill="FAFAF5" w:val="clear"/>
            <w:tcMar>
              <w:top w:type="dxa" w:w="80"/>
              <w:left w:type="dxa" w:w="160"/>
              <w:bottom w:type="dxa" w:w="80"/>
              <w:right w:type="dxa" w:w="160"/>
            </w:tcMar>
          </w:tcPr>
          <w:p>
            <w:r>
              <w:rPr>
                <w:rFonts w:ascii="Calibri" w:cs="Calibri" w:eastAsia="Calibri" w:hAnsi="Calibri"/>
                <w:color w:val="1E1E2E"/>
                <w:sz w:val="22"/>
                <w:szCs w:val="22"/>
              </w:rPr>
              <w:t xml:space="preserve">Year 6–8 conservative / Year 4–6 accelerated</w:t>
            </w:r>
          </w:p>
        </w:tc>
      </w:tr>
    </w:tbl>
    <w:p>
      <w:pPr>
        <w:spacing w:before="160" w:after="0"/>
      </w:pPr>
    </w:p>
    <w:p>
      <w:pPr>
        <w:spacing w:before="280" w:after="80"/>
      </w:pPr>
      <w:r>
        <w:rPr>
          <w:rFonts w:ascii="Georgia" w:cs="Georgia" w:eastAsia="Georgia" w:hAnsi="Georgia"/>
          <w:b/>
          <w:bCs/>
          <w:color w:val="0C2340"/>
          <w:sz w:val="24"/>
          <w:szCs w:val="24"/>
        </w:rPr>
        <w:t xml:space="preserve">A.4 UDOC Unit Economics</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2600"/>
        <w:gridCol w:w="6400"/>
      </w:tblGrid>
      <w:tr>
        <w:tc>
          <w:tcPr>
            <w:tcW w:type="dxa" w:w="2600"/>
            <w:tcBorders>
              <w:top w:val="single" w:color="CCCCBB" w:sz="1" w:space="0"/>
              <w:left w:val="single" w:color="CCCCBB" w:sz="1" w:space="0"/>
              <w:bottom w:val="single" w:color="CCCCBB" w:sz="1" w:space="0"/>
              <w:right w:val="single" w:color="CCCCBB" w:sz="1" w:space="0"/>
            </w:tcBorders>
            <w:shd w:fill="EDE8D8" w:val="clear"/>
            <w:tcMar>
              <w:top w:type="dxa" w:w="80"/>
              <w:left w:type="dxa" w:w="160"/>
              <w:bottom w:type="dxa" w:w="80"/>
              <w:right w:type="dxa" w:w="160"/>
            </w:tcMar>
          </w:tcPr>
          <w:p>
            <w:r>
              <w:rPr>
                <w:rFonts w:ascii="Calibri" w:cs="Calibri" w:eastAsia="Calibri" w:hAnsi="Calibri"/>
                <w:b/>
                <w:bCs/>
                <w:color w:val="0C2340"/>
                <w:sz w:val="22"/>
                <w:szCs w:val="22"/>
              </w:rPr>
              <w:t xml:space="preserve">Average Contract Value (SA)</w:t>
            </w:r>
          </w:p>
        </w:tc>
        <w:tc>
          <w:tcPr>
            <w:tcW w:type="dxa" w:w="6400"/>
            <w:tcBorders>
              <w:top w:val="single" w:color="CCCCBB" w:sz="1" w:space="0"/>
              <w:left w:val="single" w:color="CCCCBB" w:sz="1" w:space="0"/>
              <w:bottom w:val="single" w:color="CCCCBB" w:sz="1" w:space="0"/>
              <w:right w:val="single" w:color="CCCCBB" w:sz="1" w:space="0"/>
            </w:tcBorders>
            <w:shd w:fill="FFFFFF" w:val="clear"/>
            <w:tcMar>
              <w:top w:type="dxa" w:w="80"/>
              <w:left w:type="dxa" w:w="160"/>
              <w:bottom w:type="dxa" w:w="80"/>
              <w:right w:type="dxa" w:w="160"/>
            </w:tcMar>
          </w:tcPr>
          <w:p>
            <w:r>
              <w:rPr>
                <w:rFonts w:ascii="Calibri" w:cs="Calibri" w:eastAsia="Calibri" w:hAnsi="Calibri"/>
                <w:color w:val="1E1E2E"/>
                <w:sz w:val="22"/>
                <w:szCs w:val="22"/>
              </w:rPr>
              <w:t xml:space="preserve">R3M – R7M per enterprise client annually</w:t>
            </w:r>
          </w:p>
        </w:tc>
      </w:tr>
      <w:tr>
        <w:tc>
          <w:tcPr>
            <w:tcW w:type="dxa" w:w="2600"/>
            <w:tcBorders>
              <w:top w:val="single" w:color="CCCCBB" w:sz="1" w:space="0"/>
              <w:left w:val="single" w:color="CCCCBB" w:sz="1" w:space="0"/>
              <w:bottom w:val="single" w:color="CCCCBB" w:sz="1" w:space="0"/>
              <w:right w:val="single" w:color="CCCCBB" w:sz="1" w:space="0"/>
            </w:tcBorders>
            <w:shd w:fill="F5F2EA" w:val="clear"/>
            <w:tcMar>
              <w:top w:type="dxa" w:w="80"/>
              <w:left w:type="dxa" w:w="160"/>
              <w:bottom w:type="dxa" w:w="80"/>
              <w:right w:type="dxa" w:w="160"/>
            </w:tcMar>
          </w:tcPr>
          <w:p>
            <w:r>
              <w:rPr>
                <w:rFonts w:ascii="Calibri" w:cs="Calibri" w:eastAsia="Calibri" w:hAnsi="Calibri"/>
                <w:b/>
                <w:bCs/>
                <w:color w:val="0C2340"/>
                <w:sz w:val="22"/>
                <w:szCs w:val="22"/>
              </w:rPr>
              <w:t xml:space="preserve">Average Contract Value (International)</w:t>
            </w:r>
          </w:p>
        </w:tc>
        <w:tc>
          <w:tcPr>
            <w:tcW w:type="dxa" w:w="6400"/>
            <w:tcBorders>
              <w:top w:val="single" w:color="CCCCBB" w:sz="1" w:space="0"/>
              <w:left w:val="single" w:color="CCCCBB" w:sz="1" w:space="0"/>
              <w:bottom w:val="single" w:color="CCCCBB" w:sz="1" w:space="0"/>
              <w:right w:val="single" w:color="CCCCBB" w:sz="1" w:space="0"/>
            </w:tcBorders>
            <w:shd w:fill="FAFAF5" w:val="clear"/>
            <w:tcMar>
              <w:top w:type="dxa" w:w="80"/>
              <w:left w:type="dxa" w:w="160"/>
              <w:bottom w:type="dxa" w:w="80"/>
              <w:right w:type="dxa" w:w="160"/>
            </w:tcMar>
          </w:tcPr>
          <w:p>
            <w:r>
              <w:rPr>
                <w:rFonts w:ascii="Calibri" w:cs="Calibri" w:eastAsia="Calibri" w:hAnsi="Calibri"/>
                <w:color w:val="1E1E2E"/>
                <w:sz w:val="22"/>
                <w:szCs w:val="22"/>
              </w:rPr>
              <w:t xml:space="preserve">$250K – $500K annually</w:t>
            </w:r>
          </w:p>
        </w:tc>
      </w:tr>
      <w:tr>
        <w:tc>
          <w:tcPr>
            <w:tcW w:type="dxa" w:w="2600"/>
            <w:tcBorders>
              <w:top w:val="single" w:color="CCCCBB" w:sz="1" w:space="0"/>
              <w:left w:val="single" w:color="CCCCBB" w:sz="1" w:space="0"/>
              <w:bottom w:val="single" w:color="CCCCBB" w:sz="1" w:space="0"/>
              <w:right w:val="single" w:color="CCCCBB" w:sz="1" w:space="0"/>
            </w:tcBorders>
            <w:shd w:fill="EDE8D8" w:val="clear"/>
            <w:tcMar>
              <w:top w:type="dxa" w:w="80"/>
              <w:left w:type="dxa" w:w="160"/>
              <w:bottom w:type="dxa" w:w="80"/>
              <w:right w:type="dxa" w:w="160"/>
            </w:tcMar>
          </w:tcPr>
          <w:p>
            <w:r>
              <w:rPr>
                <w:rFonts w:ascii="Calibri" w:cs="Calibri" w:eastAsia="Calibri" w:hAnsi="Calibri"/>
                <w:b/>
                <w:bCs/>
                <w:color w:val="0C2340"/>
                <w:sz w:val="22"/>
                <w:szCs w:val="22"/>
              </w:rPr>
              <w:t xml:space="preserve">Gross Margin at Scale</w:t>
            </w:r>
          </w:p>
        </w:tc>
        <w:tc>
          <w:tcPr>
            <w:tcW w:type="dxa" w:w="6400"/>
            <w:tcBorders>
              <w:top w:val="single" w:color="CCCCBB" w:sz="1" w:space="0"/>
              <w:left w:val="single" w:color="CCCCBB" w:sz="1" w:space="0"/>
              <w:bottom w:val="single" w:color="CCCCBB" w:sz="1" w:space="0"/>
              <w:right w:val="single" w:color="CCCCBB" w:sz="1" w:space="0"/>
            </w:tcBorders>
            <w:shd w:fill="FFFFFF" w:val="clear"/>
            <w:tcMar>
              <w:top w:type="dxa" w:w="80"/>
              <w:left w:type="dxa" w:w="160"/>
              <w:bottom w:type="dxa" w:w="80"/>
              <w:right w:type="dxa" w:w="160"/>
            </w:tcMar>
          </w:tcPr>
          <w:p>
            <w:r>
              <w:rPr>
                <w:rFonts w:ascii="Calibri" w:cs="Calibri" w:eastAsia="Calibri" w:hAnsi="Calibri"/>
                <w:color w:val="1E1E2E"/>
                <w:sz w:val="22"/>
                <w:szCs w:val="22"/>
              </w:rPr>
              <w:t xml:space="preserve">75–85% (initial development phase: 50–60%)</w:t>
            </w:r>
          </w:p>
        </w:tc>
      </w:tr>
      <w:tr>
        <w:tc>
          <w:tcPr>
            <w:tcW w:type="dxa" w:w="2600"/>
            <w:tcBorders>
              <w:top w:val="single" w:color="CCCCBB" w:sz="1" w:space="0"/>
              <w:left w:val="single" w:color="CCCCBB" w:sz="1" w:space="0"/>
              <w:bottom w:val="single" w:color="CCCCBB" w:sz="1" w:space="0"/>
              <w:right w:val="single" w:color="CCCCBB" w:sz="1" w:space="0"/>
            </w:tcBorders>
            <w:shd w:fill="F5F2EA" w:val="clear"/>
            <w:tcMar>
              <w:top w:type="dxa" w:w="80"/>
              <w:left w:type="dxa" w:w="160"/>
              <w:bottom w:type="dxa" w:w="80"/>
              <w:right w:type="dxa" w:w="160"/>
            </w:tcMar>
          </w:tcPr>
          <w:p>
            <w:r>
              <w:rPr>
                <w:rFonts w:ascii="Calibri" w:cs="Calibri" w:eastAsia="Calibri" w:hAnsi="Calibri"/>
                <w:b/>
                <w:bCs/>
                <w:color w:val="0C2340"/>
                <w:sz w:val="22"/>
                <w:szCs w:val="22"/>
              </w:rPr>
              <w:t xml:space="preserve">Client Acquisition Cost</w:t>
            </w:r>
          </w:p>
        </w:tc>
        <w:tc>
          <w:tcPr>
            <w:tcW w:type="dxa" w:w="6400"/>
            <w:tcBorders>
              <w:top w:val="single" w:color="CCCCBB" w:sz="1" w:space="0"/>
              <w:left w:val="single" w:color="CCCCBB" w:sz="1" w:space="0"/>
              <w:bottom w:val="single" w:color="CCCCBB" w:sz="1" w:space="0"/>
              <w:right w:val="single" w:color="CCCCBB" w:sz="1" w:space="0"/>
            </w:tcBorders>
            <w:shd w:fill="FAFAF5" w:val="clear"/>
            <w:tcMar>
              <w:top w:type="dxa" w:w="80"/>
              <w:left w:type="dxa" w:w="160"/>
              <w:bottom w:type="dxa" w:w="80"/>
              <w:right w:type="dxa" w:w="160"/>
            </w:tcMar>
          </w:tcPr>
          <w:p>
            <w:r>
              <w:rPr>
                <w:rFonts w:ascii="Calibri" w:cs="Calibri" w:eastAsia="Calibri" w:hAnsi="Calibri"/>
                <w:color w:val="1E1E2E"/>
                <w:sz w:val="22"/>
                <w:szCs w:val="22"/>
              </w:rPr>
              <w:t xml:space="preserve">R500K – R2M per enterprise client (declining with brand credibility)</w:t>
            </w:r>
          </w:p>
        </w:tc>
      </w:tr>
      <w:tr>
        <w:tc>
          <w:tcPr>
            <w:tcW w:type="dxa" w:w="2600"/>
            <w:tcBorders>
              <w:top w:val="single" w:color="CCCCBB" w:sz="1" w:space="0"/>
              <w:left w:val="single" w:color="CCCCBB" w:sz="1" w:space="0"/>
              <w:bottom w:val="single" w:color="CCCCBB" w:sz="1" w:space="0"/>
              <w:right w:val="single" w:color="CCCCBB" w:sz="1" w:space="0"/>
            </w:tcBorders>
            <w:shd w:fill="EDE8D8" w:val="clear"/>
            <w:tcMar>
              <w:top w:type="dxa" w:w="80"/>
              <w:left w:type="dxa" w:w="160"/>
              <w:bottom w:type="dxa" w:w="80"/>
              <w:right w:type="dxa" w:w="160"/>
            </w:tcMar>
          </w:tcPr>
          <w:p>
            <w:r>
              <w:rPr>
                <w:rFonts w:ascii="Calibri" w:cs="Calibri" w:eastAsia="Calibri" w:hAnsi="Calibri"/>
                <w:b/>
                <w:bCs/>
                <w:color w:val="0C2340"/>
                <w:sz w:val="22"/>
                <w:szCs w:val="22"/>
              </w:rPr>
              <w:t xml:space="preserve">Year 5 Enterprise ARR Target</w:t>
            </w:r>
          </w:p>
        </w:tc>
        <w:tc>
          <w:tcPr>
            <w:tcW w:type="dxa" w:w="6400"/>
            <w:tcBorders>
              <w:top w:val="single" w:color="CCCCBB" w:sz="1" w:space="0"/>
              <w:left w:val="single" w:color="CCCCBB" w:sz="1" w:space="0"/>
              <w:bottom w:val="single" w:color="CCCCBB" w:sz="1" w:space="0"/>
              <w:right w:val="single" w:color="CCCCBB" w:sz="1" w:space="0"/>
            </w:tcBorders>
            <w:shd w:fill="FFFFFF" w:val="clear"/>
            <w:tcMar>
              <w:top w:type="dxa" w:w="80"/>
              <w:left w:type="dxa" w:w="160"/>
              <w:bottom w:type="dxa" w:w="80"/>
              <w:right w:type="dxa" w:w="160"/>
            </w:tcMar>
          </w:tcPr>
          <w:p>
            <w:r>
              <w:rPr>
                <w:rFonts w:ascii="Calibri" w:cs="Calibri" w:eastAsia="Calibri" w:hAnsi="Calibri"/>
                <w:color w:val="1E1E2E"/>
                <w:sz w:val="22"/>
                <w:szCs w:val="22"/>
              </w:rPr>
              <w:t xml:space="preserve">R45M – R210M (15–30 clients)</w:t>
            </w:r>
          </w:p>
        </w:tc>
      </w:tr>
      <w:tr>
        <w:tc>
          <w:tcPr>
            <w:tcW w:type="dxa" w:w="2600"/>
            <w:tcBorders>
              <w:top w:val="single" w:color="CCCCBB" w:sz="1" w:space="0"/>
              <w:left w:val="single" w:color="CCCCBB" w:sz="1" w:space="0"/>
              <w:bottom w:val="single" w:color="CCCCBB" w:sz="1" w:space="0"/>
              <w:right w:val="single" w:color="CCCCBB" w:sz="1" w:space="0"/>
            </w:tcBorders>
            <w:shd w:fill="F5F2EA" w:val="clear"/>
            <w:tcMar>
              <w:top w:type="dxa" w:w="80"/>
              <w:left w:type="dxa" w:w="160"/>
              <w:bottom w:type="dxa" w:w="80"/>
              <w:right w:type="dxa" w:w="160"/>
            </w:tcMar>
          </w:tcPr>
          <w:p>
            <w:r>
              <w:rPr>
                <w:rFonts w:ascii="Calibri" w:cs="Calibri" w:eastAsia="Calibri" w:hAnsi="Calibri"/>
                <w:b/>
                <w:bCs/>
                <w:color w:val="0C2340"/>
                <w:sz w:val="22"/>
                <w:szCs w:val="22"/>
              </w:rPr>
              <w:t xml:space="preserve">National Backbone Contract Value</w:t>
            </w:r>
          </w:p>
        </w:tc>
        <w:tc>
          <w:tcPr>
            <w:tcW w:type="dxa" w:w="6400"/>
            <w:tcBorders>
              <w:top w:val="single" w:color="CCCCBB" w:sz="1" w:space="0"/>
              <w:left w:val="single" w:color="CCCCBB" w:sz="1" w:space="0"/>
              <w:bottom w:val="single" w:color="CCCCBB" w:sz="1" w:space="0"/>
              <w:right w:val="single" w:color="CCCCBB" w:sz="1" w:space="0"/>
            </w:tcBorders>
            <w:shd w:fill="FAFAF5" w:val="clear"/>
            <w:tcMar>
              <w:top w:type="dxa" w:w="80"/>
              <w:left w:type="dxa" w:w="160"/>
              <w:bottom w:type="dxa" w:w="80"/>
              <w:right w:type="dxa" w:w="160"/>
            </w:tcMar>
          </w:tcPr>
          <w:p>
            <w:r>
              <w:rPr>
                <w:rFonts w:ascii="Calibri" w:cs="Calibri" w:eastAsia="Calibri" w:hAnsi="Calibri"/>
                <w:color w:val="1E1E2E"/>
                <w:sz w:val="22"/>
                <w:szCs w:val="22"/>
              </w:rPr>
              <w:t xml:space="preserve">R50M – R500M per deployment depending on scope and duration</w:t>
            </w:r>
          </w:p>
        </w:tc>
      </w:tr>
      <w:tr>
        <w:tc>
          <w:tcPr>
            <w:tcW w:type="dxa" w:w="2600"/>
            <w:tcBorders>
              <w:top w:val="single" w:color="CCCCBB" w:sz="1" w:space="0"/>
              <w:left w:val="single" w:color="CCCCBB" w:sz="1" w:space="0"/>
              <w:bottom w:val="single" w:color="CCCCBB" w:sz="1" w:space="0"/>
              <w:right w:val="single" w:color="CCCCBB" w:sz="1" w:space="0"/>
            </w:tcBorders>
            <w:shd w:fill="EDE8D8" w:val="clear"/>
            <w:tcMar>
              <w:top w:type="dxa" w:w="80"/>
              <w:left w:type="dxa" w:w="160"/>
              <w:bottom w:type="dxa" w:w="80"/>
              <w:right w:type="dxa" w:w="160"/>
            </w:tcMar>
          </w:tcPr>
          <w:p>
            <w:r>
              <w:rPr>
                <w:rFonts w:ascii="Calibri" w:cs="Calibri" w:eastAsia="Calibri" w:hAnsi="Calibri"/>
                <w:b/>
                <w:bCs/>
                <w:color w:val="0C2340"/>
                <w:sz w:val="22"/>
                <w:szCs w:val="22"/>
              </w:rPr>
              <w:t xml:space="preserve">Valuation Multiple</w:t>
            </w:r>
          </w:p>
        </w:tc>
        <w:tc>
          <w:tcPr>
            <w:tcW w:type="dxa" w:w="6400"/>
            <w:tcBorders>
              <w:top w:val="single" w:color="CCCCBB" w:sz="1" w:space="0"/>
              <w:left w:val="single" w:color="CCCCBB" w:sz="1" w:space="0"/>
              <w:bottom w:val="single" w:color="CCCCBB" w:sz="1" w:space="0"/>
              <w:right w:val="single" w:color="CCCCBB" w:sz="1" w:space="0"/>
            </w:tcBorders>
            <w:shd w:fill="FFFFFF" w:val="clear"/>
            <w:tcMar>
              <w:top w:type="dxa" w:w="80"/>
              <w:left w:type="dxa" w:w="160"/>
              <w:bottom w:type="dxa" w:w="80"/>
              <w:right w:type="dxa" w:w="160"/>
            </w:tcMar>
          </w:tcPr>
          <w:p>
            <w:r>
              <w:rPr>
                <w:rFonts w:ascii="Calibri" w:cs="Calibri" w:eastAsia="Calibri" w:hAnsi="Calibri"/>
                <w:color w:val="1E1E2E"/>
                <w:sz w:val="22"/>
                <w:szCs w:val="22"/>
              </w:rPr>
              <w:t xml:space="preserve">8–12× revenue — consistent with compliance infrastructure SaaS at institutional scale</w:t>
            </w:r>
          </w:p>
        </w:tc>
      </w:tr>
    </w:tbl>
    <w:p>
      <w:r>
        <w:br w:type="page"/>
      </w:r>
    </w:p>
    <w:p>
      <w:pPr>
        <w:pBdr>
          <w:bottom w:val="single" w:color="C9A84C" w:sz="8" w:space="4"/>
        </w:pBdr>
        <w:spacing w:before="440" w:after="120"/>
      </w:pPr>
      <w:r>
        <w:rPr>
          <w:rFonts w:ascii="Georgia" w:cs="Georgia" w:eastAsia="Georgia" w:hAnsi="Georgia"/>
          <w:b/>
          <w:bCs/>
          <w:color w:val="B8972A"/>
          <w:sz w:val="28"/>
          <w:szCs w:val="28"/>
        </w:rPr>
        <w:t xml:space="preserve">ANNEXURE B  </w:t>
      </w:r>
      <w:r>
        <w:rPr>
          <w:rFonts w:ascii="Georgia" w:cs="Georgia" w:eastAsia="Georgia" w:hAnsi="Georgia"/>
          <w:b/>
          <w:bCs/>
          <w:color w:val="0C2340"/>
          <w:sz w:val="28"/>
          <w:szCs w:val="28"/>
        </w:rPr>
        <w:t xml:space="preserve">Patent Portfolio &amp; IP Architecture</w:t>
      </w:r>
    </w:p>
    <w:p>
      <w:pPr>
        <w:spacing w:before="280" w:after="80"/>
      </w:pPr>
      <w:r>
        <w:rPr>
          <w:rFonts w:ascii="Georgia" w:cs="Georgia" w:eastAsia="Georgia" w:hAnsi="Georgia"/>
          <w:b/>
          <w:bCs/>
          <w:color w:val="0C2340"/>
          <w:sz w:val="24"/>
          <w:szCs w:val="24"/>
        </w:rPr>
        <w:t xml:space="preserve">B.1 IP Philosophy</w:t>
      </w:r>
    </w:p>
    <w:p>
      <w:pPr>
        <w:spacing w:before="80" w:after="80"/>
        <w:jc w:val="both"/>
      </w:pPr>
      <w:r>
        <w:rPr>
          <w:rFonts w:ascii="Calibri" w:cs="Calibri" w:eastAsia="Calibri" w:hAnsi="Calibri"/>
          <w:color w:val="1E1E2E"/>
          <w:sz w:val="22"/>
          <w:szCs w:val="22"/>
        </w:rPr>
        <w:t xml:space="preserve">The G.O.D.S intellectual property strategy achieves three objectives: protecting core innovations from unauthorized use that would undermine institutional sustainability; enabling broad adoption through licensing that extends impact without requiring proprietary control; and building a portfolio asset that appreciates as the frameworks become more widely recognized and adopted globally.</w:t>
      </w:r>
    </w:p>
    <w:p>
      <w:pPr>
        <w:spacing w:before="280" w:after="80"/>
      </w:pPr>
      <w:r>
        <w:rPr>
          <w:rFonts w:ascii="Georgia" w:cs="Georgia" w:eastAsia="Georgia" w:hAnsi="Georgia"/>
          <w:b/>
          <w:bCs/>
          <w:color w:val="0C2340"/>
          <w:sz w:val="24"/>
          <w:szCs w:val="24"/>
        </w:rPr>
        <w:t xml:space="preserve">B.2 Patent Portfolio Categories</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2600"/>
        <w:gridCol w:w="6400"/>
      </w:tblGrid>
      <w:tr>
        <w:tc>
          <w:tcPr>
            <w:tcW w:type="dxa" w:w="2600"/>
            <w:tcBorders>
              <w:top w:val="single" w:color="CCCCBB" w:sz="1" w:space="0"/>
              <w:left w:val="single" w:color="CCCCBB" w:sz="1" w:space="0"/>
              <w:bottom w:val="single" w:color="CCCCBB" w:sz="1" w:space="0"/>
              <w:right w:val="single" w:color="CCCCBB" w:sz="1" w:space="0"/>
            </w:tcBorders>
            <w:shd w:fill="EDE8D8" w:val="clear"/>
            <w:tcMar>
              <w:top w:type="dxa" w:w="80"/>
              <w:left w:type="dxa" w:w="160"/>
              <w:bottom w:type="dxa" w:w="80"/>
              <w:right w:type="dxa" w:w="160"/>
            </w:tcMar>
          </w:tcPr>
          <w:p>
            <w:r>
              <w:rPr>
                <w:rFonts w:ascii="Calibri" w:cs="Calibri" w:eastAsia="Calibri" w:hAnsi="Calibri"/>
                <w:b/>
                <w:bCs/>
                <w:color w:val="0C2340"/>
                <w:sz w:val="22"/>
                <w:szCs w:val="22"/>
              </w:rPr>
              <w:t xml:space="preserve">Category 1</w:t>
            </w:r>
          </w:p>
        </w:tc>
        <w:tc>
          <w:tcPr>
            <w:tcW w:type="dxa" w:w="6400"/>
            <w:tcBorders>
              <w:top w:val="single" w:color="CCCCBB" w:sz="1" w:space="0"/>
              <w:left w:val="single" w:color="CCCCBB" w:sz="1" w:space="0"/>
              <w:bottom w:val="single" w:color="CCCCBB" w:sz="1" w:space="0"/>
              <w:right w:val="single" w:color="CCCCBB" w:sz="1" w:space="0"/>
            </w:tcBorders>
            <w:shd w:fill="FFFFFF" w:val="clear"/>
            <w:tcMar>
              <w:top w:type="dxa" w:w="80"/>
              <w:left w:type="dxa" w:w="160"/>
              <w:bottom w:type="dxa" w:w="80"/>
              <w:right w:type="dxa" w:w="160"/>
            </w:tcMar>
          </w:tcPr>
          <w:p>
            <w:r>
              <w:rPr>
                <w:rFonts w:ascii="Calibri" w:cs="Calibri" w:eastAsia="Calibri" w:hAnsi="Calibri"/>
                <w:color w:val="1E1E2E"/>
                <w:sz w:val="22"/>
                <w:szCs w:val="22"/>
              </w:rPr>
              <w:t xml:space="preserve">Behavioral Assessment &amp; Reintegration — S.E.T.H.S assessment algorithms, relapse risk prediction models, employment matching systems</w:t>
            </w:r>
          </w:p>
        </w:tc>
      </w:tr>
      <w:tr>
        <w:tc>
          <w:tcPr>
            <w:tcW w:type="dxa" w:w="2600"/>
            <w:tcBorders>
              <w:top w:val="single" w:color="CCCCBB" w:sz="1" w:space="0"/>
              <w:left w:val="single" w:color="CCCCBB" w:sz="1" w:space="0"/>
              <w:bottom w:val="single" w:color="CCCCBB" w:sz="1" w:space="0"/>
              <w:right w:val="single" w:color="CCCCBB" w:sz="1" w:space="0"/>
            </w:tcBorders>
            <w:shd w:fill="F5F2EA" w:val="clear"/>
            <w:tcMar>
              <w:top w:type="dxa" w:w="80"/>
              <w:left w:type="dxa" w:w="160"/>
              <w:bottom w:type="dxa" w:w="80"/>
              <w:right w:type="dxa" w:w="160"/>
            </w:tcMar>
          </w:tcPr>
          <w:p>
            <w:r>
              <w:rPr>
                <w:rFonts w:ascii="Calibri" w:cs="Calibri" w:eastAsia="Calibri" w:hAnsi="Calibri"/>
                <w:b/>
                <w:bCs/>
                <w:color w:val="0C2340"/>
                <w:sz w:val="22"/>
                <w:szCs w:val="22"/>
              </w:rPr>
              <w:t xml:space="preserve">Category 2</w:t>
            </w:r>
          </w:p>
        </w:tc>
        <w:tc>
          <w:tcPr>
            <w:tcW w:type="dxa" w:w="6400"/>
            <w:tcBorders>
              <w:top w:val="single" w:color="CCCCBB" w:sz="1" w:space="0"/>
              <w:left w:val="single" w:color="CCCCBB" w:sz="1" w:space="0"/>
              <w:bottom w:val="single" w:color="CCCCBB" w:sz="1" w:space="0"/>
              <w:right w:val="single" w:color="CCCCBB" w:sz="1" w:space="0"/>
            </w:tcBorders>
            <w:shd w:fill="FAFAF5" w:val="clear"/>
            <w:tcMar>
              <w:top w:type="dxa" w:w="80"/>
              <w:left w:type="dxa" w:w="160"/>
              <w:bottom w:type="dxa" w:w="80"/>
              <w:right w:type="dxa" w:w="160"/>
            </w:tcMar>
          </w:tcPr>
          <w:p>
            <w:r>
              <w:rPr>
                <w:rFonts w:ascii="Calibri" w:cs="Calibri" w:eastAsia="Calibri" w:hAnsi="Calibri"/>
                <w:color w:val="1E1E2E"/>
                <w:sz w:val="22"/>
                <w:szCs w:val="22"/>
              </w:rPr>
              <w:t xml:space="preserve">AI Governance Architecture — UDOC risk classification engine, bias monitoring, audit trail generation, compliance reporting automation</w:t>
            </w:r>
          </w:p>
        </w:tc>
      </w:tr>
      <w:tr>
        <w:tc>
          <w:tcPr>
            <w:tcW w:type="dxa" w:w="2600"/>
            <w:tcBorders>
              <w:top w:val="single" w:color="CCCCBB" w:sz="1" w:space="0"/>
              <w:left w:val="single" w:color="CCCCBB" w:sz="1" w:space="0"/>
              <w:bottom w:val="single" w:color="CCCCBB" w:sz="1" w:space="0"/>
              <w:right w:val="single" w:color="CCCCBB" w:sz="1" w:space="0"/>
            </w:tcBorders>
            <w:shd w:fill="EDE8D8" w:val="clear"/>
            <w:tcMar>
              <w:top w:type="dxa" w:w="80"/>
              <w:left w:type="dxa" w:w="160"/>
              <w:bottom w:type="dxa" w:w="80"/>
              <w:right w:type="dxa" w:w="160"/>
            </w:tcMar>
          </w:tcPr>
          <w:p>
            <w:r>
              <w:rPr>
                <w:rFonts w:ascii="Calibri" w:cs="Calibri" w:eastAsia="Calibri" w:hAnsi="Calibri"/>
                <w:b/>
                <w:bCs/>
                <w:color w:val="0C2340"/>
                <w:sz w:val="22"/>
                <w:szCs w:val="22"/>
              </w:rPr>
              <w:t xml:space="preserve">Category 3</w:t>
            </w:r>
          </w:p>
        </w:tc>
        <w:tc>
          <w:tcPr>
            <w:tcW w:type="dxa" w:w="6400"/>
            <w:tcBorders>
              <w:top w:val="single" w:color="CCCCBB" w:sz="1" w:space="0"/>
              <w:left w:val="single" w:color="CCCCBB" w:sz="1" w:space="0"/>
              <w:bottom w:val="single" w:color="CCCCBB" w:sz="1" w:space="0"/>
              <w:right w:val="single" w:color="CCCCBB" w:sz="1" w:space="0"/>
            </w:tcBorders>
            <w:shd w:fill="FFFFFF" w:val="clear"/>
            <w:tcMar>
              <w:top w:type="dxa" w:w="80"/>
              <w:left w:type="dxa" w:w="160"/>
              <w:bottom w:type="dxa" w:w="80"/>
              <w:right w:type="dxa" w:w="160"/>
            </w:tcMar>
          </w:tcPr>
          <w:p>
            <w:r>
              <w:rPr>
                <w:rFonts w:ascii="Calibri" w:cs="Calibri" w:eastAsia="Calibri" w:hAnsi="Calibri"/>
                <w:color w:val="1E1E2E"/>
                <w:sz w:val="22"/>
                <w:szCs w:val="22"/>
              </w:rPr>
              <w:t xml:space="preserve">Quantum-Ready Infrastructure — Hybrid classical-quantum cryptographic architecture, QIOS framework, sovereign data architecture, post-quantum key management</w:t>
            </w:r>
          </w:p>
        </w:tc>
      </w:tr>
      <w:tr>
        <w:tc>
          <w:tcPr>
            <w:tcW w:type="dxa" w:w="2600"/>
            <w:tcBorders>
              <w:top w:val="single" w:color="CCCCBB" w:sz="1" w:space="0"/>
              <w:left w:val="single" w:color="CCCCBB" w:sz="1" w:space="0"/>
              <w:bottom w:val="single" w:color="CCCCBB" w:sz="1" w:space="0"/>
              <w:right w:val="single" w:color="CCCCBB" w:sz="1" w:space="0"/>
            </w:tcBorders>
            <w:shd w:fill="F5F2EA" w:val="clear"/>
            <w:tcMar>
              <w:top w:type="dxa" w:w="80"/>
              <w:left w:type="dxa" w:w="160"/>
              <w:bottom w:type="dxa" w:w="80"/>
              <w:right w:type="dxa" w:w="160"/>
            </w:tcMar>
          </w:tcPr>
          <w:p>
            <w:r>
              <w:rPr>
                <w:rFonts w:ascii="Calibri" w:cs="Calibri" w:eastAsia="Calibri" w:hAnsi="Calibri"/>
                <w:b/>
                <w:bCs/>
                <w:color w:val="0C2340"/>
                <w:sz w:val="22"/>
                <w:szCs w:val="22"/>
              </w:rPr>
              <w:t xml:space="preserve">Category 4</w:t>
            </w:r>
          </w:p>
        </w:tc>
        <w:tc>
          <w:tcPr>
            <w:tcW w:type="dxa" w:w="6400"/>
            <w:tcBorders>
              <w:top w:val="single" w:color="CCCCBB" w:sz="1" w:space="0"/>
              <w:left w:val="single" w:color="CCCCBB" w:sz="1" w:space="0"/>
              <w:bottom w:val="single" w:color="CCCCBB" w:sz="1" w:space="0"/>
              <w:right w:val="single" w:color="CCCCBB" w:sz="1" w:space="0"/>
            </w:tcBorders>
            <w:shd w:fill="FAFAF5" w:val="clear"/>
            <w:tcMar>
              <w:top w:type="dxa" w:w="80"/>
              <w:left w:type="dxa" w:w="160"/>
              <w:bottom w:type="dxa" w:w="80"/>
              <w:right w:type="dxa" w:w="160"/>
            </w:tcMar>
          </w:tcPr>
          <w:p>
            <w:r>
              <w:rPr>
                <w:rFonts w:ascii="Calibri" w:cs="Calibri" w:eastAsia="Calibri" w:hAnsi="Calibri"/>
                <w:color w:val="1E1E2E"/>
                <w:sz w:val="22"/>
                <w:szCs w:val="22"/>
              </w:rPr>
              <w:t xml:space="preserve">PPP Capital Structures — Protected as trade secrets and registered institutional methodology; financial structures are difficult to patent</w:t>
            </w:r>
          </w:p>
        </w:tc>
      </w:tr>
    </w:tbl>
    <w:p>
      <w:pPr>
        <w:spacing w:before="280" w:after="80"/>
      </w:pPr>
      <w:r>
        <w:rPr>
          <w:rFonts w:ascii="Georgia" w:cs="Georgia" w:eastAsia="Georgia" w:hAnsi="Georgia"/>
          <w:b/>
          <w:bCs/>
          <w:color w:val="0C2340"/>
          <w:sz w:val="24"/>
          <w:szCs w:val="24"/>
        </w:rPr>
        <w:t xml:space="preserve">B.3 Licensing Strategy</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2600"/>
        <w:gridCol w:w="6400"/>
      </w:tblGrid>
      <w:tr>
        <w:tc>
          <w:tcPr>
            <w:tcW w:type="dxa" w:w="2600"/>
            <w:tcBorders>
              <w:top w:val="single" w:color="CCCCBB" w:sz="1" w:space="0"/>
              <w:left w:val="single" w:color="CCCCBB" w:sz="1" w:space="0"/>
              <w:bottom w:val="single" w:color="CCCCBB" w:sz="1" w:space="0"/>
              <w:right w:val="single" w:color="CCCCBB" w:sz="1" w:space="0"/>
            </w:tcBorders>
            <w:shd w:fill="EDE8D8" w:val="clear"/>
            <w:tcMar>
              <w:top w:type="dxa" w:w="80"/>
              <w:left w:type="dxa" w:w="160"/>
              <w:bottom w:type="dxa" w:w="80"/>
              <w:right w:type="dxa" w:w="160"/>
            </w:tcMar>
          </w:tcPr>
          <w:p>
            <w:r>
              <w:rPr>
                <w:rFonts w:ascii="Calibri" w:cs="Calibri" w:eastAsia="Calibri" w:hAnsi="Calibri"/>
                <w:b/>
                <w:bCs/>
                <w:color w:val="0C2340"/>
                <w:sz w:val="22"/>
                <w:szCs w:val="22"/>
              </w:rPr>
              <w:t xml:space="preserve">Tier 1 — Full Methodology</w:t>
            </w:r>
          </w:p>
        </w:tc>
        <w:tc>
          <w:tcPr>
            <w:tcW w:type="dxa" w:w="6400"/>
            <w:tcBorders>
              <w:top w:val="single" w:color="CCCCBB" w:sz="1" w:space="0"/>
              <w:left w:val="single" w:color="CCCCBB" w:sz="1" w:space="0"/>
              <w:bottom w:val="single" w:color="CCCCBB" w:sz="1" w:space="0"/>
              <w:right w:val="single" w:color="CCCCBB" w:sz="1" w:space="0"/>
            </w:tcBorders>
            <w:shd w:fill="FFFFFF" w:val="clear"/>
            <w:tcMar>
              <w:top w:type="dxa" w:w="80"/>
              <w:left w:type="dxa" w:w="160"/>
              <w:bottom w:type="dxa" w:w="80"/>
              <w:right w:type="dxa" w:w="160"/>
            </w:tcMar>
          </w:tcPr>
          <w:p>
            <w:r>
              <w:rPr>
                <w:rFonts w:ascii="Calibri" w:cs="Calibri" w:eastAsia="Calibri" w:hAnsi="Calibri"/>
                <w:color w:val="1E1E2E"/>
                <w:sz w:val="22"/>
                <w:szCs w:val="22"/>
              </w:rPr>
              <w:t xml:space="preserve">Available to institutional partners outside G.O.D.S direct operating geography. Requires constitutional compliance certification. Annual fee scaled to GDP per capita.</w:t>
            </w:r>
          </w:p>
        </w:tc>
      </w:tr>
      <w:tr>
        <w:tc>
          <w:tcPr>
            <w:tcW w:type="dxa" w:w="2600"/>
            <w:tcBorders>
              <w:top w:val="single" w:color="CCCCBB" w:sz="1" w:space="0"/>
              <w:left w:val="single" w:color="CCCCBB" w:sz="1" w:space="0"/>
              <w:bottom w:val="single" w:color="CCCCBB" w:sz="1" w:space="0"/>
              <w:right w:val="single" w:color="CCCCBB" w:sz="1" w:space="0"/>
            </w:tcBorders>
            <w:shd w:fill="F5F2EA" w:val="clear"/>
            <w:tcMar>
              <w:top w:type="dxa" w:w="80"/>
              <w:left w:type="dxa" w:w="160"/>
              <w:bottom w:type="dxa" w:w="80"/>
              <w:right w:type="dxa" w:w="160"/>
            </w:tcMar>
          </w:tcPr>
          <w:p>
            <w:r>
              <w:rPr>
                <w:rFonts w:ascii="Calibri" w:cs="Calibri" w:eastAsia="Calibri" w:hAnsi="Calibri"/>
                <w:b/>
                <w:bCs/>
                <w:color w:val="0C2340"/>
                <w:sz w:val="22"/>
                <w:szCs w:val="22"/>
              </w:rPr>
              <w:t xml:space="preserve">Tier 2 — Component License</w:t>
            </w:r>
          </w:p>
        </w:tc>
        <w:tc>
          <w:tcPr>
            <w:tcW w:type="dxa" w:w="6400"/>
            <w:tcBorders>
              <w:top w:val="single" w:color="CCCCBB" w:sz="1" w:space="0"/>
              <w:left w:val="single" w:color="CCCCBB" w:sz="1" w:space="0"/>
              <w:bottom w:val="single" w:color="CCCCBB" w:sz="1" w:space="0"/>
              <w:right w:val="single" w:color="CCCCBB" w:sz="1" w:space="0"/>
            </w:tcBorders>
            <w:shd w:fill="FAFAF5" w:val="clear"/>
            <w:tcMar>
              <w:top w:type="dxa" w:w="80"/>
              <w:left w:type="dxa" w:w="160"/>
              <w:bottom w:type="dxa" w:w="80"/>
              <w:right w:type="dxa" w:w="160"/>
            </w:tcMar>
          </w:tcPr>
          <w:p>
            <w:r>
              <w:rPr>
                <w:rFonts w:ascii="Calibri" w:cs="Calibri" w:eastAsia="Calibri" w:hAnsi="Calibri"/>
                <w:color w:val="1E1E2E"/>
                <w:sz w:val="22"/>
                <w:szCs w:val="22"/>
              </w:rPr>
              <w:t xml:space="preserve">For organizations implementing specific G.O.D.S components without full system deployment. Lower cost. Does not carry G.O.D.S brand certification.</w:t>
            </w:r>
          </w:p>
        </w:tc>
      </w:tr>
      <w:tr>
        <w:tc>
          <w:tcPr>
            <w:tcW w:type="dxa" w:w="2600"/>
            <w:tcBorders>
              <w:top w:val="single" w:color="CCCCBB" w:sz="1" w:space="0"/>
              <w:left w:val="single" w:color="CCCCBB" w:sz="1" w:space="0"/>
              <w:bottom w:val="single" w:color="CCCCBB" w:sz="1" w:space="0"/>
              <w:right w:val="single" w:color="CCCCBB" w:sz="1" w:space="0"/>
            </w:tcBorders>
            <w:shd w:fill="EDE8D8" w:val="clear"/>
            <w:tcMar>
              <w:top w:type="dxa" w:w="80"/>
              <w:left w:type="dxa" w:w="160"/>
              <w:bottom w:type="dxa" w:w="80"/>
              <w:right w:type="dxa" w:w="160"/>
            </w:tcMar>
          </w:tcPr>
          <w:p>
            <w:r>
              <w:rPr>
                <w:rFonts w:ascii="Calibri" w:cs="Calibri" w:eastAsia="Calibri" w:hAnsi="Calibri"/>
                <w:b/>
                <w:bCs/>
                <w:color w:val="0C2340"/>
                <w:sz w:val="22"/>
                <w:szCs w:val="22"/>
              </w:rPr>
              <w:t xml:space="preserve">Open Standards Track</w:t>
            </w:r>
          </w:p>
        </w:tc>
        <w:tc>
          <w:tcPr>
            <w:tcW w:type="dxa" w:w="6400"/>
            <w:tcBorders>
              <w:top w:val="single" w:color="CCCCBB" w:sz="1" w:space="0"/>
              <w:left w:val="single" w:color="CCCCBB" w:sz="1" w:space="0"/>
              <w:bottom w:val="single" w:color="CCCCBB" w:sz="1" w:space="0"/>
              <w:right w:val="single" w:color="CCCCBB" w:sz="1" w:space="0"/>
            </w:tcBorders>
            <w:shd w:fill="FFFFFF" w:val="clear"/>
            <w:tcMar>
              <w:top w:type="dxa" w:w="80"/>
              <w:left w:type="dxa" w:w="160"/>
              <w:bottom w:type="dxa" w:w="80"/>
              <w:right w:type="dxa" w:w="160"/>
            </w:tcMar>
          </w:tcPr>
          <w:p>
            <w:r>
              <w:rPr>
                <w:rFonts w:ascii="Calibri" w:cs="Calibri" w:eastAsia="Calibri" w:hAnsi="Calibri"/>
                <w:color w:val="1E1E2E"/>
                <w:sz w:val="22"/>
                <w:szCs w:val="22"/>
              </w:rPr>
              <w:t xml:space="preserve">UDOC governance frameworks will transition over time to open-standard publication with paid certification and support services. Maximizes adoption while preserving sustainability.</w:t>
            </w:r>
          </w:p>
        </w:tc>
      </w:tr>
    </w:tbl>
    <w:p>
      <w:pPr>
        <w:spacing w:before="280" w:after="80"/>
      </w:pPr>
      <w:r>
        <w:rPr>
          <w:rFonts w:ascii="Georgia" w:cs="Georgia" w:eastAsia="Georgia" w:hAnsi="Georgia"/>
          <w:b/>
          <w:bCs/>
          <w:color w:val="0C2340"/>
          <w:sz w:val="24"/>
          <w:szCs w:val="24"/>
        </w:rPr>
        <w:t xml:space="preserve">B.4 IP Trust Governance</w:t>
      </w:r>
    </w:p>
    <w:p>
      <w:pPr>
        <w:spacing w:before="80" w:after="80"/>
        <w:jc w:val="both"/>
      </w:pPr>
      <w:r>
        <w:rPr>
          <w:rFonts w:ascii="Calibri" w:cs="Calibri" w:eastAsia="Calibri" w:hAnsi="Calibri"/>
          <w:color w:val="1E1E2E"/>
          <w:sz w:val="22"/>
          <w:szCs w:val="22"/>
        </w:rPr>
        <w:t xml:space="preserve">The G.O.D.S IP Trust holds all core intellectual property in perpetual trust, independent of the corporate entities. Three independent trustees appointed for 7-year fixed terms by the Constitutional Oversight Board. Trustees hold fiduciary obligations to the constitutional mission — not to commercial entities or investors. Unanimous trustee agreement is required for any IP disposition. Absolute prohibition on sale or transfer of core G.O.D.S IP to any entity not operating under the constitutional framework. This prohibition cannot be overridden by commercial pressure, board decision, or shareholder vote.</w:t>
      </w:r>
    </w:p>
    <w:p>
      <w:r>
        <w:br w:type="page"/>
      </w:r>
    </w:p>
    <w:p>
      <w:pPr>
        <w:pBdr>
          <w:bottom w:val="single" w:color="C9A84C" w:sz="8" w:space="4"/>
        </w:pBdr>
        <w:spacing w:before="440" w:after="120"/>
      </w:pPr>
      <w:r>
        <w:rPr>
          <w:rFonts w:ascii="Georgia" w:cs="Georgia" w:eastAsia="Georgia" w:hAnsi="Georgia"/>
          <w:b/>
          <w:bCs/>
          <w:color w:val="B8972A"/>
          <w:sz w:val="28"/>
          <w:szCs w:val="28"/>
        </w:rPr>
        <w:t xml:space="preserve">ANNEXURE C  </w:t>
      </w:r>
      <w:r>
        <w:rPr>
          <w:rFonts w:ascii="Georgia" w:cs="Georgia" w:eastAsia="Georgia" w:hAnsi="Georgia"/>
          <w:b/>
          <w:bCs/>
          <w:color w:val="0C2340"/>
          <w:sz w:val="28"/>
          <w:szCs w:val="28"/>
        </w:rPr>
        <w:t xml:space="preserve">S.E.T.H.S Operations Manual — SDU Specifications &amp; Daily Program</w:t>
      </w:r>
    </w:p>
    <w:p>
      <w:pPr>
        <w:spacing w:before="280" w:after="80"/>
      </w:pPr>
      <w:r>
        <w:rPr>
          <w:rFonts w:ascii="Georgia" w:cs="Georgia" w:eastAsia="Georgia" w:hAnsi="Georgia"/>
          <w:b/>
          <w:bCs/>
          <w:color w:val="0C2340"/>
          <w:sz w:val="24"/>
          <w:szCs w:val="24"/>
        </w:rPr>
        <w:t xml:space="preserve">C.1 SDU Facility Minimum Specifications</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2600"/>
        <w:gridCol w:w="6400"/>
      </w:tblGrid>
      <w:tr>
        <w:tc>
          <w:tcPr>
            <w:tcW w:type="dxa" w:w="2600"/>
            <w:tcBorders>
              <w:top w:val="single" w:color="CCCCBB" w:sz="1" w:space="0"/>
              <w:left w:val="single" w:color="CCCCBB" w:sz="1" w:space="0"/>
              <w:bottom w:val="single" w:color="CCCCBB" w:sz="1" w:space="0"/>
              <w:right w:val="single" w:color="CCCCBB" w:sz="1" w:space="0"/>
            </w:tcBorders>
            <w:shd w:fill="EDE8D8" w:val="clear"/>
            <w:tcMar>
              <w:top w:type="dxa" w:w="80"/>
              <w:left w:type="dxa" w:w="160"/>
              <w:bottom w:type="dxa" w:w="80"/>
              <w:right w:type="dxa" w:w="160"/>
            </w:tcMar>
          </w:tcPr>
          <w:p>
            <w:r>
              <w:rPr>
                <w:rFonts w:ascii="Calibri" w:cs="Calibri" w:eastAsia="Calibri" w:hAnsi="Calibri"/>
                <w:b/>
                <w:bCs/>
                <w:color w:val="0C2340"/>
                <w:sz w:val="22"/>
                <w:szCs w:val="22"/>
              </w:rPr>
              <w:t xml:space="preserve">Accommodation</w:t>
            </w:r>
          </w:p>
        </w:tc>
        <w:tc>
          <w:tcPr>
            <w:tcW w:type="dxa" w:w="6400"/>
            <w:tcBorders>
              <w:top w:val="single" w:color="CCCCBB" w:sz="1" w:space="0"/>
              <w:left w:val="single" w:color="CCCCBB" w:sz="1" w:space="0"/>
              <w:bottom w:val="single" w:color="CCCCBB" w:sz="1" w:space="0"/>
              <w:right w:val="single" w:color="CCCCBB" w:sz="1" w:space="0"/>
            </w:tcBorders>
            <w:shd w:fill="FFFFFF" w:val="clear"/>
            <w:tcMar>
              <w:top w:type="dxa" w:w="80"/>
              <w:left w:type="dxa" w:w="160"/>
              <w:bottom w:type="dxa" w:w="80"/>
              <w:right w:type="dxa" w:w="160"/>
            </w:tcMar>
          </w:tcPr>
          <w:p>
            <w:r>
              <w:rPr>
                <w:rFonts w:ascii="Calibri" w:cs="Calibri" w:eastAsia="Calibri" w:hAnsi="Calibri"/>
                <w:color w:val="1E1E2E"/>
                <w:sz w:val="22"/>
                <w:szCs w:val="22"/>
              </w:rPr>
              <w:t xml:space="preserve">South African Housing Code minimum standards where residential component is included</w:t>
            </w:r>
          </w:p>
        </w:tc>
      </w:tr>
      <w:tr>
        <w:tc>
          <w:tcPr>
            <w:tcW w:type="dxa" w:w="2600"/>
            <w:tcBorders>
              <w:top w:val="single" w:color="CCCCBB" w:sz="1" w:space="0"/>
              <w:left w:val="single" w:color="CCCCBB" w:sz="1" w:space="0"/>
              <w:bottom w:val="single" w:color="CCCCBB" w:sz="1" w:space="0"/>
              <w:right w:val="single" w:color="CCCCBB" w:sz="1" w:space="0"/>
            </w:tcBorders>
            <w:shd w:fill="F5F2EA" w:val="clear"/>
            <w:tcMar>
              <w:top w:type="dxa" w:w="80"/>
              <w:left w:type="dxa" w:w="160"/>
              <w:bottom w:type="dxa" w:w="80"/>
              <w:right w:type="dxa" w:w="160"/>
            </w:tcMar>
          </w:tcPr>
          <w:p>
            <w:r>
              <w:rPr>
                <w:rFonts w:ascii="Calibri" w:cs="Calibri" w:eastAsia="Calibri" w:hAnsi="Calibri"/>
                <w:b/>
                <w:bCs/>
                <w:color w:val="0C2340"/>
                <w:sz w:val="22"/>
                <w:szCs w:val="22"/>
              </w:rPr>
              <w:t xml:space="preserve">Training Rooms</w:t>
            </w:r>
          </w:p>
        </w:tc>
        <w:tc>
          <w:tcPr>
            <w:tcW w:type="dxa" w:w="6400"/>
            <w:tcBorders>
              <w:top w:val="single" w:color="CCCCBB" w:sz="1" w:space="0"/>
              <w:left w:val="single" w:color="CCCCBB" w:sz="1" w:space="0"/>
              <w:bottom w:val="single" w:color="CCCCBB" w:sz="1" w:space="0"/>
              <w:right w:val="single" w:color="CCCCBB" w:sz="1" w:space="0"/>
            </w:tcBorders>
            <w:shd w:fill="FAFAF5" w:val="clear"/>
            <w:tcMar>
              <w:top w:type="dxa" w:w="80"/>
              <w:left w:type="dxa" w:w="160"/>
              <w:bottom w:type="dxa" w:w="80"/>
              <w:right w:type="dxa" w:w="160"/>
            </w:tcMar>
          </w:tcPr>
          <w:p>
            <w:r>
              <w:rPr>
                <w:rFonts w:ascii="Calibri" w:cs="Calibri" w:eastAsia="Calibri" w:hAnsi="Calibri"/>
                <w:color w:val="1E1E2E"/>
                <w:sz w:val="22"/>
                <w:szCs w:val="22"/>
              </w:rPr>
              <w:t xml:space="preserve">Minimum 12sqm per participant; fully equipped for vocational and classroom delivery</w:t>
            </w:r>
          </w:p>
        </w:tc>
      </w:tr>
      <w:tr>
        <w:tc>
          <w:tcPr>
            <w:tcW w:type="dxa" w:w="2600"/>
            <w:tcBorders>
              <w:top w:val="single" w:color="CCCCBB" w:sz="1" w:space="0"/>
              <w:left w:val="single" w:color="CCCCBB" w:sz="1" w:space="0"/>
              <w:bottom w:val="single" w:color="CCCCBB" w:sz="1" w:space="0"/>
              <w:right w:val="single" w:color="CCCCBB" w:sz="1" w:space="0"/>
            </w:tcBorders>
            <w:shd w:fill="EDE8D8" w:val="clear"/>
            <w:tcMar>
              <w:top w:type="dxa" w:w="80"/>
              <w:left w:type="dxa" w:w="160"/>
              <w:bottom w:type="dxa" w:w="80"/>
              <w:right w:type="dxa" w:w="160"/>
            </w:tcMar>
          </w:tcPr>
          <w:p>
            <w:r>
              <w:rPr>
                <w:rFonts w:ascii="Calibri" w:cs="Calibri" w:eastAsia="Calibri" w:hAnsi="Calibri"/>
                <w:b/>
                <w:bCs/>
                <w:color w:val="0C2340"/>
                <w:sz w:val="22"/>
                <w:szCs w:val="22"/>
              </w:rPr>
              <w:t xml:space="preserve">Counseling Rooms</w:t>
            </w:r>
          </w:p>
        </w:tc>
        <w:tc>
          <w:tcPr>
            <w:tcW w:type="dxa" w:w="6400"/>
            <w:tcBorders>
              <w:top w:val="single" w:color="CCCCBB" w:sz="1" w:space="0"/>
              <w:left w:val="single" w:color="CCCCBB" w:sz="1" w:space="0"/>
              <w:bottom w:val="single" w:color="CCCCBB" w:sz="1" w:space="0"/>
              <w:right w:val="single" w:color="CCCCBB" w:sz="1" w:space="0"/>
            </w:tcBorders>
            <w:shd w:fill="FFFFFF" w:val="clear"/>
            <w:tcMar>
              <w:top w:type="dxa" w:w="80"/>
              <w:left w:type="dxa" w:w="160"/>
              <w:bottom w:type="dxa" w:w="80"/>
              <w:right w:type="dxa" w:w="160"/>
            </w:tcMar>
          </w:tcPr>
          <w:p>
            <w:r>
              <w:rPr>
                <w:rFonts w:ascii="Calibri" w:cs="Calibri" w:eastAsia="Calibri" w:hAnsi="Calibri"/>
                <w:color w:val="1E1E2E"/>
                <w:sz w:val="22"/>
                <w:szCs w:val="22"/>
              </w:rPr>
              <w:t xml:space="preserve">Minimum 3 individual rooms per 50 participants; soundproofed</w:t>
            </w:r>
          </w:p>
        </w:tc>
      </w:tr>
      <w:tr>
        <w:tc>
          <w:tcPr>
            <w:tcW w:type="dxa" w:w="2600"/>
            <w:tcBorders>
              <w:top w:val="single" w:color="CCCCBB" w:sz="1" w:space="0"/>
              <w:left w:val="single" w:color="CCCCBB" w:sz="1" w:space="0"/>
              <w:bottom w:val="single" w:color="CCCCBB" w:sz="1" w:space="0"/>
              <w:right w:val="single" w:color="CCCCBB" w:sz="1" w:space="0"/>
            </w:tcBorders>
            <w:shd w:fill="F5F2EA" w:val="clear"/>
            <w:tcMar>
              <w:top w:type="dxa" w:w="80"/>
              <w:left w:type="dxa" w:w="160"/>
              <w:bottom w:type="dxa" w:w="80"/>
              <w:right w:type="dxa" w:w="160"/>
            </w:tcMar>
          </w:tcPr>
          <w:p>
            <w:r>
              <w:rPr>
                <w:rFonts w:ascii="Calibri" w:cs="Calibri" w:eastAsia="Calibri" w:hAnsi="Calibri"/>
                <w:b/>
                <w:bCs/>
                <w:color w:val="0C2340"/>
                <w:sz w:val="22"/>
                <w:szCs w:val="22"/>
              </w:rPr>
              <w:t xml:space="preserve">Administration</w:t>
            </w:r>
          </w:p>
        </w:tc>
        <w:tc>
          <w:tcPr>
            <w:tcW w:type="dxa" w:w="6400"/>
            <w:tcBorders>
              <w:top w:val="single" w:color="CCCCBB" w:sz="1" w:space="0"/>
              <w:left w:val="single" w:color="CCCCBB" w:sz="1" w:space="0"/>
              <w:bottom w:val="single" w:color="CCCCBB" w:sz="1" w:space="0"/>
              <w:right w:val="single" w:color="CCCCBB" w:sz="1" w:space="0"/>
            </w:tcBorders>
            <w:shd w:fill="FAFAF5" w:val="clear"/>
            <w:tcMar>
              <w:top w:type="dxa" w:w="80"/>
              <w:left w:type="dxa" w:w="160"/>
              <w:bottom w:type="dxa" w:w="80"/>
              <w:right w:type="dxa" w:w="160"/>
            </w:tcMar>
          </w:tcPr>
          <w:p>
            <w:r>
              <w:rPr>
                <w:rFonts w:ascii="Calibri" w:cs="Calibri" w:eastAsia="Calibri" w:hAnsi="Calibri"/>
                <w:color w:val="1E1E2E"/>
                <w:sz w:val="22"/>
                <w:szCs w:val="22"/>
              </w:rPr>
              <w:t xml:space="preserve">Staff workspace; secure record storage; UDOC-compliant data management terminals</w:t>
            </w:r>
          </w:p>
        </w:tc>
      </w:tr>
      <w:tr>
        <w:tc>
          <w:tcPr>
            <w:tcW w:type="dxa" w:w="2600"/>
            <w:tcBorders>
              <w:top w:val="single" w:color="CCCCBB" w:sz="1" w:space="0"/>
              <w:left w:val="single" w:color="CCCCBB" w:sz="1" w:space="0"/>
              <w:bottom w:val="single" w:color="CCCCBB" w:sz="1" w:space="0"/>
              <w:right w:val="single" w:color="CCCCBB" w:sz="1" w:space="0"/>
            </w:tcBorders>
            <w:shd w:fill="EDE8D8" w:val="clear"/>
            <w:tcMar>
              <w:top w:type="dxa" w:w="80"/>
              <w:left w:type="dxa" w:w="160"/>
              <w:bottom w:type="dxa" w:w="80"/>
              <w:right w:type="dxa" w:w="160"/>
            </w:tcMar>
          </w:tcPr>
          <w:p>
            <w:r>
              <w:rPr>
                <w:rFonts w:ascii="Calibri" w:cs="Calibri" w:eastAsia="Calibri" w:hAnsi="Calibri"/>
                <w:b/>
                <w:bCs/>
                <w:color w:val="0C2340"/>
                <w:sz w:val="22"/>
                <w:szCs w:val="22"/>
              </w:rPr>
              <w:t xml:space="preserve">Recreation</w:t>
            </w:r>
          </w:p>
        </w:tc>
        <w:tc>
          <w:tcPr>
            <w:tcW w:type="dxa" w:w="6400"/>
            <w:tcBorders>
              <w:top w:val="single" w:color="CCCCBB" w:sz="1" w:space="0"/>
              <w:left w:val="single" w:color="CCCCBB" w:sz="1" w:space="0"/>
              <w:bottom w:val="single" w:color="CCCCBB" w:sz="1" w:space="0"/>
              <w:right w:val="single" w:color="CCCCBB" w:sz="1" w:space="0"/>
            </w:tcBorders>
            <w:shd w:fill="FFFFFF" w:val="clear"/>
            <w:tcMar>
              <w:top w:type="dxa" w:w="80"/>
              <w:left w:type="dxa" w:w="160"/>
              <w:bottom w:type="dxa" w:w="80"/>
              <w:right w:type="dxa" w:w="160"/>
            </w:tcMar>
          </w:tcPr>
          <w:p>
            <w:r>
              <w:rPr>
                <w:rFonts w:ascii="Calibri" w:cs="Calibri" w:eastAsia="Calibri" w:hAnsi="Calibri"/>
                <w:color w:val="1E1E2E"/>
                <w:sz w:val="22"/>
                <w:szCs w:val="22"/>
              </w:rPr>
              <w:t xml:space="preserve">Minimum 200sqm outdoor; indoor common area for communal meals and evening program</w:t>
            </w:r>
          </w:p>
        </w:tc>
      </w:tr>
      <w:tr>
        <w:tc>
          <w:tcPr>
            <w:tcW w:type="dxa" w:w="2600"/>
            <w:tcBorders>
              <w:top w:val="single" w:color="CCCCBB" w:sz="1" w:space="0"/>
              <w:left w:val="single" w:color="CCCCBB" w:sz="1" w:space="0"/>
              <w:bottom w:val="single" w:color="CCCCBB" w:sz="1" w:space="0"/>
              <w:right w:val="single" w:color="CCCCBB" w:sz="1" w:space="0"/>
            </w:tcBorders>
            <w:shd w:fill="F5F2EA" w:val="clear"/>
            <w:tcMar>
              <w:top w:type="dxa" w:w="80"/>
              <w:left w:type="dxa" w:w="160"/>
              <w:bottom w:type="dxa" w:w="80"/>
              <w:right w:type="dxa" w:w="160"/>
            </w:tcMar>
          </w:tcPr>
          <w:p>
            <w:r>
              <w:rPr>
                <w:rFonts w:ascii="Calibri" w:cs="Calibri" w:eastAsia="Calibri" w:hAnsi="Calibri"/>
                <w:b/>
                <w:bCs/>
                <w:color w:val="0C2340"/>
                <w:sz w:val="22"/>
                <w:szCs w:val="22"/>
              </w:rPr>
              <w:t xml:space="preserve">Technology</w:t>
            </w:r>
          </w:p>
        </w:tc>
        <w:tc>
          <w:tcPr>
            <w:tcW w:type="dxa" w:w="6400"/>
            <w:tcBorders>
              <w:top w:val="single" w:color="CCCCBB" w:sz="1" w:space="0"/>
              <w:left w:val="single" w:color="CCCCBB" w:sz="1" w:space="0"/>
              <w:bottom w:val="single" w:color="CCCCBB" w:sz="1" w:space="0"/>
              <w:right w:val="single" w:color="CCCCBB" w:sz="1" w:space="0"/>
            </w:tcBorders>
            <w:shd w:fill="FAFAF5" w:val="clear"/>
            <w:tcMar>
              <w:top w:type="dxa" w:w="80"/>
              <w:left w:type="dxa" w:w="160"/>
              <w:bottom w:type="dxa" w:w="80"/>
              <w:right w:type="dxa" w:w="160"/>
            </w:tcMar>
          </w:tcPr>
          <w:p>
            <w:r>
              <w:rPr>
                <w:rFonts w:ascii="Calibri" w:cs="Calibri" w:eastAsia="Calibri" w:hAnsi="Calibri"/>
                <w:color w:val="1E1E2E"/>
                <w:sz w:val="22"/>
                <w:szCs w:val="22"/>
              </w:rPr>
              <w:t xml:space="preserve">Behavioral monitoring dashboard (attendance and incident — not surveillance); biometric check-in; placement portal</w:t>
            </w:r>
          </w:p>
        </w:tc>
      </w:tr>
    </w:tbl>
    <w:p>
      <w:pPr>
        <w:spacing w:before="280" w:after="80"/>
      </w:pPr>
      <w:r>
        <w:rPr>
          <w:rFonts w:ascii="Georgia" w:cs="Georgia" w:eastAsia="Georgia" w:hAnsi="Georgia"/>
          <w:b/>
          <w:bCs/>
          <w:color w:val="0C2340"/>
          <w:sz w:val="24"/>
          <w:szCs w:val="24"/>
        </w:rPr>
        <w:t xml:space="preserve">C.2 Daily Program Structure — High-Risk Cohort</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2600"/>
        <w:gridCol w:w="6400"/>
      </w:tblGrid>
      <w:tr>
        <w:tc>
          <w:tcPr>
            <w:tcW w:type="dxa" w:w="2600"/>
            <w:tcBorders>
              <w:top w:val="single" w:color="CCCCBB" w:sz="1" w:space="0"/>
              <w:left w:val="single" w:color="CCCCBB" w:sz="1" w:space="0"/>
              <w:bottom w:val="single" w:color="CCCCBB" w:sz="1" w:space="0"/>
              <w:right w:val="single" w:color="CCCCBB" w:sz="1" w:space="0"/>
            </w:tcBorders>
            <w:shd w:fill="EDE8D8" w:val="clear"/>
            <w:tcMar>
              <w:top w:type="dxa" w:w="80"/>
              <w:left w:type="dxa" w:w="160"/>
              <w:bottom w:type="dxa" w:w="80"/>
              <w:right w:type="dxa" w:w="160"/>
            </w:tcMar>
          </w:tcPr>
          <w:p>
            <w:r>
              <w:rPr>
                <w:rFonts w:ascii="Calibri" w:cs="Calibri" w:eastAsia="Calibri" w:hAnsi="Calibri"/>
                <w:b/>
                <w:bCs/>
                <w:color w:val="0C2340"/>
                <w:sz w:val="22"/>
                <w:szCs w:val="22"/>
              </w:rPr>
              <w:t xml:space="preserve">05:30</w:t>
            </w:r>
          </w:p>
        </w:tc>
        <w:tc>
          <w:tcPr>
            <w:tcW w:type="dxa" w:w="6400"/>
            <w:tcBorders>
              <w:top w:val="single" w:color="CCCCBB" w:sz="1" w:space="0"/>
              <w:left w:val="single" w:color="CCCCBB" w:sz="1" w:space="0"/>
              <w:bottom w:val="single" w:color="CCCCBB" w:sz="1" w:space="0"/>
              <w:right w:val="single" w:color="CCCCBB" w:sz="1" w:space="0"/>
            </w:tcBorders>
            <w:shd w:fill="FFFFFF" w:val="clear"/>
            <w:tcMar>
              <w:top w:type="dxa" w:w="80"/>
              <w:left w:type="dxa" w:w="160"/>
              <w:bottom w:type="dxa" w:w="80"/>
              <w:right w:type="dxa" w:w="160"/>
            </w:tcMar>
          </w:tcPr>
          <w:p>
            <w:r>
              <w:rPr>
                <w:rFonts w:ascii="Calibri" w:cs="Calibri" w:eastAsia="Calibri" w:hAnsi="Calibri"/>
                <w:color w:val="1E1E2E"/>
                <w:sz w:val="22"/>
                <w:szCs w:val="22"/>
              </w:rPr>
              <w:t xml:space="preserve">Wake-up and personal routine — hygiene, bed-making, room maintenance. Daily practice in self-discipline.</w:t>
            </w:r>
          </w:p>
        </w:tc>
      </w:tr>
      <w:tr>
        <w:tc>
          <w:tcPr>
            <w:tcW w:type="dxa" w:w="2600"/>
            <w:tcBorders>
              <w:top w:val="single" w:color="CCCCBB" w:sz="1" w:space="0"/>
              <w:left w:val="single" w:color="CCCCBB" w:sz="1" w:space="0"/>
              <w:bottom w:val="single" w:color="CCCCBB" w:sz="1" w:space="0"/>
              <w:right w:val="single" w:color="CCCCBB" w:sz="1" w:space="0"/>
            </w:tcBorders>
            <w:shd w:fill="F5F2EA" w:val="clear"/>
            <w:tcMar>
              <w:top w:type="dxa" w:w="80"/>
              <w:left w:type="dxa" w:w="160"/>
              <w:bottom w:type="dxa" w:w="80"/>
              <w:right w:type="dxa" w:w="160"/>
            </w:tcMar>
          </w:tcPr>
          <w:p>
            <w:r>
              <w:rPr>
                <w:rFonts w:ascii="Calibri" w:cs="Calibri" w:eastAsia="Calibri" w:hAnsi="Calibri"/>
                <w:b/>
                <w:bCs/>
                <w:color w:val="0C2340"/>
                <w:sz w:val="22"/>
                <w:szCs w:val="22"/>
              </w:rPr>
              <w:t xml:space="preserve">06:30</w:t>
            </w:r>
          </w:p>
        </w:tc>
        <w:tc>
          <w:tcPr>
            <w:tcW w:type="dxa" w:w="6400"/>
            <w:tcBorders>
              <w:top w:val="single" w:color="CCCCBB" w:sz="1" w:space="0"/>
              <w:left w:val="single" w:color="CCCCBB" w:sz="1" w:space="0"/>
              <w:bottom w:val="single" w:color="CCCCBB" w:sz="1" w:space="0"/>
              <w:right w:val="single" w:color="CCCCBB" w:sz="1" w:space="0"/>
            </w:tcBorders>
            <w:shd w:fill="FAFAF5" w:val="clear"/>
            <w:tcMar>
              <w:top w:type="dxa" w:w="80"/>
              <w:left w:type="dxa" w:w="160"/>
              <w:bottom w:type="dxa" w:w="80"/>
              <w:right w:type="dxa" w:w="160"/>
            </w:tcMar>
          </w:tcPr>
          <w:p>
            <w:r>
              <w:rPr>
                <w:rFonts w:ascii="Calibri" w:cs="Calibri" w:eastAsia="Calibri" w:hAnsi="Calibri"/>
                <w:color w:val="1E1E2E"/>
                <w:sz w:val="22"/>
                <w:szCs w:val="22"/>
              </w:rPr>
              <w:t xml:space="preserve">Group exercise (30 min) — physical activity is a behavioral health intervention, not optional.</w:t>
            </w:r>
          </w:p>
        </w:tc>
      </w:tr>
      <w:tr>
        <w:tc>
          <w:tcPr>
            <w:tcW w:type="dxa" w:w="2600"/>
            <w:tcBorders>
              <w:top w:val="single" w:color="CCCCBB" w:sz="1" w:space="0"/>
              <w:left w:val="single" w:color="CCCCBB" w:sz="1" w:space="0"/>
              <w:bottom w:val="single" w:color="CCCCBB" w:sz="1" w:space="0"/>
              <w:right w:val="single" w:color="CCCCBB" w:sz="1" w:space="0"/>
            </w:tcBorders>
            <w:shd w:fill="EDE8D8" w:val="clear"/>
            <w:tcMar>
              <w:top w:type="dxa" w:w="80"/>
              <w:left w:type="dxa" w:w="160"/>
              <w:bottom w:type="dxa" w:w="80"/>
              <w:right w:type="dxa" w:w="160"/>
            </w:tcMar>
          </w:tcPr>
          <w:p>
            <w:r>
              <w:rPr>
                <w:rFonts w:ascii="Calibri" w:cs="Calibri" w:eastAsia="Calibri" w:hAnsi="Calibri"/>
                <w:b/>
                <w:bCs/>
                <w:color w:val="0C2340"/>
                <w:sz w:val="22"/>
                <w:szCs w:val="22"/>
              </w:rPr>
              <w:t xml:space="preserve">07:00</w:t>
            </w:r>
          </w:p>
        </w:tc>
        <w:tc>
          <w:tcPr>
            <w:tcW w:type="dxa" w:w="6400"/>
            <w:tcBorders>
              <w:top w:val="single" w:color="CCCCBB" w:sz="1" w:space="0"/>
              <w:left w:val="single" w:color="CCCCBB" w:sz="1" w:space="0"/>
              <w:bottom w:val="single" w:color="CCCCBB" w:sz="1" w:space="0"/>
              <w:right w:val="single" w:color="CCCCBB" w:sz="1" w:space="0"/>
            </w:tcBorders>
            <w:shd w:fill="FFFFFF" w:val="clear"/>
            <w:tcMar>
              <w:top w:type="dxa" w:w="80"/>
              <w:left w:type="dxa" w:w="160"/>
              <w:bottom w:type="dxa" w:w="80"/>
              <w:right w:type="dxa" w:w="160"/>
            </w:tcMar>
          </w:tcPr>
          <w:p>
            <w:r>
              <w:rPr>
                <w:rFonts w:ascii="Calibri" w:cs="Calibri" w:eastAsia="Calibri" w:hAnsi="Calibri"/>
                <w:color w:val="1E1E2E"/>
                <w:sz w:val="22"/>
                <w:szCs w:val="22"/>
              </w:rPr>
              <w:t xml:space="preserve">Communal breakfast — social skill development; punctuality practice.</w:t>
            </w:r>
          </w:p>
        </w:tc>
      </w:tr>
      <w:tr>
        <w:tc>
          <w:tcPr>
            <w:tcW w:type="dxa" w:w="2600"/>
            <w:tcBorders>
              <w:top w:val="single" w:color="CCCCBB" w:sz="1" w:space="0"/>
              <w:left w:val="single" w:color="CCCCBB" w:sz="1" w:space="0"/>
              <w:bottom w:val="single" w:color="CCCCBB" w:sz="1" w:space="0"/>
              <w:right w:val="single" w:color="CCCCBB" w:sz="1" w:space="0"/>
            </w:tcBorders>
            <w:shd w:fill="F5F2EA" w:val="clear"/>
            <w:tcMar>
              <w:top w:type="dxa" w:w="80"/>
              <w:left w:type="dxa" w:w="160"/>
              <w:bottom w:type="dxa" w:w="80"/>
              <w:right w:type="dxa" w:w="160"/>
            </w:tcMar>
          </w:tcPr>
          <w:p>
            <w:r>
              <w:rPr>
                <w:rFonts w:ascii="Calibri" w:cs="Calibri" w:eastAsia="Calibri" w:hAnsi="Calibri"/>
                <w:b/>
                <w:bCs/>
                <w:color w:val="0C2340"/>
                <w:sz w:val="22"/>
                <w:szCs w:val="22"/>
              </w:rPr>
              <w:t xml:space="preserve">07:45</w:t>
            </w:r>
          </w:p>
        </w:tc>
        <w:tc>
          <w:tcPr>
            <w:tcW w:type="dxa" w:w="6400"/>
            <w:tcBorders>
              <w:top w:val="single" w:color="CCCCBB" w:sz="1" w:space="0"/>
              <w:left w:val="single" w:color="CCCCBB" w:sz="1" w:space="0"/>
              <w:bottom w:val="single" w:color="CCCCBB" w:sz="1" w:space="0"/>
              <w:right w:val="single" w:color="CCCCBB" w:sz="1" w:space="0"/>
            </w:tcBorders>
            <w:shd w:fill="FAFAF5" w:val="clear"/>
            <w:tcMar>
              <w:top w:type="dxa" w:w="80"/>
              <w:left w:type="dxa" w:w="160"/>
              <w:bottom w:type="dxa" w:w="80"/>
              <w:right w:type="dxa" w:w="160"/>
            </w:tcMar>
          </w:tcPr>
          <w:p>
            <w:r>
              <w:rPr>
                <w:rFonts w:ascii="Calibri" w:cs="Calibri" w:eastAsia="Calibri" w:hAnsi="Calibri"/>
                <w:color w:val="1E1E2E"/>
                <w:sz w:val="22"/>
                <w:szCs w:val="22"/>
              </w:rPr>
              <w:t xml:space="preserve">Morning check-in (15 min) — attendance; daily objectives; behavioral contract compliance reviewed.</w:t>
            </w:r>
          </w:p>
        </w:tc>
      </w:tr>
      <w:tr>
        <w:tc>
          <w:tcPr>
            <w:tcW w:type="dxa" w:w="2600"/>
            <w:tcBorders>
              <w:top w:val="single" w:color="CCCCBB" w:sz="1" w:space="0"/>
              <w:left w:val="single" w:color="CCCCBB" w:sz="1" w:space="0"/>
              <w:bottom w:val="single" w:color="CCCCBB" w:sz="1" w:space="0"/>
              <w:right w:val="single" w:color="CCCCBB" w:sz="1" w:space="0"/>
            </w:tcBorders>
            <w:shd w:fill="EDE8D8" w:val="clear"/>
            <w:tcMar>
              <w:top w:type="dxa" w:w="80"/>
              <w:left w:type="dxa" w:w="160"/>
              <w:bottom w:type="dxa" w:w="80"/>
              <w:right w:type="dxa" w:w="160"/>
            </w:tcMar>
          </w:tcPr>
          <w:p>
            <w:r>
              <w:rPr>
                <w:rFonts w:ascii="Calibri" w:cs="Calibri" w:eastAsia="Calibri" w:hAnsi="Calibri"/>
                <w:b/>
                <w:bCs/>
                <w:color w:val="0C2340"/>
                <w:sz w:val="22"/>
                <w:szCs w:val="22"/>
              </w:rPr>
              <w:t xml:space="preserve">08:00–12:00</w:t>
            </w:r>
          </w:p>
        </w:tc>
        <w:tc>
          <w:tcPr>
            <w:tcW w:type="dxa" w:w="6400"/>
            <w:tcBorders>
              <w:top w:val="single" w:color="CCCCBB" w:sz="1" w:space="0"/>
              <w:left w:val="single" w:color="CCCCBB" w:sz="1" w:space="0"/>
              <w:bottom w:val="single" w:color="CCCCBB" w:sz="1" w:space="0"/>
              <w:right w:val="single" w:color="CCCCBB" w:sz="1" w:space="0"/>
            </w:tcBorders>
            <w:shd w:fill="FFFFFF" w:val="clear"/>
            <w:tcMar>
              <w:top w:type="dxa" w:w="80"/>
              <w:left w:type="dxa" w:w="160"/>
              <w:bottom w:type="dxa" w:w="80"/>
              <w:right w:type="dxa" w:w="160"/>
            </w:tcMar>
          </w:tcPr>
          <w:p>
            <w:r>
              <w:rPr>
                <w:rFonts w:ascii="Calibri" w:cs="Calibri" w:eastAsia="Calibri" w:hAnsi="Calibri"/>
                <w:color w:val="1E1E2E"/>
                <w:sz w:val="22"/>
                <w:szCs w:val="22"/>
              </w:rPr>
              <w:t xml:space="preserve">Skills training block — vocational, technical, or academic development aligned with employment pathway.</w:t>
            </w:r>
          </w:p>
        </w:tc>
      </w:tr>
      <w:tr>
        <w:tc>
          <w:tcPr>
            <w:tcW w:type="dxa" w:w="2600"/>
            <w:tcBorders>
              <w:top w:val="single" w:color="CCCCBB" w:sz="1" w:space="0"/>
              <w:left w:val="single" w:color="CCCCBB" w:sz="1" w:space="0"/>
              <w:bottom w:val="single" w:color="CCCCBB" w:sz="1" w:space="0"/>
              <w:right w:val="single" w:color="CCCCBB" w:sz="1" w:space="0"/>
            </w:tcBorders>
            <w:shd w:fill="F5F2EA" w:val="clear"/>
            <w:tcMar>
              <w:top w:type="dxa" w:w="80"/>
              <w:left w:type="dxa" w:w="160"/>
              <w:bottom w:type="dxa" w:w="80"/>
              <w:right w:type="dxa" w:w="160"/>
            </w:tcMar>
          </w:tcPr>
          <w:p>
            <w:r>
              <w:rPr>
                <w:rFonts w:ascii="Calibri" w:cs="Calibri" w:eastAsia="Calibri" w:hAnsi="Calibri"/>
                <w:b/>
                <w:bCs/>
                <w:color w:val="0C2340"/>
                <w:sz w:val="22"/>
                <w:szCs w:val="22"/>
              </w:rPr>
              <w:t xml:space="preserve">12:00–13:00</w:t>
            </w:r>
          </w:p>
        </w:tc>
        <w:tc>
          <w:tcPr>
            <w:tcW w:type="dxa" w:w="6400"/>
            <w:tcBorders>
              <w:top w:val="single" w:color="CCCCBB" w:sz="1" w:space="0"/>
              <w:left w:val="single" w:color="CCCCBB" w:sz="1" w:space="0"/>
              <w:bottom w:val="single" w:color="CCCCBB" w:sz="1" w:space="0"/>
              <w:right w:val="single" w:color="CCCCBB" w:sz="1" w:space="0"/>
            </w:tcBorders>
            <w:shd w:fill="FAFAF5" w:val="clear"/>
            <w:tcMar>
              <w:top w:type="dxa" w:w="80"/>
              <w:left w:type="dxa" w:w="160"/>
              <w:bottom w:type="dxa" w:w="80"/>
              <w:right w:type="dxa" w:w="160"/>
            </w:tcMar>
          </w:tcPr>
          <w:p>
            <w:r>
              <w:rPr>
                <w:rFonts w:ascii="Calibri" w:cs="Calibri" w:eastAsia="Calibri" w:hAnsi="Calibri"/>
                <w:color w:val="1E1E2E"/>
                <w:sz w:val="22"/>
                <w:szCs w:val="22"/>
              </w:rPr>
              <w:t xml:space="preserve">Lunch and structured break.</w:t>
            </w:r>
          </w:p>
        </w:tc>
      </w:tr>
      <w:tr>
        <w:tc>
          <w:tcPr>
            <w:tcW w:type="dxa" w:w="2600"/>
            <w:tcBorders>
              <w:top w:val="single" w:color="CCCCBB" w:sz="1" w:space="0"/>
              <w:left w:val="single" w:color="CCCCBB" w:sz="1" w:space="0"/>
              <w:bottom w:val="single" w:color="CCCCBB" w:sz="1" w:space="0"/>
              <w:right w:val="single" w:color="CCCCBB" w:sz="1" w:space="0"/>
            </w:tcBorders>
            <w:shd w:fill="EDE8D8" w:val="clear"/>
            <w:tcMar>
              <w:top w:type="dxa" w:w="80"/>
              <w:left w:type="dxa" w:w="160"/>
              <w:bottom w:type="dxa" w:w="80"/>
              <w:right w:type="dxa" w:w="160"/>
            </w:tcMar>
          </w:tcPr>
          <w:p>
            <w:r>
              <w:rPr>
                <w:rFonts w:ascii="Calibri" w:cs="Calibri" w:eastAsia="Calibri" w:hAnsi="Calibri"/>
                <w:b/>
                <w:bCs/>
                <w:color w:val="0C2340"/>
                <w:sz w:val="22"/>
                <w:szCs w:val="22"/>
              </w:rPr>
              <w:t xml:space="preserve">13:00–17:00</w:t>
            </w:r>
          </w:p>
        </w:tc>
        <w:tc>
          <w:tcPr>
            <w:tcW w:type="dxa" w:w="6400"/>
            <w:tcBorders>
              <w:top w:val="single" w:color="CCCCBB" w:sz="1" w:space="0"/>
              <w:left w:val="single" w:color="CCCCBB" w:sz="1" w:space="0"/>
              <w:bottom w:val="single" w:color="CCCCBB" w:sz="1" w:space="0"/>
              <w:right w:val="single" w:color="CCCCBB" w:sz="1" w:space="0"/>
            </w:tcBorders>
            <w:shd w:fill="FFFFFF" w:val="clear"/>
            <w:tcMar>
              <w:top w:type="dxa" w:w="80"/>
              <w:left w:type="dxa" w:w="160"/>
              <w:bottom w:type="dxa" w:w="80"/>
              <w:right w:type="dxa" w:w="160"/>
            </w:tcMar>
          </w:tcPr>
          <w:p>
            <w:r>
              <w:rPr>
                <w:rFonts w:ascii="Calibri" w:cs="Calibri" w:eastAsia="Calibri" w:hAnsi="Calibri"/>
                <w:color w:val="1E1E2E"/>
                <w:sz w:val="22"/>
                <w:szCs w:val="22"/>
              </w:rPr>
              <w:t xml:space="preserve">Applied practice block — simulated work environments; employer site visits; group projects.</w:t>
            </w:r>
          </w:p>
        </w:tc>
      </w:tr>
      <w:tr>
        <w:tc>
          <w:tcPr>
            <w:tcW w:type="dxa" w:w="2600"/>
            <w:tcBorders>
              <w:top w:val="single" w:color="CCCCBB" w:sz="1" w:space="0"/>
              <w:left w:val="single" w:color="CCCCBB" w:sz="1" w:space="0"/>
              <w:bottom w:val="single" w:color="CCCCBB" w:sz="1" w:space="0"/>
              <w:right w:val="single" w:color="CCCCBB" w:sz="1" w:space="0"/>
            </w:tcBorders>
            <w:shd w:fill="F5F2EA" w:val="clear"/>
            <w:tcMar>
              <w:top w:type="dxa" w:w="80"/>
              <w:left w:type="dxa" w:w="160"/>
              <w:bottom w:type="dxa" w:w="80"/>
              <w:right w:type="dxa" w:w="160"/>
            </w:tcMar>
          </w:tcPr>
          <w:p>
            <w:r>
              <w:rPr>
                <w:rFonts w:ascii="Calibri" w:cs="Calibri" w:eastAsia="Calibri" w:hAnsi="Calibri"/>
                <w:b/>
                <w:bCs/>
                <w:color w:val="0C2340"/>
                <w:sz w:val="22"/>
                <w:szCs w:val="22"/>
              </w:rPr>
              <w:t xml:space="preserve">17:00–18:00</w:t>
            </w:r>
          </w:p>
        </w:tc>
        <w:tc>
          <w:tcPr>
            <w:tcW w:type="dxa" w:w="6400"/>
            <w:tcBorders>
              <w:top w:val="single" w:color="CCCCBB" w:sz="1" w:space="0"/>
              <w:left w:val="single" w:color="CCCCBB" w:sz="1" w:space="0"/>
              <w:bottom w:val="single" w:color="CCCCBB" w:sz="1" w:space="0"/>
              <w:right w:val="single" w:color="CCCCBB" w:sz="1" w:space="0"/>
            </w:tcBorders>
            <w:shd w:fill="FAFAF5" w:val="clear"/>
            <w:tcMar>
              <w:top w:type="dxa" w:w="80"/>
              <w:left w:type="dxa" w:w="160"/>
              <w:bottom w:type="dxa" w:w="80"/>
              <w:right w:type="dxa" w:w="160"/>
            </w:tcMar>
          </w:tcPr>
          <w:p>
            <w:r>
              <w:rPr>
                <w:rFonts w:ascii="Calibri" w:cs="Calibri" w:eastAsia="Calibri" w:hAnsi="Calibri"/>
                <w:color w:val="1E1E2E"/>
                <w:sz w:val="22"/>
                <w:szCs w:val="22"/>
              </w:rPr>
              <w:t xml:space="preserve">Individual development time — self-directed learning; counseling sessions; identity framework work.</w:t>
            </w:r>
          </w:p>
        </w:tc>
      </w:tr>
      <w:tr>
        <w:tc>
          <w:tcPr>
            <w:tcW w:type="dxa" w:w="2600"/>
            <w:tcBorders>
              <w:top w:val="single" w:color="CCCCBB" w:sz="1" w:space="0"/>
              <w:left w:val="single" w:color="CCCCBB" w:sz="1" w:space="0"/>
              <w:bottom w:val="single" w:color="CCCCBB" w:sz="1" w:space="0"/>
              <w:right w:val="single" w:color="CCCCBB" w:sz="1" w:space="0"/>
            </w:tcBorders>
            <w:shd w:fill="EDE8D8" w:val="clear"/>
            <w:tcMar>
              <w:top w:type="dxa" w:w="80"/>
              <w:left w:type="dxa" w:w="160"/>
              <w:bottom w:type="dxa" w:w="80"/>
              <w:right w:type="dxa" w:w="160"/>
            </w:tcMar>
          </w:tcPr>
          <w:p>
            <w:r>
              <w:rPr>
                <w:rFonts w:ascii="Calibri" w:cs="Calibri" w:eastAsia="Calibri" w:hAnsi="Calibri"/>
                <w:b/>
                <w:bCs/>
                <w:color w:val="0C2340"/>
                <w:sz w:val="22"/>
                <w:szCs w:val="22"/>
              </w:rPr>
              <w:t xml:space="preserve">18:00–19:30</w:t>
            </w:r>
          </w:p>
        </w:tc>
        <w:tc>
          <w:tcPr>
            <w:tcW w:type="dxa" w:w="6400"/>
            <w:tcBorders>
              <w:top w:val="single" w:color="CCCCBB" w:sz="1" w:space="0"/>
              <w:left w:val="single" w:color="CCCCBB" w:sz="1" w:space="0"/>
              <w:bottom w:val="single" w:color="CCCCBB" w:sz="1" w:space="0"/>
              <w:right w:val="single" w:color="CCCCBB" w:sz="1" w:space="0"/>
            </w:tcBorders>
            <w:shd w:fill="FFFFFF" w:val="clear"/>
            <w:tcMar>
              <w:top w:type="dxa" w:w="80"/>
              <w:left w:type="dxa" w:w="160"/>
              <w:bottom w:type="dxa" w:w="80"/>
              <w:right w:type="dxa" w:w="160"/>
            </w:tcMar>
          </w:tcPr>
          <w:p>
            <w:r>
              <w:rPr>
                <w:rFonts w:ascii="Calibri" w:cs="Calibri" w:eastAsia="Calibri" w:hAnsi="Calibri"/>
                <w:color w:val="1E1E2E"/>
                <w:sz w:val="22"/>
                <w:szCs w:val="22"/>
              </w:rPr>
              <w:t xml:space="preserve">Evening meal and communal time.</w:t>
            </w:r>
          </w:p>
        </w:tc>
      </w:tr>
      <w:tr>
        <w:tc>
          <w:tcPr>
            <w:tcW w:type="dxa" w:w="2600"/>
            <w:tcBorders>
              <w:top w:val="single" w:color="CCCCBB" w:sz="1" w:space="0"/>
              <w:left w:val="single" w:color="CCCCBB" w:sz="1" w:space="0"/>
              <w:bottom w:val="single" w:color="CCCCBB" w:sz="1" w:space="0"/>
              <w:right w:val="single" w:color="CCCCBB" w:sz="1" w:space="0"/>
            </w:tcBorders>
            <w:shd w:fill="F5F2EA" w:val="clear"/>
            <w:tcMar>
              <w:top w:type="dxa" w:w="80"/>
              <w:left w:type="dxa" w:w="160"/>
              <w:bottom w:type="dxa" w:w="80"/>
              <w:right w:type="dxa" w:w="160"/>
            </w:tcMar>
          </w:tcPr>
          <w:p>
            <w:r>
              <w:rPr>
                <w:rFonts w:ascii="Calibri" w:cs="Calibri" w:eastAsia="Calibri" w:hAnsi="Calibri"/>
                <w:b/>
                <w:bCs/>
                <w:color w:val="0C2340"/>
                <w:sz w:val="22"/>
                <w:szCs w:val="22"/>
              </w:rPr>
              <w:t xml:space="preserve">19:30–21:00</w:t>
            </w:r>
          </w:p>
        </w:tc>
        <w:tc>
          <w:tcPr>
            <w:tcW w:type="dxa" w:w="6400"/>
            <w:tcBorders>
              <w:top w:val="single" w:color="CCCCBB" w:sz="1" w:space="0"/>
              <w:left w:val="single" w:color="CCCCBB" w:sz="1" w:space="0"/>
              <w:bottom w:val="single" w:color="CCCCBB" w:sz="1" w:space="0"/>
              <w:right w:val="single" w:color="CCCCBB" w:sz="1" w:space="0"/>
            </w:tcBorders>
            <w:shd w:fill="FAFAF5" w:val="clear"/>
            <w:tcMar>
              <w:top w:type="dxa" w:w="80"/>
              <w:left w:type="dxa" w:w="160"/>
              <w:bottom w:type="dxa" w:w="80"/>
              <w:right w:type="dxa" w:w="160"/>
            </w:tcMar>
          </w:tcPr>
          <w:p>
            <w:r>
              <w:rPr>
                <w:rFonts w:ascii="Calibri" w:cs="Calibri" w:eastAsia="Calibri" w:hAnsi="Calibri"/>
                <w:color w:val="1E1E2E"/>
                <w:sz w:val="22"/>
                <w:szCs w:val="22"/>
              </w:rPr>
              <w:t xml:space="preserve">Evening program — Mon/Wed/Fri: group reflection and accountability; Tue/Thu: recreational; Sat/Sun: family contact.</w:t>
            </w:r>
          </w:p>
        </w:tc>
      </w:tr>
      <w:tr>
        <w:tc>
          <w:tcPr>
            <w:tcW w:type="dxa" w:w="2600"/>
            <w:tcBorders>
              <w:top w:val="single" w:color="CCCCBB" w:sz="1" w:space="0"/>
              <w:left w:val="single" w:color="CCCCBB" w:sz="1" w:space="0"/>
              <w:bottom w:val="single" w:color="CCCCBB" w:sz="1" w:space="0"/>
              <w:right w:val="single" w:color="CCCCBB" w:sz="1" w:space="0"/>
            </w:tcBorders>
            <w:shd w:fill="EDE8D8" w:val="clear"/>
            <w:tcMar>
              <w:top w:type="dxa" w:w="80"/>
              <w:left w:type="dxa" w:w="160"/>
              <w:bottom w:type="dxa" w:w="80"/>
              <w:right w:type="dxa" w:w="160"/>
            </w:tcMar>
          </w:tcPr>
          <w:p>
            <w:r>
              <w:rPr>
                <w:rFonts w:ascii="Calibri" w:cs="Calibri" w:eastAsia="Calibri" w:hAnsi="Calibri"/>
                <w:b/>
                <w:bCs/>
                <w:color w:val="0C2340"/>
                <w:sz w:val="22"/>
                <w:szCs w:val="22"/>
              </w:rPr>
              <w:t xml:space="preserve">21:00</w:t>
            </w:r>
          </w:p>
        </w:tc>
        <w:tc>
          <w:tcPr>
            <w:tcW w:type="dxa" w:w="6400"/>
            <w:tcBorders>
              <w:top w:val="single" w:color="CCCCBB" w:sz="1" w:space="0"/>
              <w:left w:val="single" w:color="CCCCBB" w:sz="1" w:space="0"/>
              <w:bottom w:val="single" w:color="CCCCBB" w:sz="1" w:space="0"/>
              <w:right w:val="single" w:color="CCCCBB" w:sz="1" w:space="0"/>
            </w:tcBorders>
            <w:shd w:fill="FFFFFF" w:val="clear"/>
            <w:tcMar>
              <w:top w:type="dxa" w:w="80"/>
              <w:left w:type="dxa" w:w="160"/>
              <w:bottom w:type="dxa" w:w="80"/>
              <w:right w:type="dxa" w:w="160"/>
            </w:tcMar>
          </w:tcPr>
          <w:p>
            <w:r>
              <w:rPr>
                <w:rFonts w:ascii="Calibri" w:cs="Calibri" w:eastAsia="Calibri" w:hAnsi="Calibri"/>
                <w:color w:val="1E1E2E"/>
                <w:sz w:val="22"/>
                <w:szCs w:val="22"/>
              </w:rPr>
              <w:t xml:space="preserve">Quiet period and sleep — sleep hygiene is a behavioral health intervention.</w:t>
            </w:r>
          </w:p>
        </w:tc>
      </w:tr>
    </w:tbl>
    <w:p>
      <w:pPr>
        <w:spacing w:before="280" w:after="80"/>
      </w:pPr>
      <w:r>
        <w:rPr>
          <w:rFonts w:ascii="Georgia" w:cs="Georgia" w:eastAsia="Georgia" w:hAnsi="Georgia"/>
          <w:b/>
          <w:bCs/>
          <w:color w:val="0C2340"/>
          <w:sz w:val="24"/>
          <w:szCs w:val="24"/>
        </w:rPr>
        <w:t xml:space="preserve">C.3 Staffing Ratios by Risk Level</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2600"/>
        <w:gridCol w:w="6400"/>
      </w:tblGrid>
      <w:tr>
        <w:tc>
          <w:tcPr>
            <w:tcW w:type="dxa" w:w="2600"/>
            <w:tcBorders>
              <w:top w:val="single" w:color="CCCCBB" w:sz="1" w:space="0"/>
              <w:left w:val="single" w:color="CCCCBB" w:sz="1" w:space="0"/>
              <w:bottom w:val="single" w:color="CCCCBB" w:sz="1" w:space="0"/>
              <w:right w:val="single" w:color="CCCCBB" w:sz="1" w:space="0"/>
            </w:tcBorders>
            <w:shd w:fill="EDE8D8" w:val="clear"/>
            <w:tcMar>
              <w:top w:type="dxa" w:w="80"/>
              <w:left w:type="dxa" w:w="160"/>
              <w:bottom w:type="dxa" w:w="80"/>
              <w:right w:type="dxa" w:w="160"/>
            </w:tcMar>
          </w:tcPr>
          <w:p>
            <w:r>
              <w:rPr>
                <w:rFonts w:ascii="Calibri" w:cs="Calibri" w:eastAsia="Calibri" w:hAnsi="Calibri"/>
                <w:b/>
                <w:bCs/>
                <w:color w:val="0C2340"/>
                <w:sz w:val="22"/>
                <w:szCs w:val="22"/>
              </w:rPr>
              <w:t xml:space="preserve">High-Risk (new entrants)</w:t>
            </w:r>
          </w:p>
        </w:tc>
        <w:tc>
          <w:tcPr>
            <w:tcW w:type="dxa" w:w="6400"/>
            <w:tcBorders>
              <w:top w:val="single" w:color="CCCCBB" w:sz="1" w:space="0"/>
              <w:left w:val="single" w:color="CCCCBB" w:sz="1" w:space="0"/>
              <w:bottom w:val="single" w:color="CCCCBB" w:sz="1" w:space="0"/>
              <w:right w:val="single" w:color="CCCCBB" w:sz="1" w:space="0"/>
            </w:tcBorders>
            <w:shd w:fill="FFFFFF" w:val="clear"/>
            <w:tcMar>
              <w:top w:type="dxa" w:w="80"/>
              <w:left w:type="dxa" w:w="160"/>
              <w:bottom w:type="dxa" w:w="80"/>
              <w:right w:type="dxa" w:w="160"/>
            </w:tcMar>
          </w:tcPr>
          <w:p>
            <w:r>
              <w:rPr>
                <w:rFonts w:ascii="Calibri" w:cs="Calibri" w:eastAsia="Calibri" w:hAnsi="Calibri"/>
                <w:color w:val="1E1E2E"/>
                <w:sz w:val="22"/>
                <w:szCs w:val="22"/>
              </w:rPr>
              <w:t xml:space="preserve">1 supervisor per 8 participants</w:t>
            </w:r>
          </w:p>
        </w:tc>
      </w:tr>
      <w:tr>
        <w:tc>
          <w:tcPr>
            <w:tcW w:type="dxa" w:w="2600"/>
            <w:tcBorders>
              <w:top w:val="single" w:color="CCCCBB" w:sz="1" w:space="0"/>
              <w:left w:val="single" w:color="CCCCBB" w:sz="1" w:space="0"/>
              <w:bottom w:val="single" w:color="CCCCBB" w:sz="1" w:space="0"/>
              <w:right w:val="single" w:color="CCCCBB" w:sz="1" w:space="0"/>
            </w:tcBorders>
            <w:shd w:fill="F5F2EA" w:val="clear"/>
            <w:tcMar>
              <w:top w:type="dxa" w:w="80"/>
              <w:left w:type="dxa" w:w="160"/>
              <w:bottom w:type="dxa" w:w="80"/>
              <w:right w:type="dxa" w:w="160"/>
            </w:tcMar>
          </w:tcPr>
          <w:p>
            <w:r>
              <w:rPr>
                <w:rFonts w:ascii="Calibri" w:cs="Calibri" w:eastAsia="Calibri" w:hAnsi="Calibri"/>
                <w:b/>
                <w:bCs/>
                <w:color w:val="0C2340"/>
                <w:sz w:val="22"/>
                <w:szCs w:val="22"/>
              </w:rPr>
              <w:t xml:space="preserve">Medium-Risk (partial stability)</w:t>
            </w:r>
          </w:p>
        </w:tc>
        <w:tc>
          <w:tcPr>
            <w:tcW w:type="dxa" w:w="6400"/>
            <w:tcBorders>
              <w:top w:val="single" w:color="CCCCBB" w:sz="1" w:space="0"/>
              <w:left w:val="single" w:color="CCCCBB" w:sz="1" w:space="0"/>
              <w:bottom w:val="single" w:color="CCCCBB" w:sz="1" w:space="0"/>
              <w:right w:val="single" w:color="CCCCBB" w:sz="1" w:space="0"/>
            </w:tcBorders>
            <w:shd w:fill="FAFAF5" w:val="clear"/>
            <w:tcMar>
              <w:top w:type="dxa" w:w="80"/>
              <w:left w:type="dxa" w:w="160"/>
              <w:bottom w:type="dxa" w:w="80"/>
              <w:right w:type="dxa" w:w="160"/>
            </w:tcMar>
          </w:tcPr>
          <w:p>
            <w:r>
              <w:rPr>
                <w:rFonts w:ascii="Calibri" w:cs="Calibri" w:eastAsia="Calibri" w:hAnsi="Calibri"/>
                <w:color w:val="1E1E2E"/>
                <w:sz w:val="22"/>
                <w:szCs w:val="22"/>
              </w:rPr>
              <w:t xml:space="preserve">1 supervisor per 12 participants</w:t>
            </w:r>
          </w:p>
        </w:tc>
      </w:tr>
      <w:tr>
        <w:tc>
          <w:tcPr>
            <w:tcW w:type="dxa" w:w="2600"/>
            <w:tcBorders>
              <w:top w:val="single" w:color="CCCCBB" w:sz="1" w:space="0"/>
              <w:left w:val="single" w:color="CCCCBB" w:sz="1" w:space="0"/>
              <w:bottom w:val="single" w:color="CCCCBB" w:sz="1" w:space="0"/>
              <w:right w:val="single" w:color="CCCCBB" w:sz="1" w:space="0"/>
            </w:tcBorders>
            <w:shd w:fill="EDE8D8" w:val="clear"/>
            <w:tcMar>
              <w:top w:type="dxa" w:w="80"/>
              <w:left w:type="dxa" w:w="160"/>
              <w:bottom w:type="dxa" w:w="80"/>
              <w:right w:type="dxa" w:w="160"/>
            </w:tcMar>
          </w:tcPr>
          <w:p>
            <w:r>
              <w:rPr>
                <w:rFonts w:ascii="Calibri" w:cs="Calibri" w:eastAsia="Calibri" w:hAnsi="Calibri"/>
                <w:b/>
                <w:bCs/>
                <w:color w:val="0C2340"/>
                <w:sz w:val="22"/>
                <w:szCs w:val="22"/>
              </w:rPr>
              <w:t xml:space="preserve">Low-Risk (pre-placement)</w:t>
            </w:r>
          </w:p>
        </w:tc>
        <w:tc>
          <w:tcPr>
            <w:tcW w:type="dxa" w:w="6400"/>
            <w:tcBorders>
              <w:top w:val="single" w:color="CCCCBB" w:sz="1" w:space="0"/>
              <w:left w:val="single" w:color="CCCCBB" w:sz="1" w:space="0"/>
              <w:bottom w:val="single" w:color="CCCCBB" w:sz="1" w:space="0"/>
              <w:right w:val="single" w:color="CCCCBB" w:sz="1" w:space="0"/>
            </w:tcBorders>
            <w:shd w:fill="FFFFFF" w:val="clear"/>
            <w:tcMar>
              <w:top w:type="dxa" w:w="80"/>
              <w:left w:type="dxa" w:w="160"/>
              <w:bottom w:type="dxa" w:w="80"/>
              <w:right w:type="dxa" w:w="160"/>
            </w:tcMar>
          </w:tcPr>
          <w:p>
            <w:r>
              <w:rPr>
                <w:rFonts w:ascii="Calibri" w:cs="Calibri" w:eastAsia="Calibri" w:hAnsi="Calibri"/>
                <w:color w:val="1E1E2E"/>
                <w:sz w:val="22"/>
                <w:szCs w:val="22"/>
              </w:rPr>
              <w:t xml:space="preserve">1 supervisor per 20 participants</w:t>
            </w:r>
          </w:p>
        </w:tc>
      </w:tr>
      <w:tr>
        <w:tc>
          <w:tcPr>
            <w:tcW w:type="dxa" w:w="2600"/>
            <w:tcBorders>
              <w:top w:val="single" w:color="CCCCBB" w:sz="1" w:space="0"/>
              <w:left w:val="single" w:color="CCCCBB" w:sz="1" w:space="0"/>
              <w:bottom w:val="single" w:color="CCCCBB" w:sz="1" w:space="0"/>
              <w:right w:val="single" w:color="CCCCBB" w:sz="1" w:space="0"/>
            </w:tcBorders>
            <w:shd w:fill="F5F2EA" w:val="clear"/>
            <w:tcMar>
              <w:top w:type="dxa" w:w="80"/>
              <w:left w:type="dxa" w:w="160"/>
              <w:bottom w:type="dxa" w:w="80"/>
              <w:right w:type="dxa" w:w="160"/>
            </w:tcMar>
          </w:tcPr>
          <w:p>
            <w:r>
              <w:rPr>
                <w:rFonts w:ascii="Calibri" w:cs="Calibri" w:eastAsia="Calibri" w:hAnsi="Calibri"/>
                <w:b/>
                <w:bCs/>
                <w:color w:val="0C2340"/>
                <w:sz w:val="22"/>
                <w:szCs w:val="22"/>
              </w:rPr>
              <w:t xml:space="preserve">Per 50-Participant SDU</w:t>
            </w:r>
          </w:p>
        </w:tc>
        <w:tc>
          <w:tcPr>
            <w:tcW w:type="dxa" w:w="6400"/>
            <w:tcBorders>
              <w:top w:val="single" w:color="CCCCBB" w:sz="1" w:space="0"/>
              <w:left w:val="single" w:color="CCCCBB" w:sz="1" w:space="0"/>
              <w:bottom w:val="single" w:color="CCCCBB" w:sz="1" w:space="0"/>
              <w:right w:val="single" w:color="CCCCBB" w:sz="1" w:space="0"/>
            </w:tcBorders>
            <w:shd w:fill="FAFAF5" w:val="clear"/>
            <w:tcMar>
              <w:top w:type="dxa" w:w="80"/>
              <w:left w:type="dxa" w:w="160"/>
              <w:bottom w:type="dxa" w:w="80"/>
              <w:right w:type="dxa" w:w="160"/>
            </w:tcMar>
          </w:tcPr>
          <w:p>
            <w:r>
              <w:rPr>
                <w:rFonts w:ascii="Calibri" w:cs="Calibri" w:eastAsia="Calibri" w:hAnsi="Calibri"/>
                <w:color w:val="1E1E2E"/>
                <w:sz w:val="22"/>
                <w:szCs w:val="22"/>
              </w:rPr>
              <w:t xml:space="preserve">~10–12 total: SDU Manager, Behavioral Supervisors, Skills Instructors, Psychometric Coordinator, Employment Manager</w:t>
            </w:r>
          </w:p>
        </w:tc>
      </w:tr>
      <w:tr>
        <w:tc>
          <w:tcPr>
            <w:tcW w:type="dxa" w:w="2600"/>
            <w:tcBorders>
              <w:top w:val="single" w:color="CCCCBB" w:sz="1" w:space="0"/>
              <w:left w:val="single" w:color="CCCCBB" w:sz="1" w:space="0"/>
              <w:bottom w:val="single" w:color="CCCCBB" w:sz="1" w:space="0"/>
              <w:right w:val="single" w:color="CCCCBB" w:sz="1" w:space="0"/>
            </w:tcBorders>
            <w:shd w:fill="EDE8D8" w:val="clear"/>
            <w:tcMar>
              <w:top w:type="dxa" w:w="80"/>
              <w:left w:type="dxa" w:w="160"/>
              <w:bottom w:type="dxa" w:w="80"/>
              <w:right w:type="dxa" w:w="160"/>
            </w:tcMar>
          </w:tcPr>
          <w:p>
            <w:r>
              <w:rPr>
                <w:rFonts w:ascii="Calibri" w:cs="Calibri" w:eastAsia="Calibri" w:hAnsi="Calibri"/>
                <w:b/>
                <w:bCs/>
                <w:color w:val="0C2340"/>
                <w:sz w:val="22"/>
                <w:szCs w:val="22"/>
              </w:rPr>
              <w:t xml:space="preserve">Clinical Support</w:t>
            </w:r>
          </w:p>
        </w:tc>
        <w:tc>
          <w:tcPr>
            <w:tcW w:type="dxa" w:w="6400"/>
            <w:tcBorders>
              <w:top w:val="single" w:color="CCCCBB" w:sz="1" w:space="0"/>
              <w:left w:val="single" w:color="CCCCBB" w:sz="1" w:space="0"/>
              <w:bottom w:val="single" w:color="CCCCBB" w:sz="1" w:space="0"/>
              <w:right w:val="single" w:color="CCCCBB" w:sz="1" w:space="0"/>
            </w:tcBorders>
            <w:shd w:fill="FFFFFF" w:val="clear"/>
            <w:tcMar>
              <w:top w:type="dxa" w:w="80"/>
              <w:left w:type="dxa" w:w="160"/>
              <w:bottom w:type="dxa" w:w="80"/>
              <w:right w:type="dxa" w:w="160"/>
            </w:tcMar>
          </w:tcPr>
          <w:p>
            <w:r>
              <w:rPr>
                <w:rFonts w:ascii="Calibri" w:cs="Calibri" w:eastAsia="Calibri" w:hAnsi="Calibri"/>
                <w:color w:val="1E1E2E"/>
                <w:sz w:val="22"/>
                <w:szCs w:val="22"/>
              </w:rPr>
              <w:t xml:space="preserve">Contracted clinical psychologist minimum 2 days per week per 50 participants</w:t>
            </w:r>
          </w:p>
        </w:tc>
      </w:tr>
    </w:tbl>
    <w:p>
      <w:pPr>
        <w:spacing w:before="280" w:after="80"/>
      </w:pPr>
      <w:r>
        <w:rPr>
          <w:rFonts w:ascii="Georgia" w:cs="Georgia" w:eastAsia="Georgia" w:hAnsi="Georgia"/>
          <w:b/>
          <w:bCs/>
          <w:color w:val="0C2340"/>
          <w:sz w:val="24"/>
          <w:szCs w:val="24"/>
        </w:rPr>
        <w:t xml:space="preserve">C.4 Behavioral Contract — Core Provisions</w:t>
      </w:r>
    </w:p>
    <w:p>
      <w:pPr>
        <w:spacing w:before="80" w:after="80"/>
        <w:jc w:val="both"/>
      </w:pPr>
      <w:r>
        <w:rPr>
          <w:rFonts w:ascii="Calibri" w:cs="Calibri" w:eastAsia="Calibri" w:hAnsi="Calibri"/>
          <w:color w:val="1E1E2E"/>
          <w:sz w:val="22"/>
          <w:szCs w:val="22"/>
        </w:rPr>
        <w:t xml:space="preserve">Every participant signs a Behavioral Contract before program entry, reviewed with a nominated support person. Core provisions: program standards and performance expectations; consequence schedule for breaches (progressive, proportionate, documented); relapse disclosure protocol (24-hour disclosure requirement with defined support response); voluntary withdrawal provisions and re-entry criteria; and participant rights including access to an independent advocate for any dispute.</w:t>
      </w:r>
    </w:p>
    <w:p>
      <w:pPr>
        <w:spacing w:before="280" w:after="80"/>
      </w:pPr>
      <w:r>
        <w:rPr>
          <w:rFonts w:ascii="Georgia" w:cs="Georgia" w:eastAsia="Georgia" w:hAnsi="Georgia"/>
          <w:b/>
          <w:bCs/>
          <w:color w:val="0C2340"/>
          <w:sz w:val="24"/>
          <w:szCs w:val="24"/>
        </w:rPr>
        <w:t xml:space="preserve">C.5 Employer Partnership Protocol</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2600"/>
        <w:gridCol w:w="6400"/>
      </w:tblGrid>
      <w:tr>
        <w:tc>
          <w:tcPr>
            <w:tcW w:type="dxa" w:w="2600"/>
            <w:tcBorders>
              <w:top w:val="single" w:color="CCCCBB" w:sz="1" w:space="0"/>
              <w:left w:val="single" w:color="CCCCBB" w:sz="1" w:space="0"/>
              <w:bottom w:val="single" w:color="CCCCBB" w:sz="1" w:space="0"/>
              <w:right w:val="single" w:color="CCCCBB" w:sz="1" w:space="0"/>
            </w:tcBorders>
            <w:shd w:fill="EDE8D8" w:val="clear"/>
            <w:tcMar>
              <w:top w:type="dxa" w:w="80"/>
              <w:left w:type="dxa" w:w="160"/>
              <w:bottom w:type="dxa" w:w="80"/>
              <w:right w:type="dxa" w:w="160"/>
            </w:tcMar>
          </w:tcPr>
          <w:p>
            <w:r>
              <w:rPr>
                <w:rFonts w:ascii="Calibri" w:cs="Calibri" w:eastAsia="Calibri" w:hAnsi="Calibri"/>
                <w:b/>
                <w:bCs/>
                <w:color w:val="0C2340"/>
                <w:sz w:val="22"/>
                <w:szCs w:val="22"/>
              </w:rPr>
              <w:t xml:space="preserve">Onboarding</w:t>
            </w:r>
          </w:p>
        </w:tc>
        <w:tc>
          <w:tcPr>
            <w:tcW w:type="dxa" w:w="6400"/>
            <w:tcBorders>
              <w:top w:val="single" w:color="CCCCBB" w:sz="1" w:space="0"/>
              <w:left w:val="single" w:color="CCCCBB" w:sz="1" w:space="0"/>
              <w:bottom w:val="single" w:color="CCCCBB" w:sz="1" w:space="0"/>
              <w:right w:val="single" w:color="CCCCBB" w:sz="1" w:space="0"/>
            </w:tcBorders>
            <w:shd w:fill="FFFFFF" w:val="clear"/>
            <w:tcMar>
              <w:top w:type="dxa" w:w="80"/>
              <w:left w:type="dxa" w:w="160"/>
              <w:bottom w:type="dxa" w:w="80"/>
              <w:right w:type="dxa" w:w="160"/>
            </w:tcMar>
          </w:tcPr>
          <w:p>
            <w:r>
              <w:rPr>
                <w:rFonts w:ascii="Calibri" w:cs="Calibri" w:eastAsia="Calibri" w:hAnsi="Calibri"/>
                <w:color w:val="1E1E2E"/>
                <w:sz w:val="22"/>
                <w:szCs w:val="22"/>
              </w:rPr>
              <w:t xml:space="preserve">Organizational culture assessment; designated supervisor training; accommodation of employment trial provisions</w:t>
            </w:r>
          </w:p>
        </w:tc>
      </w:tr>
      <w:tr>
        <w:tc>
          <w:tcPr>
            <w:tcW w:type="dxa" w:w="2600"/>
            <w:tcBorders>
              <w:top w:val="single" w:color="CCCCBB" w:sz="1" w:space="0"/>
              <w:left w:val="single" w:color="CCCCBB" w:sz="1" w:space="0"/>
              <w:bottom w:val="single" w:color="CCCCBB" w:sz="1" w:space="0"/>
              <w:right w:val="single" w:color="CCCCBB" w:sz="1" w:space="0"/>
            </w:tcBorders>
            <w:shd w:fill="F5F2EA" w:val="clear"/>
            <w:tcMar>
              <w:top w:type="dxa" w:w="80"/>
              <w:left w:type="dxa" w:w="160"/>
              <w:bottom w:type="dxa" w:w="80"/>
              <w:right w:type="dxa" w:w="160"/>
            </w:tcMar>
          </w:tcPr>
          <w:p>
            <w:r>
              <w:rPr>
                <w:rFonts w:ascii="Calibri" w:cs="Calibri" w:eastAsia="Calibri" w:hAnsi="Calibri"/>
                <w:b/>
                <w:bCs/>
                <w:color w:val="0C2340"/>
                <w:sz w:val="22"/>
                <w:szCs w:val="22"/>
              </w:rPr>
              <w:t xml:space="preserve">Monitoring</w:t>
            </w:r>
          </w:p>
        </w:tc>
        <w:tc>
          <w:tcPr>
            <w:tcW w:type="dxa" w:w="6400"/>
            <w:tcBorders>
              <w:top w:val="single" w:color="CCCCBB" w:sz="1" w:space="0"/>
              <w:left w:val="single" w:color="CCCCBB" w:sz="1" w:space="0"/>
              <w:bottom w:val="single" w:color="CCCCBB" w:sz="1" w:space="0"/>
              <w:right w:val="single" w:color="CCCCBB" w:sz="1" w:space="0"/>
            </w:tcBorders>
            <w:shd w:fill="FAFAF5" w:val="clear"/>
            <w:tcMar>
              <w:top w:type="dxa" w:w="80"/>
              <w:left w:type="dxa" w:w="160"/>
              <w:bottom w:type="dxa" w:w="80"/>
              <w:right w:type="dxa" w:w="160"/>
            </w:tcMar>
          </w:tcPr>
          <w:p>
            <w:r>
              <w:rPr>
                <w:rFonts w:ascii="Calibri" w:cs="Calibri" w:eastAsia="Calibri" w:hAnsi="Calibri"/>
                <w:color w:val="1E1E2E"/>
                <w:sz w:val="22"/>
                <w:szCs w:val="22"/>
              </w:rPr>
              <w:t xml:space="preserve">Agreement to 30/60/90 day formal reviews with S.E.T.H.S presence; workplace incident reporting within 24 hours</w:t>
            </w:r>
          </w:p>
        </w:tc>
      </w:tr>
      <w:tr>
        <w:tc>
          <w:tcPr>
            <w:tcW w:type="dxa" w:w="2600"/>
            <w:tcBorders>
              <w:top w:val="single" w:color="CCCCBB" w:sz="1" w:space="0"/>
              <w:left w:val="single" w:color="CCCCBB" w:sz="1" w:space="0"/>
              <w:bottom w:val="single" w:color="CCCCBB" w:sz="1" w:space="0"/>
              <w:right w:val="single" w:color="CCCCBB" w:sz="1" w:space="0"/>
            </w:tcBorders>
            <w:shd w:fill="EDE8D8" w:val="clear"/>
            <w:tcMar>
              <w:top w:type="dxa" w:w="80"/>
              <w:left w:type="dxa" w:w="160"/>
              <w:bottom w:type="dxa" w:w="80"/>
              <w:right w:type="dxa" w:w="160"/>
            </w:tcMar>
          </w:tcPr>
          <w:p>
            <w:r>
              <w:rPr>
                <w:rFonts w:ascii="Calibri" w:cs="Calibri" w:eastAsia="Calibri" w:hAnsi="Calibri"/>
                <w:b/>
                <w:bCs/>
                <w:color w:val="0C2340"/>
                <w:sz w:val="22"/>
                <w:szCs w:val="22"/>
              </w:rPr>
              <w:t xml:space="preserve">Benefits</w:t>
            </w:r>
          </w:p>
        </w:tc>
        <w:tc>
          <w:tcPr>
            <w:tcW w:type="dxa" w:w="6400"/>
            <w:tcBorders>
              <w:top w:val="single" w:color="CCCCBB" w:sz="1" w:space="0"/>
              <w:left w:val="single" w:color="CCCCBB" w:sz="1" w:space="0"/>
              <w:bottom w:val="single" w:color="CCCCBB" w:sz="1" w:space="0"/>
              <w:right w:val="single" w:color="CCCCBB" w:sz="1" w:space="0"/>
            </w:tcBorders>
            <w:shd w:fill="FFFFFF" w:val="clear"/>
            <w:tcMar>
              <w:top w:type="dxa" w:w="80"/>
              <w:left w:type="dxa" w:w="160"/>
              <w:bottom w:type="dxa" w:w="80"/>
              <w:right w:type="dxa" w:w="160"/>
            </w:tcMar>
          </w:tcPr>
          <w:p>
            <w:r>
              <w:rPr>
                <w:rFonts w:ascii="Calibri" w:cs="Calibri" w:eastAsia="Calibri" w:hAnsi="Calibri"/>
                <w:color w:val="1E1E2E"/>
                <w:sz w:val="22"/>
                <w:szCs w:val="22"/>
              </w:rPr>
              <w:t xml:space="preserve">Pre-screened certified candidates; integration period support; behavioral monitoring dashboard access; replacement candidate commitment</w:t>
            </w:r>
          </w:p>
        </w:tc>
      </w:tr>
    </w:tbl>
    <w:p>
      <w:r>
        <w:br w:type="page"/>
      </w:r>
    </w:p>
    <w:p>
      <w:pPr>
        <w:pBdr>
          <w:bottom w:val="single" w:color="C9A84C" w:sz="8" w:space="4"/>
        </w:pBdr>
        <w:spacing w:before="440" w:after="120"/>
      </w:pPr>
      <w:r>
        <w:rPr>
          <w:rFonts w:ascii="Georgia" w:cs="Georgia" w:eastAsia="Georgia" w:hAnsi="Georgia"/>
          <w:b/>
          <w:bCs/>
          <w:color w:val="B8972A"/>
          <w:sz w:val="28"/>
          <w:szCs w:val="28"/>
        </w:rPr>
        <w:t xml:space="preserve">ANNEXURE D  </w:t>
      </w:r>
      <w:r>
        <w:rPr>
          <w:rFonts w:ascii="Georgia" w:cs="Georgia" w:eastAsia="Georgia" w:hAnsi="Georgia"/>
          <w:b/>
          <w:bCs/>
          <w:color w:val="0C2340"/>
          <w:sz w:val="28"/>
          <w:szCs w:val="28"/>
        </w:rPr>
        <w:t xml:space="preserve">UDOC Technical Specifications &amp; Quantum-Ready Architecture</w:t>
      </w:r>
    </w:p>
    <w:p>
      <w:pPr>
        <w:spacing w:before="280" w:after="80"/>
      </w:pPr>
      <w:r>
        <w:rPr>
          <w:rFonts w:ascii="Georgia" w:cs="Georgia" w:eastAsia="Georgia" w:hAnsi="Georgia"/>
          <w:b/>
          <w:bCs/>
          <w:color w:val="0C2340"/>
          <w:sz w:val="24"/>
          <w:szCs w:val="24"/>
        </w:rPr>
        <w:t xml:space="preserve">D.1 Platform Architecture</w:t>
      </w:r>
    </w:p>
    <w:p>
      <w:pPr>
        <w:spacing w:before="80" w:after="80"/>
        <w:jc w:val="both"/>
      </w:pPr>
      <w:r>
        <w:rPr>
          <w:rFonts w:ascii="Calibri" w:cs="Calibri" w:eastAsia="Calibri" w:hAnsi="Calibri"/>
          <w:color w:val="1E1E2E"/>
          <w:sz w:val="22"/>
          <w:szCs w:val="22"/>
        </w:rPr>
        <w:t xml:space="preserve">UDOC is built on a microservices architecture deployed on sovereign-controlled cloud infrastructure. Core services: Identity and Access Management; AI System Registry; Risk Classification Engine; Workforce Impact Modeling; Compliance Reporting; Audit Trail Service; Bias Monitoring; and Dashboard and Visualization. The microservices architecture provides horizontal scalability, fault isolation, independent deployment, and sovereignty flexibility — services can be deployed in separate jurisdictional clouds while remaining interoperable.</w:t>
      </w:r>
    </w:p>
    <w:p>
      <w:pPr>
        <w:spacing w:before="280" w:after="80"/>
      </w:pPr>
      <w:r>
        <w:rPr>
          <w:rFonts w:ascii="Georgia" w:cs="Georgia" w:eastAsia="Georgia" w:hAnsi="Georgia"/>
          <w:b/>
          <w:bCs/>
          <w:color w:val="0C2340"/>
          <w:sz w:val="24"/>
          <w:szCs w:val="24"/>
        </w:rPr>
        <w:t xml:space="preserve">D.2 Security Architecture</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2600"/>
        <w:gridCol w:w="6400"/>
      </w:tblGrid>
      <w:tr>
        <w:tc>
          <w:tcPr>
            <w:tcW w:type="dxa" w:w="2600"/>
            <w:tcBorders>
              <w:top w:val="single" w:color="CCCCBB" w:sz="1" w:space="0"/>
              <w:left w:val="single" w:color="CCCCBB" w:sz="1" w:space="0"/>
              <w:bottom w:val="single" w:color="CCCCBB" w:sz="1" w:space="0"/>
              <w:right w:val="single" w:color="CCCCBB" w:sz="1" w:space="0"/>
            </w:tcBorders>
            <w:shd w:fill="EDE8D8" w:val="clear"/>
            <w:tcMar>
              <w:top w:type="dxa" w:w="80"/>
              <w:left w:type="dxa" w:w="160"/>
              <w:bottom w:type="dxa" w:w="80"/>
              <w:right w:type="dxa" w:w="160"/>
            </w:tcMar>
          </w:tcPr>
          <w:p>
            <w:r>
              <w:rPr>
                <w:rFonts w:ascii="Calibri" w:cs="Calibri" w:eastAsia="Calibri" w:hAnsi="Calibri"/>
                <w:b/>
                <w:bCs/>
                <w:color w:val="0C2340"/>
                <w:sz w:val="22"/>
                <w:szCs w:val="22"/>
              </w:rPr>
              <w:t xml:space="preserve">Framework</w:t>
            </w:r>
          </w:p>
        </w:tc>
        <w:tc>
          <w:tcPr>
            <w:tcW w:type="dxa" w:w="6400"/>
            <w:tcBorders>
              <w:top w:val="single" w:color="CCCCBB" w:sz="1" w:space="0"/>
              <w:left w:val="single" w:color="CCCCBB" w:sz="1" w:space="0"/>
              <w:bottom w:val="single" w:color="CCCCBB" w:sz="1" w:space="0"/>
              <w:right w:val="single" w:color="CCCCBB" w:sz="1" w:space="0"/>
            </w:tcBorders>
            <w:shd w:fill="FFFFFF" w:val="clear"/>
            <w:tcMar>
              <w:top w:type="dxa" w:w="80"/>
              <w:left w:type="dxa" w:w="160"/>
              <w:bottom w:type="dxa" w:w="80"/>
              <w:right w:type="dxa" w:w="160"/>
            </w:tcMar>
          </w:tcPr>
          <w:p>
            <w:r>
              <w:rPr>
                <w:rFonts w:ascii="Calibri" w:cs="Calibri" w:eastAsia="Calibri" w:hAnsi="Calibri"/>
                <w:color w:val="1E1E2E"/>
                <w:sz w:val="22"/>
                <w:szCs w:val="22"/>
              </w:rPr>
              <w:t xml:space="preserve">NIST Cybersecurity Framework plus ISO 27001</w:t>
            </w:r>
          </w:p>
        </w:tc>
      </w:tr>
      <w:tr>
        <w:tc>
          <w:tcPr>
            <w:tcW w:type="dxa" w:w="2600"/>
            <w:tcBorders>
              <w:top w:val="single" w:color="CCCCBB" w:sz="1" w:space="0"/>
              <w:left w:val="single" w:color="CCCCBB" w:sz="1" w:space="0"/>
              <w:bottom w:val="single" w:color="CCCCBB" w:sz="1" w:space="0"/>
              <w:right w:val="single" w:color="CCCCBB" w:sz="1" w:space="0"/>
            </w:tcBorders>
            <w:shd w:fill="F5F2EA" w:val="clear"/>
            <w:tcMar>
              <w:top w:type="dxa" w:w="80"/>
              <w:left w:type="dxa" w:w="160"/>
              <w:bottom w:type="dxa" w:w="80"/>
              <w:right w:type="dxa" w:w="160"/>
            </w:tcMar>
          </w:tcPr>
          <w:p>
            <w:r>
              <w:rPr>
                <w:rFonts w:ascii="Calibri" w:cs="Calibri" w:eastAsia="Calibri" w:hAnsi="Calibri"/>
                <w:b/>
                <w:bCs/>
                <w:color w:val="0C2340"/>
                <w:sz w:val="22"/>
                <w:szCs w:val="22"/>
              </w:rPr>
              <w:t xml:space="preserve">Network Model</w:t>
            </w:r>
          </w:p>
        </w:tc>
        <w:tc>
          <w:tcPr>
            <w:tcW w:type="dxa" w:w="6400"/>
            <w:tcBorders>
              <w:top w:val="single" w:color="CCCCBB" w:sz="1" w:space="0"/>
              <w:left w:val="single" w:color="CCCCBB" w:sz="1" w:space="0"/>
              <w:bottom w:val="single" w:color="CCCCBB" w:sz="1" w:space="0"/>
              <w:right w:val="single" w:color="CCCCBB" w:sz="1" w:space="0"/>
            </w:tcBorders>
            <w:shd w:fill="FAFAF5" w:val="clear"/>
            <w:tcMar>
              <w:top w:type="dxa" w:w="80"/>
              <w:left w:type="dxa" w:w="160"/>
              <w:bottom w:type="dxa" w:w="80"/>
              <w:right w:type="dxa" w:w="160"/>
            </w:tcMar>
          </w:tcPr>
          <w:p>
            <w:r>
              <w:rPr>
                <w:rFonts w:ascii="Calibri" w:cs="Calibri" w:eastAsia="Calibri" w:hAnsi="Calibri"/>
                <w:color w:val="1E1E2E"/>
                <w:sz w:val="22"/>
                <w:szCs w:val="22"/>
              </w:rPr>
              <w:t xml:space="preserve">Zero-trust — no implicit trust granted to any service or user; continuous authentication</w:t>
            </w:r>
          </w:p>
        </w:tc>
      </w:tr>
      <w:tr>
        <w:tc>
          <w:tcPr>
            <w:tcW w:type="dxa" w:w="2600"/>
            <w:tcBorders>
              <w:top w:val="single" w:color="CCCCBB" w:sz="1" w:space="0"/>
              <w:left w:val="single" w:color="CCCCBB" w:sz="1" w:space="0"/>
              <w:bottom w:val="single" w:color="CCCCBB" w:sz="1" w:space="0"/>
              <w:right w:val="single" w:color="CCCCBB" w:sz="1" w:space="0"/>
            </w:tcBorders>
            <w:shd w:fill="EDE8D8" w:val="clear"/>
            <w:tcMar>
              <w:top w:type="dxa" w:w="80"/>
              <w:left w:type="dxa" w:w="160"/>
              <w:bottom w:type="dxa" w:w="80"/>
              <w:right w:type="dxa" w:w="160"/>
            </w:tcMar>
          </w:tcPr>
          <w:p>
            <w:r>
              <w:rPr>
                <w:rFonts w:ascii="Calibri" w:cs="Calibri" w:eastAsia="Calibri" w:hAnsi="Calibri"/>
                <w:b/>
                <w:bCs/>
                <w:color w:val="0C2340"/>
                <w:sz w:val="22"/>
                <w:szCs w:val="22"/>
              </w:rPr>
              <w:t xml:space="preserve">Data in Transit</w:t>
            </w:r>
          </w:p>
        </w:tc>
        <w:tc>
          <w:tcPr>
            <w:tcW w:type="dxa" w:w="6400"/>
            <w:tcBorders>
              <w:top w:val="single" w:color="CCCCBB" w:sz="1" w:space="0"/>
              <w:left w:val="single" w:color="CCCCBB" w:sz="1" w:space="0"/>
              <w:bottom w:val="single" w:color="CCCCBB" w:sz="1" w:space="0"/>
              <w:right w:val="single" w:color="CCCCBB" w:sz="1" w:space="0"/>
            </w:tcBorders>
            <w:shd w:fill="FFFFFF" w:val="clear"/>
            <w:tcMar>
              <w:top w:type="dxa" w:w="80"/>
              <w:left w:type="dxa" w:w="160"/>
              <w:bottom w:type="dxa" w:w="80"/>
              <w:right w:type="dxa" w:w="160"/>
            </w:tcMar>
          </w:tcPr>
          <w:p>
            <w:r>
              <w:rPr>
                <w:rFonts w:ascii="Calibri" w:cs="Calibri" w:eastAsia="Calibri" w:hAnsi="Calibri"/>
                <w:color w:val="1E1E2E"/>
                <w:sz w:val="22"/>
                <w:szCs w:val="22"/>
              </w:rPr>
              <w:t xml:space="preserve">TLS 1.3 minimum; transitioning to quantum-resistant protocols</w:t>
            </w:r>
          </w:p>
        </w:tc>
      </w:tr>
      <w:tr>
        <w:tc>
          <w:tcPr>
            <w:tcW w:type="dxa" w:w="2600"/>
            <w:tcBorders>
              <w:top w:val="single" w:color="CCCCBB" w:sz="1" w:space="0"/>
              <w:left w:val="single" w:color="CCCCBB" w:sz="1" w:space="0"/>
              <w:bottom w:val="single" w:color="CCCCBB" w:sz="1" w:space="0"/>
              <w:right w:val="single" w:color="CCCCBB" w:sz="1" w:space="0"/>
            </w:tcBorders>
            <w:shd w:fill="F5F2EA" w:val="clear"/>
            <w:tcMar>
              <w:top w:type="dxa" w:w="80"/>
              <w:left w:type="dxa" w:w="160"/>
              <w:bottom w:type="dxa" w:w="80"/>
              <w:right w:type="dxa" w:w="160"/>
            </w:tcMar>
          </w:tcPr>
          <w:p>
            <w:r>
              <w:rPr>
                <w:rFonts w:ascii="Calibri" w:cs="Calibri" w:eastAsia="Calibri" w:hAnsi="Calibri"/>
                <w:b/>
                <w:bCs/>
                <w:color w:val="0C2340"/>
                <w:sz w:val="22"/>
                <w:szCs w:val="22"/>
              </w:rPr>
              <w:t xml:space="preserve">Data at Rest</w:t>
            </w:r>
          </w:p>
        </w:tc>
        <w:tc>
          <w:tcPr>
            <w:tcW w:type="dxa" w:w="6400"/>
            <w:tcBorders>
              <w:top w:val="single" w:color="CCCCBB" w:sz="1" w:space="0"/>
              <w:left w:val="single" w:color="CCCCBB" w:sz="1" w:space="0"/>
              <w:bottom w:val="single" w:color="CCCCBB" w:sz="1" w:space="0"/>
              <w:right w:val="single" w:color="CCCCBB" w:sz="1" w:space="0"/>
            </w:tcBorders>
            <w:shd w:fill="FAFAF5" w:val="clear"/>
            <w:tcMar>
              <w:top w:type="dxa" w:w="80"/>
              <w:left w:type="dxa" w:w="160"/>
              <w:bottom w:type="dxa" w:w="80"/>
              <w:right w:type="dxa" w:w="160"/>
            </w:tcMar>
          </w:tcPr>
          <w:p>
            <w:r>
              <w:rPr>
                <w:rFonts w:ascii="Calibri" w:cs="Calibri" w:eastAsia="Calibri" w:hAnsi="Calibri"/>
                <w:color w:val="1E1E2E"/>
                <w:sz w:val="22"/>
                <w:szCs w:val="22"/>
              </w:rPr>
              <w:t xml:space="preserve">AES-256 minimum; transitioning to NIST PQC standards</w:t>
            </w:r>
          </w:p>
        </w:tc>
      </w:tr>
      <w:tr>
        <w:tc>
          <w:tcPr>
            <w:tcW w:type="dxa" w:w="2600"/>
            <w:tcBorders>
              <w:top w:val="single" w:color="CCCCBB" w:sz="1" w:space="0"/>
              <w:left w:val="single" w:color="CCCCBB" w:sz="1" w:space="0"/>
              <w:bottom w:val="single" w:color="CCCCBB" w:sz="1" w:space="0"/>
              <w:right w:val="single" w:color="CCCCBB" w:sz="1" w:space="0"/>
            </w:tcBorders>
            <w:shd w:fill="EDE8D8" w:val="clear"/>
            <w:tcMar>
              <w:top w:type="dxa" w:w="80"/>
              <w:left w:type="dxa" w:w="160"/>
              <w:bottom w:type="dxa" w:w="80"/>
              <w:right w:type="dxa" w:w="160"/>
            </w:tcMar>
          </w:tcPr>
          <w:p>
            <w:r>
              <w:rPr>
                <w:rFonts w:ascii="Calibri" w:cs="Calibri" w:eastAsia="Calibri" w:hAnsi="Calibri"/>
                <w:b/>
                <w:bCs/>
                <w:color w:val="0C2340"/>
                <w:sz w:val="22"/>
                <w:szCs w:val="22"/>
              </w:rPr>
              <w:t xml:space="preserve">Key Management</w:t>
            </w:r>
          </w:p>
        </w:tc>
        <w:tc>
          <w:tcPr>
            <w:tcW w:type="dxa" w:w="6400"/>
            <w:tcBorders>
              <w:top w:val="single" w:color="CCCCBB" w:sz="1" w:space="0"/>
              <w:left w:val="single" w:color="CCCCBB" w:sz="1" w:space="0"/>
              <w:bottom w:val="single" w:color="CCCCBB" w:sz="1" w:space="0"/>
              <w:right w:val="single" w:color="CCCCBB" w:sz="1" w:space="0"/>
            </w:tcBorders>
            <w:shd w:fill="FFFFFF" w:val="clear"/>
            <w:tcMar>
              <w:top w:type="dxa" w:w="80"/>
              <w:left w:type="dxa" w:w="160"/>
              <w:bottom w:type="dxa" w:w="80"/>
              <w:right w:type="dxa" w:w="160"/>
            </w:tcMar>
          </w:tcPr>
          <w:p>
            <w:r>
              <w:rPr>
                <w:rFonts w:ascii="Calibri" w:cs="Calibri" w:eastAsia="Calibri" w:hAnsi="Calibri"/>
                <w:color w:val="1E1E2E"/>
                <w:sz w:val="22"/>
                <w:szCs w:val="22"/>
              </w:rPr>
              <w:t xml:space="preserve">Hardware security modules for all cryptographic key operations</w:t>
            </w:r>
          </w:p>
        </w:tc>
      </w:tr>
      <w:tr>
        <w:tc>
          <w:tcPr>
            <w:tcW w:type="dxa" w:w="2600"/>
            <w:tcBorders>
              <w:top w:val="single" w:color="CCCCBB" w:sz="1" w:space="0"/>
              <w:left w:val="single" w:color="CCCCBB" w:sz="1" w:space="0"/>
              <w:bottom w:val="single" w:color="CCCCBB" w:sz="1" w:space="0"/>
              <w:right w:val="single" w:color="CCCCBB" w:sz="1" w:space="0"/>
            </w:tcBorders>
            <w:shd w:fill="F5F2EA" w:val="clear"/>
            <w:tcMar>
              <w:top w:type="dxa" w:w="80"/>
              <w:left w:type="dxa" w:w="160"/>
              <w:bottom w:type="dxa" w:w="80"/>
              <w:right w:type="dxa" w:w="160"/>
            </w:tcMar>
          </w:tcPr>
          <w:p>
            <w:r>
              <w:rPr>
                <w:rFonts w:ascii="Calibri" w:cs="Calibri" w:eastAsia="Calibri" w:hAnsi="Calibri"/>
                <w:b/>
                <w:bCs/>
                <w:color w:val="0C2340"/>
                <w:sz w:val="22"/>
                <w:szCs w:val="22"/>
              </w:rPr>
              <w:t xml:space="preserve">Access Control</w:t>
            </w:r>
          </w:p>
        </w:tc>
        <w:tc>
          <w:tcPr>
            <w:tcW w:type="dxa" w:w="6400"/>
            <w:tcBorders>
              <w:top w:val="single" w:color="CCCCBB" w:sz="1" w:space="0"/>
              <w:left w:val="single" w:color="CCCCBB" w:sz="1" w:space="0"/>
              <w:bottom w:val="single" w:color="CCCCBB" w:sz="1" w:space="0"/>
              <w:right w:val="single" w:color="CCCCBB" w:sz="1" w:space="0"/>
            </w:tcBorders>
            <w:shd w:fill="FAFAF5" w:val="clear"/>
            <w:tcMar>
              <w:top w:type="dxa" w:w="80"/>
              <w:left w:type="dxa" w:w="160"/>
              <w:bottom w:type="dxa" w:w="80"/>
              <w:right w:type="dxa" w:w="160"/>
            </w:tcMar>
          </w:tcPr>
          <w:p>
            <w:r>
              <w:rPr>
                <w:rFonts w:ascii="Calibri" w:cs="Calibri" w:eastAsia="Calibri" w:hAnsi="Calibri"/>
                <w:color w:val="1E1E2E"/>
                <w:sz w:val="22"/>
                <w:szCs w:val="22"/>
              </w:rPr>
              <w:t xml:space="preserve">Multi-factor authentication mandatory for all administrative access</w:t>
            </w:r>
          </w:p>
        </w:tc>
      </w:tr>
      <w:tr>
        <w:tc>
          <w:tcPr>
            <w:tcW w:type="dxa" w:w="2600"/>
            <w:tcBorders>
              <w:top w:val="single" w:color="CCCCBB" w:sz="1" w:space="0"/>
              <w:left w:val="single" w:color="CCCCBB" w:sz="1" w:space="0"/>
              <w:bottom w:val="single" w:color="CCCCBB" w:sz="1" w:space="0"/>
              <w:right w:val="single" w:color="CCCCBB" w:sz="1" w:space="0"/>
            </w:tcBorders>
            <w:shd w:fill="EDE8D8" w:val="clear"/>
            <w:tcMar>
              <w:top w:type="dxa" w:w="80"/>
              <w:left w:type="dxa" w:w="160"/>
              <w:bottom w:type="dxa" w:w="80"/>
              <w:right w:type="dxa" w:w="160"/>
            </w:tcMar>
          </w:tcPr>
          <w:p>
            <w:r>
              <w:rPr>
                <w:rFonts w:ascii="Calibri" w:cs="Calibri" w:eastAsia="Calibri" w:hAnsi="Calibri"/>
                <w:b/>
                <w:bCs/>
                <w:color w:val="0C2340"/>
                <w:sz w:val="22"/>
                <w:szCs w:val="22"/>
              </w:rPr>
              <w:t xml:space="preserve">Pen Testing</w:t>
            </w:r>
          </w:p>
        </w:tc>
        <w:tc>
          <w:tcPr>
            <w:tcW w:type="dxa" w:w="6400"/>
            <w:tcBorders>
              <w:top w:val="single" w:color="CCCCBB" w:sz="1" w:space="0"/>
              <w:left w:val="single" w:color="CCCCBB" w:sz="1" w:space="0"/>
              <w:bottom w:val="single" w:color="CCCCBB" w:sz="1" w:space="0"/>
              <w:right w:val="single" w:color="CCCCBB" w:sz="1" w:space="0"/>
            </w:tcBorders>
            <w:shd w:fill="FFFFFF" w:val="clear"/>
            <w:tcMar>
              <w:top w:type="dxa" w:w="80"/>
              <w:left w:type="dxa" w:w="160"/>
              <w:bottom w:type="dxa" w:w="80"/>
              <w:right w:type="dxa" w:w="160"/>
            </w:tcMar>
          </w:tcPr>
          <w:p>
            <w:r>
              <w:rPr>
                <w:rFonts w:ascii="Calibri" w:cs="Calibri" w:eastAsia="Calibri" w:hAnsi="Calibri"/>
                <w:color w:val="1E1E2E"/>
                <w:sz w:val="22"/>
                <w:szCs w:val="22"/>
              </w:rPr>
              <w:t xml:space="preserve">Quarterly by independent external security firm</w:t>
            </w:r>
          </w:p>
        </w:tc>
      </w:tr>
    </w:tbl>
    <w:p>
      <w:pPr>
        <w:spacing w:before="280" w:after="80"/>
      </w:pPr>
      <w:r>
        <w:rPr>
          <w:rFonts w:ascii="Georgia" w:cs="Georgia" w:eastAsia="Georgia" w:hAnsi="Georgia"/>
          <w:b/>
          <w:bCs/>
          <w:color w:val="0C2340"/>
          <w:sz w:val="24"/>
          <w:szCs w:val="24"/>
        </w:rPr>
        <w:t xml:space="preserve">D.3 Quantum-Ready Architecture</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2600"/>
        <w:gridCol w:w="6400"/>
      </w:tblGrid>
      <w:tr>
        <w:tc>
          <w:tcPr>
            <w:tcW w:type="dxa" w:w="2600"/>
            <w:tcBorders>
              <w:top w:val="single" w:color="CCCCBB" w:sz="1" w:space="0"/>
              <w:left w:val="single" w:color="CCCCBB" w:sz="1" w:space="0"/>
              <w:bottom w:val="single" w:color="CCCCBB" w:sz="1" w:space="0"/>
              <w:right w:val="single" w:color="CCCCBB" w:sz="1" w:space="0"/>
            </w:tcBorders>
            <w:shd w:fill="EDE8D8" w:val="clear"/>
            <w:tcMar>
              <w:top w:type="dxa" w:w="80"/>
              <w:left w:type="dxa" w:w="160"/>
              <w:bottom w:type="dxa" w:w="80"/>
              <w:right w:type="dxa" w:w="160"/>
            </w:tcMar>
          </w:tcPr>
          <w:p>
            <w:r>
              <w:rPr>
                <w:rFonts w:ascii="Calibri" w:cs="Calibri" w:eastAsia="Calibri" w:hAnsi="Calibri"/>
                <w:b/>
                <w:bCs/>
                <w:color w:val="0C2340"/>
                <w:sz w:val="22"/>
                <w:szCs w:val="22"/>
              </w:rPr>
              <w:t xml:space="preserve">Standards Basis</w:t>
            </w:r>
          </w:p>
        </w:tc>
        <w:tc>
          <w:tcPr>
            <w:tcW w:type="dxa" w:w="6400"/>
            <w:tcBorders>
              <w:top w:val="single" w:color="CCCCBB" w:sz="1" w:space="0"/>
              <w:left w:val="single" w:color="CCCCBB" w:sz="1" w:space="0"/>
              <w:bottom w:val="single" w:color="CCCCBB" w:sz="1" w:space="0"/>
              <w:right w:val="single" w:color="CCCCBB" w:sz="1" w:space="0"/>
            </w:tcBorders>
            <w:shd w:fill="FFFFFF" w:val="clear"/>
            <w:tcMar>
              <w:top w:type="dxa" w:w="80"/>
              <w:left w:type="dxa" w:w="160"/>
              <w:bottom w:type="dxa" w:w="80"/>
              <w:right w:type="dxa" w:w="160"/>
            </w:tcMar>
          </w:tcPr>
          <w:p>
            <w:r>
              <w:rPr>
                <w:rFonts w:ascii="Calibri" w:cs="Calibri" w:eastAsia="Calibri" w:hAnsi="Calibri"/>
                <w:color w:val="1E1E2E"/>
                <w:sz w:val="22"/>
                <w:szCs w:val="22"/>
              </w:rPr>
              <w:t xml:space="preserve">NIST PQC standards — CRYSTALS-Kyber, CRYSTALS-Dilithium, FALCON, SPHINCS+</w:t>
            </w:r>
          </w:p>
        </w:tc>
      </w:tr>
      <w:tr>
        <w:tc>
          <w:tcPr>
            <w:tcW w:type="dxa" w:w="2600"/>
            <w:tcBorders>
              <w:top w:val="single" w:color="CCCCBB" w:sz="1" w:space="0"/>
              <w:left w:val="single" w:color="CCCCBB" w:sz="1" w:space="0"/>
              <w:bottom w:val="single" w:color="CCCCBB" w:sz="1" w:space="0"/>
              <w:right w:val="single" w:color="CCCCBB" w:sz="1" w:space="0"/>
            </w:tcBorders>
            <w:shd w:fill="F5F2EA" w:val="clear"/>
            <w:tcMar>
              <w:top w:type="dxa" w:w="80"/>
              <w:left w:type="dxa" w:w="160"/>
              <w:bottom w:type="dxa" w:w="80"/>
              <w:right w:type="dxa" w:w="160"/>
            </w:tcMar>
          </w:tcPr>
          <w:p>
            <w:r>
              <w:rPr>
                <w:rFonts w:ascii="Calibri" w:cs="Calibri" w:eastAsia="Calibri" w:hAnsi="Calibri"/>
                <w:b/>
                <w:bCs/>
                <w:color w:val="0C2340"/>
                <w:sz w:val="22"/>
                <w:szCs w:val="22"/>
              </w:rPr>
              <w:t xml:space="preserve">Transition Approach</w:t>
            </w:r>
          </w:p>
        </w:tc>
        <w:tc>
          <w:tcPr>
            <w:tcW w:type="dxa" w:w="6400"/>
            <w:tcBorders>
              <w:top w:val="single" w:color="CCCCBB" w:sz="1" w:space="0"/>
              <w:left w:val="single" w:color="CCCCBB" w:sz="1" w:space="0"/>
              <w:bottom w:val="single" w:color="CCCCBB" w:sz="1" w:space="0"/>
              <w:right w:val="single" w:color="CCCCBB" w:sz="1" w:space="0"/>
            </w:tcBorders>
            <w:shd w:fill="FAFAF5" w:val="clear"/>
            <w:tcMar>
              <w:top w:type="dxa" w:w="80"/>
              <w:left w:type="dxa" w:w="160"/>
              <w:bottom w:type="dxa" w:w="80"/>
              <w:right w:type="dxa" w:w="160"/>
            </w:tcMar>
          </w:tcPr>
          <w:p>
            <w:r>
              <w:rPr>
                <w:rFonts w:ascii="Calibri" w:cs="Calibri" w:eastAsia="Calibri" w:hAnsi="Calibri"/>
                <w:color w:val="1E1E2E"/>
                <w:sz w:val="22"/>
                <w:szCs w:val="22"/>
              </w:rPr>
              <w:t xml:space="preserve">Hybrid layer enabling simultaneous classical and quantum-resistant operation during migration</w:t>
            </w:r>
          </w:p>
        </w:tc>
      </w:tr>
      <w:tr>
        <w:tc>
          <w:tcPr>
            <w:tcW w:type="dxa" w:w="2600"/>
            <w:tcBorders>
              <w:top w:val="single" w:color="CCCCBB" w:sz="1" w:space="0"/>
              <w:left w:val="single" w:color="CCCCBB" w:sz="1" w:space="0"/>
              <w:bottom w:val="single" w:color="CCCCBB" w:sz="1" w:space="0"/>
              <w:right w:val="single" w:color="CCCCBB" w:sz="1" w:space="0"/>
            </w:tcBorders>
            <w:shd w:fill="EDE8D8" w:val="clear"/>
            <w:tcMar>
              <w:top w:type="dxa" w:w="80"/>
              <w:left w:type="dxa" w:w="160"/>
              <w:bottom w:type="dxa" w:w="80"/>
              <w:right w:type="dxa" w:w="160"/>
            </w:tcMar>
          </w:tcPr>
          <w:p>
            <w:r>
              <w:rPr>
                <w:rFonts w:ascii="Calibri" w:cs="Calibri" w:eastAsia="Calibri" w:hAnsi="Calibri"/>
                <w:b/>
                <w:bCs/>
                <w:color w:val="0C2340"/>
                <w:sz w:val="22"/>
                <w:szCs w:val="22"/>
              </w:rPr>
              <w:t xml:space="preserve">Data Sovereignty</w:t>
            </w:r>
          </w:p>
        </w:tc>
        <w:tc>
          <w:tcPr>
            <w:tcW w:type="dxa" w:w="6400"/>
            <w:tcBorders>
              <w:top w:val="single" w:color="CCCCBB" w:sz="1" w:space="0"/>
              <w:left w:val="single" w:color="CCCCBB" w:sz="1" w:space="0"/>
              <w:bottom w:val="single" w:color="CCCCBB" w:sz="1" w:space="0"/>
              <w:right w:val="single" w:color="CCCCBB" w:sz="1" w:space="0"/>
            </w:tcBorders>
            <w:shd w:fill="FFFFFF" w:val="clear"/>
            <w:tcMar>
              <w:top w:type="dxa" w:w="80"/>
              <w:left w:type="dxa" w:w="160"/>
              <w:bottom w:type="dxa" w:w="80"/>
              <w:right w:type="dxa" w:w="160"/>
            </w:tcMar>
          </w:tcPr>
          <w:p>
            <w:r>
              <w:rPr>
                <w:rFonts w:ascii="Calibri" w:cs="Calibri" w:eastAsia="Calibri" w:hAnsi="Calibri"/>
                <w:color w:val="1E1E2E"/>
                <w:sz w:val="22"/>
                <w:szCs w:val="22"/>
              </w:rPr>
              <w:t xml:space="preserve">All quantum-resistant operations for government data performed within sovereign computational boundaries</w:t>
            </w:r>
          </w:p>
        </w:tc>
      </w:tr>
      <w:tr>
        <w:tc>
          <w:tcPr>
            <w:tcW w:type="dxa" w:w="2600"/>
            <w:tcBorders>
              <w:top w:val="single" w:color="CCCCBB" w:sz="1" w:space="0"/>
              <w:left w:val="single" w:color="CCCCBB" w:sz="1" w:space="0"/>
              <w:bottom w:val="single" w:color="CCCCBB" w:sz="1" w:space="0"/>
              <w:right w:val="single" w:color="CCCCBB" w:sz="1" w:space="0"/>
            </w:tcBorders>
            <w:shd w:fill="F5F2EA" w:val="clear"/>
            <w:tcMar>
              <w:top w:type="dxa" w:w="80"/>
              <w:left w:type="dxa" w:w="160"/>
              <w:bottom w:type="dxa" w:w="80"/>
              <w:right w:type="dxa" w:w="160"/>
            </w:tcMar>
          </w:tcPr>
          <w:p>
            <w:r>
              <w:rPr>
                <w:rFonts w:ascii="Calibri" w:cs="Calibri" w:eastAsia="Calibri" w:hAnsi="Calibri"/>
                <w:b/>
                <w:bCs/>
                <w:color w:val="0C2340"/>
                <w:sz w:val="22"/>
                <w:szCs w:val="22"/>
              </w:rPr>
              <w:t xml:space="preserve">Audit Trail</w:t>
            </w:r>
          </w:p>
        </w:tc>
        <w:tc>
          <w:tcPr>
            <w:tcW w:type="dxa" w:w="6400"/>
            <w:tcBorders>
              <w:top w:val="single" w:color="CCCCBB" w:sz="1" w:space="0"/>
              <w:left w:val="single" w:color="CCCCBB" w:sz="1" w:space="0"/>
              <w:bottom w:val="single" w:color="CCCCBB" w:sz="1" w:space="0"/>
              <w:right w:val="single" w:color="CCCCBB" w:sz="1" w:space="0"/>
            </w:tcBorders>
            <w:shd w:fill="FAFAF5" w:val="clear"/>
            <w:tcMar>
              <w:top w:type="dxa" w:w="80"/>
              <w:left w:type="dxa" w:w="160"/>
              <w:bottom w:type="dxa" w:w="80"/>
              <w:right w:type="dxa" w:w="160"/>
            </w:tcMar>
          </w:tcPr>
          <w:p>
            <w:r>
              <w:rPr>
                <w:rFonts w:ascii="Calibri" w:cs="Calibri" w:eastAsia="Calibri" w:hAnsi="Calibri"/>
                <w:color w:val="1E1E2E"/>
                <w:sz w:val="22"/>
                <w:szCs w:val="22"/>
              </w:rPr>
              <w:t xml:space="preserve">Cryptographically verifiable audit trails that remain tamper-evident under quantum adversarial conditions</w:t>
            </w:r>
          </w:p>
        </w:tc>
      </w:tr>
      <w:tr>
        <w:tc>
          <w:tcPr>
            <w:tcW w:type="dxa" w:w="2600"/>
            <w:tcBorders>
              <w:top w:val="single" w:color="CCCCBB" w:sz="1" w:space="0"/>
              <w:left w:val="single" w:color="CCCCBB" w:sz="1" w:space="0"/>
              <w:bottom w:val="single" w:color="CCCCBB" w:sz="1" w:space="0"/>
              <w:right w:val="single" w:color="CCCCBB" w:sz="1" w:space="0"/>
            </w:tcBorders>
            <w:shd w:fill="EDE8D8" w:val="clear"/>
            <w:tcMar>
              <w:top w:type="dxa" w:w="80"/>
              <w:left w:type="dxa" w:w="160"/>
              <w:bottom w:type="dxa" w:w="80"/>
              <w:right w:type="dxa" w:w="160"/>
            </w:tcMar>
          </w:tcPr>
          <w:p>
            <w:r>
              <w:rPr>
                <w:rFonts w:ascii="Calibri" w:cs="Calibri" w:eastAsia="Calibri" w:hAnsi="Calibri"/>
                <w:b/>
                <w:bCs/>
                <w:color w:val="0C2340"/>
                <w:sz w:val="22"/>
                <w:szCs w:val="22"/>
              </w:rPr>
              <w:t xml:space="preserve">Client Benefit</w:t>
            </w:r>
          </w:p>
        </w:tc>
        <w:tc>
          <w:tcPr>
            <w:tcW w:type="dxa" w:w="6400"/>
            <w:tcBorders>
              <w:top w:val="single" w:color="CCCCBB" w:sz="1" w:space="0"/>
              <w:left w:val="single" w:color="CCCCBB" w:sz="1" w:space="0"/>
              <w:bottom w:val="single" w:color="CCCCBB" w:sz="1" w:space="0"/>
              <w:right w:val="single" w:color="CCCCBB" w:sz="1" w:space="0"/>
            </w:tcBorders>
            <w:shd w:fill="FFFFFF" w:val="clear"/>
            <w:tcMar>
              <w:top w:type="dxa" w:w="80"/>
              <w:left w:type="dxa" w:w="160"/>
              <w:bottom w:type="dxa" w:w="80"/>
              <w:right w:type="dxa" w:w="160"/>
            </w:tcMar>
          </w:tcPr>
          <w:p>
            <w:r>
              <w:rPr>
                <w:rFonts w:ascii="Calibri" w:cs="Calibri" w:eastAsia="Calibri" w:hAnsi="Calibri"/>
                <w:color w:val="1E1E2E"/>
                <w:sz w:val="22"/>
                <w:szCs w:val="22"/>
              </w:rPr>
              <w:t xml:space="preserve">Clients adopting UDOC now avoid disruptive forced migration when quantum capabilities become adversarially relevant</w:t>
            </w:r>
          </w:p>
        </w:tc>
      </w:tr>
    </w:tbl>
    <w:p>
      <w:pPr>
        <w:spacing w:before="280" w:after="80"/>
      </w:pPr>
      <w:r>
        <w:rPr>
          <w:rFonts w:ascii="Georgia" w:cs="Georgia" w:eastAsia="Georgia" w:hAnsi="Georgia"/>
          <w:b/>
          <w:bCs/>
          <w:color w:val="0C2340"/>
          <w:sz w:val="24"/>
          <w:szCs w:val="24"/>
        </w:rPr>
        <w:t xml:space="preserve">D.4 API Architecture</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2600"/>
        <w:gridCol w:w="6400"/>
      </w:tblGrid>
      <w:tr>
        <w:tc>
          <w:tcPr>
            <w:tcW w:type="dxa" w:w="2600"/>
            <w:tcBorders>
              <w:top w:val="single" w:color="CCCCBB" w:sz="1" w:space="0"/>
              <w:left w:val="single" w:color="CCCCBB" w:sz="1" w:space="0"/>
              <w:bottom w:val="single" w:color="CCCCBB" w:sz="1" w:space="0"/>
              <w:right w:val="single" w:color="CCCCBB" w:sz="1" w:space="0"/>
            </w:tcBorders>
            <w:shd w:fill="EDE8D8" w:val="clear"/>
            <w:tcMar>
              <w:top w:type="dxa" w:w="80"/>
              <w:left w:type="dxa" w:w="160"/>
              <w:bottom w:type="dxa" w:w="80"/>
              <w:right w:type="dxa" w:w="160"/>
            </w:tcMar>
          </w:tcPr>
          <w:p>
            <w:r>
              <w:rPr>
                <w:rFonts w:ascii="Calibri" w:cs="Calibri" w:eastAsia="Calibri" w:hAnsi="Calibri"/>
                <w:b/>
                <w:bCs/>
                <w:color w:val="0C2340"/>
                <w:sz w:val="22"/>
                <w:szCs w:val="22"/>
              </w:rPr>
              <w:t xml:space="preserve">Design</w:t>
            </w:r>
          </w:p>
        </w:tc>
        <w:tc>
          <w:tcPr>
            <w:tcW w:type="dxa" w:w="6400"/>
            <w:tcBorders>
              <w:top w:val="single" w:color="CCCCBB" w:sz="1" w:space="0"/>
              <w:left w:val="single" w:color="CCCCBB" w:sz="1" w:space="0"/>
              <w:bottom w:val="single" w:color="CCCCBB" w:sz="1" w:space="0"/>
              <w:right w:val="single" w:color="CCCCBB" w:sz="1" w:space="0"/>
            </w:tcBorders>
            <w:shd w:fill="FFFFFF" w:val="clear"/>
            <w:tcMar>
              <w:top w:type="dxa" w:w="80"/>
              <w:left w:type="dxa" w:w="160"/>
              <w:bottom w:type="dxa" w:w="80"/>
              <w:right w:type="dxa" w:w="160"/>
            </w:tcMar>
          </w:tcPr>
          <w:p>
            <w:r>
              <w:rPr>
                <w:rFonts w:ascii="Calibri" w:cs="Calibri" w:eastAsia="Calibri" w:hAnsi="Calibri"/>
                <w:color w:val="1E1E2E"/>
                <w:sz w:val="22"/>
                <w:szCs w:val="22"/>
              </w:rPr>
              <w:t xml:space="preserve">RESTful API with comprehensive documentation for enterprise client integration</w:t>
            </w:r>
          </w:p>
        </w:tc>
      </w:tr>
      <w:tr>
        <w:tc>
          <w:tcPr>
            <w:tcW w:type="dxa" w:w="2600"/>
            <w:tcBorders>
              <w:top w:val="single" w:color="CCCCBB" w:sz="1" w:space="0"/>
              <w:left w:val="single" w:color="CCCCBB" w:sz="1" w:space="0"/>
              <w:bottom w:val="single" w:color="CCCCBB" w:sz="1" w:space="0"/>
              <w:right w:val="single" w:color="CCCCBB" w:sz="1" w:space="0"/>
            </w:tcBorders>
            <w:shd w:fill="F5F2EA" w:val="clear"/>
            <w:tcMar>
              <w:top w:type="dxa" w:w="80"/>
              <w:left w:type="dxa" w:w="160"/>
              <w:bottom w:type="dxa" w:w="80"/>
              <w:right w:type="dxa" w:w="160"/>
            </w:tcMar>
          </w:tcPr>
          <w:p>
            <w:r>
              <w:rPr>
                <w:rFonts w:ascii="Calibri" w:cs="Calibri" w:eastAsia="Calibri" w:hAnsi="Calibri"/>
                <w:b/>
                <w:bCs/>
                <w:color w:val="0C2340"/>
                <w:sz w:val="22"/>
                <w:szCs w:val="22"/>
              </w:rPr>
              <w:t xml:space="preserve">Versioning</w:t>
            </w:r>
          </w:p>
        </w:tc>
        <w:tc>
          <w:tcPr>
            <w:tcW w:type="dxa" w:w="6400"/>
            <w:tcBorders>
              <w:top w:val="single" w:color="CCCCBB" w:sz="1" w:space="0"/>
              <w:left w:val="single" w:color="CCCCBB" w:sz="1" w:space="0"/>
              <w:bottom w:val="single" w:color="CCCCBB" w:sz="1" w:space="0"/>
              <w:right w:val="single" w:color="CCCCBB" w:sz="1" w:space="0"/>
            </w:tcBorders>
            <w:shd w:fill="FAFAF5" w:val="clear"/>
            <w:tcMar>
              <w:top w:type="dxa" w:w="80"/>
              <w:left w:type="dxa" w:w="160"/>
              <w:bottom w:type="dxa" w:w="80"/>
              <w:right w:type="dxa" w:w="160"/>
            </w:tcMar>
          </w:tcPr>
          <w:p>
            <w:r>
              <w:rPr>
                <w:rFonts w:ascii="Calibri" w:cs="Calibri" w:eastAsia="Calibri" w:hAnsi="Calibri"/>
                <w:color w:val="1E1E2E"/>
                <w:sz w:val="22"/>
                <w:szCs w:val="22"/>
              </w:rPr>
              <w:t xml:space="preserve">All breaking changes deployed as new version; minimum 12-month sunset for prior versions</w:t>
            </w:r>
          </w:p>
        </w:tc>
      </w:tr>
      <w:tr>
        <w:tc>
          <w:tcPr>
            <w:tcW w:type="dxa" w:w="2600"/>
            <w:tcBorders>
              <w:top w:val="single" w:color="CCCCBB" w:sz="1" w:space="0"/>
              <w:left w:val="single" w:color="CCCCBB" w:sz="1" w:space="0"/>
              <w:bottom w:val="single" w:color="CCCCBB" w:sz="1" w:space="0"/>
              <w:right w:val="single" w:color="CCCCBB" w:sz="1" w:space="0"/>
            </w:tcBorders>
            <w:shd w:fill="EDE8D8" w:val="clear"/>
            <w:tcMar>
              <w:top w:type="dxa" w:w="80"/>
              <w:left w:type="dxa" w:w="160"/>
              <w:bottom w:type="dxa" w:w="80"/>
              <w:right w:type="dxa" w:w="160"/>
            </w:tcMar>
          </w:tcPr>
          <w:p>
            <w:r>
              <w:rPr>
                <w:rFonts w:ascii="Calibri" w:cs="Calibri" w:eastAsia="Calibri" w:hAnsi="Calibri"/>
                <w:b/>
                <w:bCs/>
                <w:color w:val="0C2340"/>
                <w:sz w:val="22"/>
                <w:szCs w:val="22"/>
              </w:rPr>
              <w:t xml:space="preserve">Authentication</w:t>
            </w:r>
          </w:p>
        </w:tc>
        <w:tc>
          <w:tcPr>
            <w:tcW w:type="dxa" w:w="6400"/>
            <w:tcBorders>
              <w:top w:val="single" w:color="CCCCBB" w:sz="1" w:space="0"/>
              <w:left w:val="single" w:color="CCCCBB" w:sz="1" w:space="0"/>
              <w:bottom w:val="single" w:color="CCCCBB" w:sz="1" w:space="0"/>
              <w:right w:val="single" w:color="CCCCBB" w:sz="1" w:space="0"/>
            </w:tcBorders>
            <w:shd w:fill="FFFFFF" w:val="clear"/>
            <w:tcMar>
              <w:top w:type="dxa" w:w="80"/>
              <w:left w:type="dxa" w:w="160"/>
              <w:bottom w:type="dxa" w:w="80"/>
              <w:right w:type="dxa" w:w="160"/>
            </w:tcMar>
          </w:tcPr>
          <w:p>
            <w:r>
              <w:rPr>
                <w:rFonts w:ascii="Calibri" w:cs="Calibri" w:eastAsia="Calibri" w:hAnsi="Calibri"/>
                <w:color w:val="1E1E2E"/>
                <w:sz w:val="22"/>
                <w:szCs w:val="22"/>
              </w:rPr>
              <w:t xml:space="preserve">OAuth 2.0 with JWT tokens, scoped to minimum required permissions</w:t>
            </w:r>
          </w:p>
        </w:tc>
      </w:tr>
      <w:tr>
        <w:tc>
          <w:tcPr>
            <w:tcW w:type="dxa" w:w="2600"/>
            <w:tcBorders>
              <w:top w:val="single" w:color="CCCCBB" w:sz="1" w:space="0"/>
              <w:left w:val="single" w:color="CCCCBB" w:sz="1" w:space="0"/>
              <w:bottom w:val="single" w:color="CCCCBB" w:sz="1" w:space="0"/>
              <w:right w:val="single" w:color="CCCCBB" w:sz="1" w:space="0"/>
            </w:tcBorders>
            <w:shd w:fill="F5F2EA" w:val="clear"/>
            <w:tcMar>
              <w:top w:type="dxa" w:w="80"/>
              <w:left w:type="dxa" w:w="160"/>
              <w:bottom w:type="dxa" w:w="80"/>
              <w:right w:type="dxa" w:w="160"/>
            </w:tcMar>
          </w:tcPr>
          <w:p>
            <w:r>
              <w:rPr>
                <w:rFonts w:ascii="Calibri" w:cs="Calibri" w:eastAsia="Calibri" w:hAnsi="Calibri"/>
                <w:b/>
                <w:bCs/>
                <w:color w:val="0C2340"/>
                <w:sz w:val="22"/>
                <w:szCs w:val="22"/>
              </w:rPr>
              <w:t xml:space="preserve">Audit Logging</w:t>
            </w:r>
          </w:p>
        </w:tc>
        <w:tc>
          <w:tcPr>
            <w:tcW w:type="dxa" w:w="6400"/>
            <w:tcBorders>
              <w:top w:val="single" w:color="CCCCBB" w:sz="1" w:space="0"/>
              <w:left w:val="single" w:color="CCCCBB" w:sz="1" w:space="0"/>
              <w:bottom w:val="single" w:color="CCCCBB" w:sz="1" w:space="0"/>
              <w:right w:val="single" w:color="CCCCBB" w:sz="1" w:space="0"/>
            </w:tcBorders>
            <w:shd w:fill="FAFAF5" w:val="clear"/>
            <w:tcMar>
              <w:top w:type="dxa" w:w="80"/>
              <w:left w:type="dxa" w:w="160"/>
              <w:bottom w:type="dxa" w:w="80"/>
              <w:right w:type="dxa" w:w="160"/>
            </w:tcMar>
          </w:tcPr>
          <w:p>
            <w:r>
              <w:rPr>
                <w:rFonts w:ascii="Calibri" w:cs="Calibri" w:eastAsia="Calibri" w:hAnsi="Calibri"/>
                <w:color w:val="1E1E2E"/>
                <w:sz w:val="22"/>
                <w:szCs w:val="22"/>
              </w:rPr>
              <w:t xml:space="preserve">All API calls logged with timestamp, caller identity, and request details in tamper-evident format</w:t>
            </w:r>
          </w:p>
        </w:tc>
      </w:tr>
    </w:tbl>
    <w:p>
      <w:r>
        <w:br w:type="page"/>
      </w:r>
    </w:p>
    <w:p>
      <w:pPr>
        <w:pBdr>
          <w:bottom w:val="single" w:color="C9A84C" w:sz="8" w:space="4"/>
        </w:pBdr>
        <w:spacing w:before="440" w:after="120"/>
      </w:pPr>
      <w:r>
        <w:rPr>
          <w:rFonts w:ascii="Georgia" w:cs="Georgia" w:eastAsia="Georgia" w:hAnsi="Georgia"/>
          <w:b/>
          <w:bCs/>
          <w:color w:val="B8972A"/>
          <w:sz w:val="28"/>
          <w:szCs w:val="28"/>
        </w:rPr>
        <w:t xml:space="preserve">ANNEXURE E  </w:t>
      </w:r>
      <w:r>
        <w:rPr>
          <w:rFonts w:ascii="Georgia" w:cs="Georgia" w:eastAsia="Georgia" w:hAnsi="Georgia"/>
          <w:b/>
          <w:bCs/>
          <w:color w:val="0C2340"/>
          <w:sz w:val="28"/>
          <w:szCs w:val="28"/>
        </w:rPr>
        <w:t xml:space="preserve">Government Procurement Framework — South Africa</w:t>
      </w:r>
    </w:p>
    <w:p>
      <w:pPr>
        <w:spacing w:before="280" w:after="80"/>
      </w:pPr>
      <w:r>
        <w:rPr>
          <w:rFonts w:ascii="Georgia" w:cs="Georgia" w:eastAsia="Georgia" w:hAnsi="Georgia"/>
          <w:b/>
          <w:bCs/>
          <w:color w:val="0C2340"/>
          <w:sz w:val="24"/>
          <w:szCs w:val="24"/>
        </w:rPr>
        <w:t xml:space="preserve">E.1 Legislative Compliance Framework</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2600"/>
        <w:gridCol w:w="6400"/>
      </w:tblGrid>
      <w:tr>
        <w:tc>
          <w:tcPr>
            <w:tcW w:type="dxa" w:w="2600"/>
            <w:tcBorders>
              <w:top w:val="single" w:color="CCCCBB" w:sz="1" w:space="0"/>
              <w:left w:val="single" w:color="CCCCBB" w:sz="1" w:space="0"/>
              <w:bottom w:val="single" w:color="CCCCBB" w:sz="1" w:space="0"/>
              <w:right w:val="single" w:color="CCCCBB" w:sz="1" w:space="0"/>
            </w:tcBorders>
            <w:shd w:fill="EDE8D8" w:val="clear"/>
            <w:tcMar>
              <w:top w:type="dxa" w:w="80"/>
              <w:left w:type="dxa" w:w="160"/>
              <w:bottom w:type="dxa" w:w="80"/>
              <w:right w:type="dxa" w:w="160"/>
            </w:tcMar>
          </w:tcPr>
          <w:p>
            <w:r>
              <w:rPr>
                <w:rFonts w:ascii="Calibri" w:cs="Calibri" w:eastAsia="Calibri" w:hAnsi="Calibri"/>
                <w:b/>
                <w:bCs/>
                <w:color w:val="0C2340"/>
                <w:sz w:val="22"/>
                <w:szCs w:val="22"/>
              </w:rPr>
              <w:t xml:space="preserve">Section 195</w:t>
            </w:r>
          </w:p>
        </w:tc>
        <w:tc>
          <w:tcPr>
            <w:tcW w:type="dxa" w:w="6400"/>
            <w:tcBorders>
              <w:top w:val="single" w:color="CCCCBB" w:sz="1" w:space="0"/>
              <w:left w:val="single" w:color="CCCCBB" w:sz="1" w:space="0"/>
              <w:bottom w:val="single" w:color="CCCCBB" w:sz="1" w:space="0"/>
              <w:right w:val="single" w:color="CCCCBB" w:sz="1" w:space="0"/>
            </w:tcBorders>
            <w:shd w:fill="FFFFFF" w:val="clear"/>
            <w:tcMar>
              <w:top w:type="dxa" w:w="80"/>
              <w:left w:type="dxa" w:w="160"/>
              <w:bottom w:type="dxa" w:w="80"/>
              <w:right w:type="dxa" w:w="160"/>
            </w:tcMar>
          </w:tcPr>
          <w:p>
            <w:r>
              <w:rPr>
                <w:rFonts w:ascii="Calibri" w:cs="Calibri" w:eastAsia="Calibri" w:hAnsi="Calibri"/>
                <w:color w:val="1E1E2E"/>
                <w:sz w:val="22"/>
                <w:szCs w:val="22"/>
              </w:rPr>
              <w:t xml:space="preserve">Basic values of public administration — efficiency, accountability, transparency</w:t>
            </w:r>
          </w:p>
        </w:tc>
      </w:tr>
      <w:tr>
        <w:tc>
          <w:tcPr>
            <w:tcW w:type="dxa" w:w="2600"/>
            <w:tcBorders>
              <w:top w:val="single" w:color="CCCCBB" w:sz="1" w:space="0"/>
              <w:left w:val="single" w:color="CCCCBB" w:sz="1" w:space="0"/>
              <w:bottom w:val="single" w:color="CCCCBB" w:sz="1" w:space="0"/>
              <w:right w:val="single" w:color="CCCCBB" w:sz="1" w:space="0"/>
            </w:tcBorders>
            <w:shd w:fill="F5F2EA" w:val="clear"/>
            <w:tcMar>
              <w:top w:type="dxa" w:w="80"/>
              <w:left w:type="dxa" w:w="160"/>
              <w:bottom w:type="dxa" w:w="80"/>
              <w:right w:type="dxa" w:w="160"/>
            </w:tcMar>
          </w:tcPr>
          <w:p>
            <w:r>
              <w:rPr>
                <w:rFonts w:ascii="Calibri" w:cs="Calibri" w:eastAsia="Calibri" w:hAnsi="Calibri"/>
                <w:b/>
                <w:bCs/>
                <w:color w:val="0C2340"/>
                <w:sz w:val="22"/>
                <w:szCs w:val="22"/>
              </w:rPr>
              <w:t xml:space="preserve">Section 217</w:t>
            </w:r>
          </w:p>
        </w:tc>
        <w:tc>
          <w:tcPr>
            <w:tcW w:type="dxa" w:w="6400"/>
            <w:tcBorders>
              <w:top w:val="single" w:color="CCCCBB" w:sz="1" w:space="0"/>
              <w:left w:val="single" w:color="CCCCBB" w:sz="1" w:space="0"/>
              <w:bottom w:val="single" w:color="CCCCBB" w:sz="1" w:space="0"/>
              <w:right w:val="single" w:color="CCCCBB" w:sz="1" w:space="0"/>
            </w:tcBorders>
            <w:shd w:fill="FAFAF5" w:val="clear"/>
            <w:tcMar>
              <w:top w:type="dxa" w:w="80"/>
              <w:left w:type="dxa" w:w="160"/>
              <w:bottom w:type="dxa" w:w="80"/>
              <w:right w:type="dxa" w:w="160"/>
            </w:tcMar>
          </w:tcPr>
          <w:p>
            <w:r>
              <w:rPr>
                <w:rFonts w:ascii="Calibri" w:cs="Calibri" w:eastAsia="Calibri" w:hAnsi="Calibri"/>
                <w:color w:val="1E1E2E"/>
                <w:sz w:val="22"/>
                <w:szCs w:val="22"/>
              </w:rPr>
              <w:t xml:space="preserve">Public procurement — fair, equitable, transparent, competitive, cost-effective</w:t>
            </w:r>
          </w:p>
        </w:tc>
      </w:tr>
      <w:tr>
        <w:tc>
          <w:tcPr>
            <w:tcW w:type="dxa" w:w="2600"/>
            <w:tcBorders>
              <w:top w:val="single" w:color="CCCCBB" w:sz="1" w:space="0"/>
              <w:left w:val="single" w:color="CCCCBB" w:sz="1" w:space="0"/>
              <w:bottom w:val="single" w:color="CCCCBB" w:sz="1" w:space="0"/>
              <w:right w:val="single" w:color="CCCCBB" w:sz="1" w:space="0"/>
            </w:tcBorders>
            <w:shd w:fill="EDE8D8" w:val="clear"/>
            <w:tcMar>
              <w:top w:type="dxa" w:w="80"/>
              <w:left w:type="dxa" w:w="160"/>
              <w:bottom w:type="dxa" w:w="80"/>
              <w:right w:type="dxa" w:w="160"/>
            </w:tcMar>
          </w:tcPr>
          <w:p>
            <w:r>
              <w:rPr>
                <w:rFonts w:ascii="Calibri" w:cs="Calibri" w:eastAsia="Calibri" w:hAnsi="Calibri"/>
                <w:b/>
                <w:bCs/>
                <w:color w:val="0C2340"/>
                <w:sz w:val="22"/>
                <w:szCs w:val="22"/>
              </w:rPr>
              <w:t xml:space="preserve">PFMA</w:t>
            </w:r>
          </w:p>
        </w:tc>
        <w:tc>
          <w:tcPr>
            <w:tcW w:type="dxa" w:w="6400"/>
            <w:tcBorders>
              <w:top w:val="single" w:color="CCCCBB" w:sz="1" w:space="0"/>
              <w:left w:val="single" w:color="CCCCBB" w:sz="1" w:space="0"/>
              <w:bottom w:val="single" w:color="CCCCBB" w:sz="1" w:space="0"/>
              <w:right w:val="single" w:color="CCCCBB" w:sz="1" w:space="0"/>
            </w:tcBorders>
            <w:shd w:fill="FFFFFF" w:val="clear"/>
            <w:tcMar>
              <w:top w:type="dxa" w:w="80"/>
              <w:left w:type="dxa" w:w="160"/>
              <w:bottom w:type="dxa" w:w="80"/>
              <w:right w:type="dxa" w:w="160"/>
            </w:tcMar>
          </w:tcPr>
          <w:p>
            <w:r>
              <w:rPr>
                <w:rFonts w:ascii="Calibri" w:cs="Calibri" w:eastAsia="Calibri" w:hAnsi="Calibri"/>
                <w:color w:val="1E1E2E"/>
                <w:sz w:val="22"/>
                <w:szCs w:val="22"/>
              </w:rPr>
              <w:t xml:space="preserve">Ring-fencing, revenue tracking, and audit trail built into all structures</w:t>
            </w:r>
          </w:p>
        </w:tc>
      </w:tr>
      <w:tr>
        <w:tc>
          <w:tcPr>
            <w:tcW w:type="dxa" w:w="2600"/>
            <w:tcBorders>
              <w:top w:val="single" w:color="CCCCBB" w:sz="1" w:space="0"/>
              <w:left w:val="single" w:color="CCCCBB" w:sz="1" w:space="0"/>
              <w:bottom w:val="single" w:color="CCCCBB" w:sz="1" w:space="0"/>
              <w:right w:val="single" w:color="CCCCBB" w:sz="1" w:space="0"/>
            </w:tcBorders>
            <w:shd w:fill="F5F2EA" w:val="clear"/>
            <w:tcMar>
              <w:top w:type="dxa" w:w="80"/>
              <w:left w:type="dxa" w:w="160"/>
              <w:bottom w:type="dxa" w:w="80"/>
              <w:right w:type="dxa" w:w="160"/>
            </w:tcMar>
          </w:tcPr>
          <w:p>
            <w:r>
              <w:rPr>
                <w:rFonts w:ascii="Calibri" w:cs="Calibri" w:eastAsia="Calibri" w:hAnsi="Calibri"/>
                <w:b/>
                <w:bCs/>
                <w:color w:val="0C2340"/>
                <w:sz w:val="22"/>
                <w:szCs w:val="22"/>
              </w:rPr>
              <w:t xml:space="preserve">POPIA</w:t>
            </w:r>
          </w:p>
        </w:tc>
        <w:tc>
          <w:tcPr>
            <w:tcW w:type="dxa" w:w="6400"/>
            <w:tcBorders>
              <w:top w:val="single" w:color="CCCCBB" w:sz="1" w:space="0"/>
              <w:left w:val="single" w:color="CCCCBB" w:sz="1" w:space="0"/>
              <w:bottom w:val="single" w:color="CCCCBB" w:sz="1" w:space="0"/>
              <w:right w:val="single" w:color="CCCCBB" w:sz="1" w:space="0"/>
            </w:tcBorders>
            <w:shd w:fill="FAFAF5" w:val="clear"/>
            <w:tcMar>
              <w:top w:type="dxa" w:w="80"/>
              <w:left w:type="dxa" w:w="160"/>
              <w:bottom w:type="dxa" w:w="80"/>
              <w:right w:type="dxa" w:w="160"/>
            </w:tcMar>
          </w:tcPr>
          <w:p>
            <w:r>
              <w:rPr>
                <w:rFonts w:ascii="Calibri" w:cs="Calibri" w:eastAsia="Calibri" w:hAnsi="Calibri"/>
                <w:color w:val="1E1E2E"/>
                <w:sz w:val="22"/>
                <w:szCs w:val="22"/>
              </w:rPr>
              <w:t xml:space="preserve">Full data protection architecture embedded from design — not retrofitted</w:t>
            </w:r>
          </w:p>
        </w:tc>
      </w:tr>
      <w:tr>
        <w:tc>
          <w:tcPr>
            <w:tcW w:type="dxa" w:w="2600"/>
            <w:tcBorders>
              <w:top w:val="single" w:color="CCCCBB" w:sz="1" w:space="0"/>
              <w:left w:val="single" w:color="CCCCBB" w:sz="1" w:space="0"/>
              <w:bottom w:val="single" w:color="CCCCBB" w:sz="1" w:space="0"/>
              <w:right w:val="single" w:color="CCCCBB" w:sz="1" w:space="0"/>
            </w:tcBorders>
            <w:shd w:fill="EDE8D8" w:val="clear"/>
            <w:tcMar>
              <w:top w:type="dxa" w:w="80"/>
              <w:left w:type="dxa" w:w="160"/>
              <w:bottom w:type="dxa" w:w="80"/>
              <w:right w:type="dxa" w:w="160"/>
            </w:tcMar>
          </w:tcPr>
          <w:p>
            <w:r>
              <w:rPr>
                <w:rFonts w:ascii="Calibri" w:cs="Calibri" w:eastAsia="Calibri" w:hAnsi="Calibri"/>
                <w:b/>
                <w:bCs/>
                <w:color w:val="0C2340"/>
                <w:sz w:val="22"/>
                <w:szCs w:val="22"/>
              </w:rPr>
              <w:t xml:space="preserve">PAIA</w:t>
            </w:r>
          </w:p>
        </w:tc>
        <w:tc>
          <w:tcPr>
            <w:tcW w:type="dxa" w:w="6400"/>
            <w:tcBorders>
              <w:top w:val="single" w:color="CCCCBB" w:sz="1" w:space="0"/>
              <w:left w:val="single" w:color="CCCCBB" w:sz="1" w:space="0"/>
              <w:bottom w:val="single" w:color="CCCCBB" w:sz="1" w:space="0"/>
              <w:right w:val="single" w:color="CCCCBB" w:sz="1" w:space="0"/>
            </w:tcBorders>
            <w:shd w:fill="FFFFFF" w:val="clear"/>
            <w:tcMar>
              <w:top w:type="dxa" w:w="80"/>
              <w:left w:type="dxa" w:w="160"/>
              <w:bottom w:type="dxa" w:w="80"/>
              <w:right w:type="dxa" w:w="160"/>
            </w:tcMar>
          </w:tcPr>
          <w:p>
            <w:r>
              <w:rPr>
                <w:rFonts w:ascii="Calibri" w:cs="Calibri" w:eastAsia="Calibri" w:hAnsi="Calibri"/>
                <w:color w:val="1E1E2E"/>
                <w:sz w:val="22"/>
                <w:szCs w:val="22"/>
              </w:rPr>
              <w:t xml:space="preserve">Public access transparency layer built in as standard</w:t>
            </w:r>
          </w:p>
        </w:tc>
      </w:tr>
      <w:tr>
        <w:tc>
          <w:tcPr>
            <w:tcW w:type="dxa" w:w="2600"/>
            <w:tcBorders>
              <w:top w:val="single" w:color="CCCCBB" w:sz="1" w:space="0"/>
              <w:left w:val="single" w:color="CCCCBB" w:sz="1" w:space="0"/>
              <w:bottom w:val="single" w:color="CCCCBB" w:sz="1" w:space="0"/>
              <w:right w:val="single" w:color="CCCCBB" w:sz="1" w:space="0"/>
            </w:tcBorders>
            <w:shd w:fill="F5F2EA" w:val="clear"/>
            <w:tcMar>
              <w:top w:type="dxa" w:w="80"/>
              <w:left w:type="dxa" w:w="160"/>
              <w:bottom w:type="dxa" w:w="80"/>
              <w:right w:type="dxa" w:w="160"/>
            </w:tcMar>
          </w:tcPr>
          <w:p>
            <w:r>
              <w:rPr>
                <w:rFonts w:ascii="Calibri" w:cs="Calibri" w:eastAsia="Calibri" w:hAnsi="Calibri"/>
                <w:b/>
                <w:bCs/>
                <w:color w:val="0C2340"/>
                <w:sz w:val="22"/>
                <w:szCs w:val="22"/>
              </w:rPr>
              <w:t xml:space="preserve">PPPFA</w:t>
            </w:r>
          </w:p>
        </w:tc>
        <w:tc>
          <w:tcPr>
            <w:tcW w:type="dxa" w:w="6400"/>
            <w:tcBorders>
              <w:top w:val="single" w:color="CCCCBB" w:sz="1" w:space="0"/>
              <w:left w:val="single" w:color="CCCCBB" w:sz="1" w:space="0"/>
              <w:bottom w:val="single" w:color="CCCCBB" w:sz="1" w:space="0"/>
              <w:right w:val="single" w:color="CCCCBB" w:sz="1" w:space="0"/>
            </w:tcBorders>
            <w:shd w:fill="FAFAF5" w:val="clear"/>
            <w:tcMar>
              <w:top w:type="dxa" w:w="80"/>
              <w:left w:type="dxa" w:w="160"/>
              <w:bottom w:type="dxa" w:w="80"/>
              <w:right w:type="dxa" w:w="160"/>
            </w:tcMar>
          </w:tcPr>
          <w:p>
            <w:r>
              <w:rPr>
                <w:rFonts w:ascii="Calibri" w:cs="Calibri" w:eastAsia="Calibri" w:hAnsi="Calibri"/>
                <w:color w:val="1E1E2E"/>
                <w:sz w:val="22"/>
                <w:szCs w:val="22"/>
              </w:rPr>
              <w:t xml:space="preserve">Preferential procurement compliance built into all procurement structures</w:t>
            </w:r>
          </w:p>
        </w:tc>
      </w:tr>
      <w:tr>
        <w:tc>
          <w:tcPr>
            <w:tcW w:type="dxa" w:w="2600"/>
            <w:tcBorders>
              <w:top w:val="single" w:color="CCCCBB" w:sz="1" w:space="0"/>
              <w:left w:val="single" w:color="CCCCBB" w:sz="1" w:space="0"/>
              <w:bottom w:val="single" w:color="CCCCBB" w:sz="1" w:space="0"/>
              <w:right w:val="single" w:color="CCCCBB" w:sz="1" w:space="0"/>
            </w:tcBorders>
            <w:shd w:fill="EDE8D8" w:val="clear"/>
            <w:tcMar>
              <w:top w:type="dxa" w:w="80"/>
              <w:left w:type="dxa" w:w="160"/>
              <w:bottom w:type="dxa" w:w="80"/>
              <w:right w:type="dxa" w:w="160"/>
            </w:tcMar>
          </w:tcPr>
          <w:p>
            <w:r>
              <w:rPr>
                <w:rFonts w:ascii="Calibri" w:cs="Calibri" w:eastAsia="Calibri" w:hAnsi="Calibri"/>
                <w:b/>
                <w:bCs/>
                <w:color w:val="0C2340"/>
                <w:sz w:val="22"/>
                <w:szCs w:val="22"/>
              </w:rPr>
              <w:t xml:space="preserve">B-BBEE</w:t>
            </w:r>
          </w:p>
        </w:tc>
        <w:tc>
          <w:tcPr>
            <w:tcW w:type="dxa" w:w="6400"/>
            <w:tcBorders>
              <w:top w:val="single" w:color="CCCCBB" w:sz="1" w:space="0"/>
              <w:left w:val="single" w:color="CCCCBB" w:sz="1" w:space="0"/>
              <w:bottom w:val="single" w:color="CCCCBB" w:sz="1" w:space="0"/>
              <w:right w:val="single" w:color="CCCCBB" w:sz="1" w:space="0"/>
            </w:tcBorders>
            <w:shd w:fill="FFFFFF" w:val="clear"/>
            <w:tcMar>
              <w:top w:type="dxa" w:w="80"/>
              <w:left w:type="dxa" w:w="160"/>
              <w:bottom w:type="dxa" w:w="80"/>
              <w:right w:type="dxa" w:w="160"/>
            </w:tcMar>
          </w:tcPr>
          <w:p>
            <w:r>
              <w:rPr>
                <w:rFonts w:ascii="Calibri" w:cs="Calibri" w:eastAsia="Calibri" w:hAnsi="Calibri"/>
                <w:color w:val="1E1E2E"/>
                <w:sz w:val="22"/>
                <w:szCs w:val="22"/>
              </w:rPr>
              <w:t xml:space="preserve">Genuine transformation commitment embedded at governance level</w:t>
            </w:r>
          </w:p>
        </w:tc>
      </w:tr>
    </w:tbl>
    <w:p>
      <w:pPr>
        <w:spacing w:before="280" w:after="80"/>
      </w:pPr>
      <w:r>
        <w:rPr>
          <w:rFonts w:ascii="Georgia" w:cs="Georgia" w:eastAsia="Georgia" w:hAnsi="Georgia"/>
          <w:b/>
          <w:bCs/>
          <w:color w:val="0C2340"/>
          <w:sz w:val="24"/>
          <w:szCs w:val="24"/>
        </w:rPr>
        <w:t xml:space="preserve">E.2 Standard Government Proposal Structure</w:t>
      </w:r>
    </w:p>
    <w:p>
      <w:pPr>
        <w:spacing w:before="80" w:after="80"/>
        <w:jc w:val="both"/>
      </w:pPr>
      <w:r>
        <w:rPr>
          <w:rFonts w:ascii="Calibri" w:cs="Calibri" w:eastAsia="Calibri" w:hAnsi="Calibri"/>
          <w:color w:val="1E1E2E"/>
          <w:sz w:val="22"/>
          <w:szCs w:val="22"/>
        </w:rPr>
        <w:t xml:space="preserve">All G.O.D.S government proposals follow a standardized structure: executive summary (maximum 3 pages, plain language); constitutional and legislative compliance statement; proposed service specifications (detailed, measurable, time-bounded); pricing and payment structure (outcome-linked where possible); performance bond and accountability mechanisms; independent audit provisions; sovereign data and IP provisions; exit provisions and transition plan; and B-BBEE compliance documentation.</w:t>
      </w:r>
    </w:p>
    <w:p>
      <w:pPr>
        <w:spacing w:before="280" w:after="80"/>
      </w:pPr>
      <w:r>
        <w:rPr>
          <w:rFonts w:ascii="Georgia" w:cs="Georgia" w:eastAsia="Georgia" w:hAnsi="Georgia"/>
          <w:b/>
          <w:bCs/>
          <w:color w:val="0C2340"/>
          <w:sz w:val="24"/>
          <w:szCs w:val="24"/>
        </w:rPr>
        <w:t xml:space="preserve">E.3 Why This Is Infrastructure Asset Creation — Not Expenditure</w:t>
      </w:r>
    </w:p>
    <w:p>
      <w:pPr>
        <w:spacing w:before="80" w:after="80"/>
        <w:jc w:val="both"/>
      </w:pPr>
      <w:r>
        <w:rPr>
          <w:rFonts w:ascii="Calibri" w:cs="Calibri" w:eastAsia="Calibri" w:hAnsi="Calibri"/>
          <w:color w:val="1E1E2E"/>
          <w:sz w:val="22"/>
          <w:szCs w:val="22"/>
        </w:rPr>
        <w:t xml:space="preserve">The National Digital Infrastructure SPV proposal is structured specifically to pass South African Treasury fiscal framework scrutiny. The critical distinction: this is infrastructure asset creation, not expenditure. The SPV creates a sovereign-controlled digital asset with revenue-generating capacity. Repayment comes from platform revenues, not the sovereign fiscus.</w:t>
      </w:r>
    </w:p>
    <w:p>
      <w:pPr>
        <w:spacing w:before="80" w:after="80"/>
        <w:jc w:val="both"/>
      </w:pPr>
      <w:r>
        <w:rPr>
          <w:rFonts w:ascii="Calibri" w:cs="Calibri" w:eastAsia="Calibri" w:hAnsi="Calibri"/>
          <w:color w:val="1E1E2E"/>
          <w:sz w:val="22"/>
          <w:szCs w:val="22"/>
        </w:rPr>
        <w:t xml:space="preserve">The structure creates: a national digital compliance and ownership verification backbone; measurable long-term operating cost reductions; procurement corruption reduction savings (estimated procurement leakage of R30–60B annually — a measurable reduction in that figure alone exceeds implementation cost); and a replicable model for public-private infrastructure investment that does not add to sovereign debt.</w:t>
      </w:r>
    </w:p>
    <w:p>
      <w:r>
        <w:br w:type="page"/>
      </w:r>
    </w:p>
    <w:p>
      <w:pPr>
        <w:pBdr>
          <w:bottom w:val="single" w:color="C9A84C" w:sz="8" w:space="4"/>
        </w:pBdr>
        <w:spacing w:before="440" w:after="120"/>
      </w:pPr>
      <w:r>
        <w:rPr>
          <w:rFonts w:ascii="Georgia" w:cs="Georgia" w:eastAsia="Georgia" w:hAnsi="Georgia"/>
          <w:b/>
          <w:bCs/>
          <w:color w:val="B8972A"/>
          <w:sz w:val="28"/>
          <w:szCs w:val="28"/>
        </w:rPr>
        <w:t xml:space="preserve">ANNEXURE F  </w:t>
      </w:r>
      <w:r>
        <w:rPr>
          <w:rFonts w:ascii="Georgia" w:cs="Georgia" w:eastAsia="Georgia" w:hAnsi="Georgia"/>
          <w:b/>
          <w:bCs/>
          <w:color w:val="0C2340"/>
          <w:sz w:val="28"/>
          <w:szCs w:val="28"/>
        </w:rPr>
        <w:t xml:space="preserve">Detailed Financial Projections — 5 / 10 / 25 Year</w:t>
      </w:r>
    </w:p>
    <w:p>
      <w:pPr>
        <w:spacing w:before="280" w:after="80"/>
      </w:pPr>
      <w:r>
        <w:rPr>
          <w:rFonts w:ascii="Georgia" w:cs="Georgia" w:eastAsia="Georgia" w:hAnsi="Georgia"/>
          <w:b/>
          <w:bCs/>
          <w:color w:val="0C2340"/>
          <w:sz w:val="24"/>
          <w:szCs w:val="24"/>
        </w:rPr>
        <w:t xml:space="preserve">F.1 5-Year P&amp;L by Division — Conservative Scenario (R Millions)</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2200"/>
        <w:gridCol w:w="1360"/>
        <w:gridCol w:w="1360"/>
        <w:gridCol w:w="1360"/>
        <w:gridCol w:w="1360"/>
        <w:gridCol w:w="1360"/>
      </w:tblGrid>
      <w:tr>
        <w:trPr>
          <w:tblHeader/>
        </w:trPr>
        <w:tc>
          <w:tcPr>
            <w:tcW w:type="dxa" w:w="2200"/>
            <w:tcBorders>
              <w:top w:val="single" w:color="CCCCBB" w:sz="1" w:space="0"/>
              <w:left w:val="single" w:color="CCCCBB" w:sz="1" w:space="0"/>
              <w:bottom w:val="single" w:color="CCCCBB" w:sz="1" w:space="0"/>
              <w:right w:val="single" w:color="CCCCBB" w:sz="1" w:space="0"/>
            </w:tcBorders>
            <w:shd w:fill="0C2340" w:val="clear"/>
            <w:tcMar>
              <w:top w:type="dxa" w:w="80"/>
              <w:left w:type="dxa" w:w="120"/>
              <w:bottom w:type="dxa" w:w="80"/>
              <w:right w:type="dxa" w:w="120"/>
            </w:tcMar>
          </w:tcPr>
          <w:p>
            <w:pPr>
              <w:jc w:val="left"/>
            </w:pPr>
            <w:r>
              <w:rPr>
                <w:rFonts w:ascii="Calibri" w:cs="Calibri" w:eastAsia="Calibri" w:hAnsi="Calibri"/>
                <w:b/>
                <w:bCs/>
                <w:color w:val="FFFFFF"/>
                <w:sz w:val="20"/>
                <w:szCs w:val="20"/>
              </w:rPr>
              <w:t xml:space="preserve">Division</w:t>
            </w:r>
          </w:p>
        </w:tc>
        <w:tc>
          <w:tcPr>
            <w:tcW w:type="dxa" w:w="1360"/>
            <w:tcBorders>
              <w:top w:val="single" w:color="CCCCBB" w:sz="1" w:space="0"/>
              <w:left w:val="single" w:color="CCCCBB" w:sz="1" w:space="0"/>
              <w:bottom w:val="single" w:color="CCCCBB" w:sz="1" w:space="0"/>
              <w:right w:val="single" w:color="CCCCBB" w:sz="1" w:space="0"/>
            </w:tcBorders>
            <w:shd w:fill="0C2340" w:val="clear"/>
            <w:tcMar>
              <w:top w:type="dxa" w:w="80"/>
              <w:left w:type="dxa" w:w="120"/>
              <w:bottom w:type="dxa" w:w="80"/>
              <w:right w:type="dxa" w:w="120"/>
            </w:tcMar>
          </w:tcPr>
          <w:p>
            <w:pPr>
              <w:jc w:val="left"/>
            </w:pPr>
            <w:r>
              <w:rPr>
                <w:rFonts w:ascii="Calibri" w:cs="Calibri" w:eastAsia="Calibri" w:hAnsi="Calibri"/>
                <w:b/>
                <w:bCs/>
                <w:color w:val="FFFFFF"/>
                <w:sz w:val="20"/>
                <w:szCs w:val="20"/>
              </w:rPr>
              <w:t xml:space="preserve">Year 1</w:t>
            </w:r>
          </w:p>
        </w:tc>
        <w:tc>
          <w:tcPr>
            <w:tcW w:type="dxa" w:w="1360"/>
            <w:tcBorders>
              <w:top w:val="single" w:color="CCCCBB" w:sz="1" w:space="0"/>
              <w:left w:val="single" w:color="CCCCBB" w:sz="1" w:space="0"/>
              <w:bottom w:val="single" w:color="CCCCBB" w:sz="1" w:space="0"/>
              <w:right w:val="single" w:color="CCCCBB" w:sz="1" w:space="0"/>
            </w:tcBorders>
            <w:shd w:fill="0C2340" w:val="clear"/>
            <w:tcMar>
              <w:top w:type="dxa" w:w="80"/>
              <w:left w:type="dxa" w:w="120"/>
              <w:bottom w:type="dxa" w:w="80"/>
              <w:right w:type="dxa" w:w="120"/>
            </w:tcMar>
          </w:tcPr>
          <w:p>
            <w:pPr>
              <w:jc w:val="left"/>
            </w:pPr>
            <w:r>
              <w:rPr>
                <w:rFonts w:ascii="Calibri" w:cs="Calibri" w:eastAsia="Calibri" w:hAnsi="Calibri"/>
                <w:b/>
                <w:bCs/>
                <w:color w:val="FFFFFF"/>
                <w:sz w:val="20"/>
                <w:szCs w:val="20"/>
              </w:rPr>
              <w:t xml:space="preserve">Year 2</w:t>
            </w:r>
          </w:p>
        </w:tc>
        <w:tc>
          <w:tcPr>
            <w:tcW w:type="dxa" w:w="1360"/>
            <w:tcBorders>
              <w:top w:val="single" w:color="CCCCBB" w:sz="1" w:space="0"/>
              <w:left w:val="single" w:color="CCCCBB" w:sz="1" w:space="0"/>
              <w:bottom w:val="single" w:color="CCCCBB" w:sz="1" w:space="0"/>
              <w:right w:val="single" w:color="CCCCBB" w:sz="1" w:space="0"/>
            </w:tcBorders>
            <w:shd w:fill="0C2340" w:val="clear"/>
            <w:tcMar>
              <w:top w:type="dxa" w:w="80"/>
              <w:left w:type="dxa" w:w="120"/>
              <w:bottom w:type="dxa" w:w="80"/>
              <w:right w:type="dxa" w:w="120"/>
            </w:tcMar>
          </w:tcPr>
          <w:p>
            <w:pPr>
              <w:jc w:val="left"/>
            </w:pPr>
            <w:r>
              <w:rPr>
                <w:rFonts w:ascii="Calibri" w:cs="Calibri" w:eastAsia="Calibri" w:hAnsi="Calibri"/>
                <w:b/>
                <w:bCs/>
                <w:color w:val="FFFFFF"/>
                <w:sz w:val="20"/>
                <w:szCs w:val="20"/>
              </w:rPr>
              <w:t xml:space="preserve">Year 3</w:t>
            </w:r>
          </w:p>
        </w:tc>
        <w:tc>
          <w:tcPr>
            <w:tcW w:type="dxa" w:w="1360"/>
            <w:tcBorders>
              <w:top w:val="single" w:color="CCCCBB" w:sz="1" w:space="0"/>
              <w:left w:val="single" w:color="CCCCBB" w:sz="1" w:space="0"/>
              <w:bottom w:val="single" w:color="CCCCBB" w:sz="1" w:space="0"/>
              <w:right w:val="single" w:color="CCCCBB" w:sz="1" w:space="0"/>
            </w:tcBorders>
            <w:shd w:fill="0C2340" w:val="clear"/>
            <w:tcMar>
              <w:top w:type="dxa" w:w="80"/>
              <w:left w:type="dxa" w:w="120"/>
              <w:bottom w:type="dxa" w:w="80"/>
              <w:right w:type="dxa" w:w="120"/>
            </w:tcMar>
          </w:tcPr>
          <w:p>
            <w:pPr>
              <w:jc w:val="left"/>
            </w:pPr>
            <w:r>
              <w:rPr>
                <w:rFonts w:ascii="Calibri" w:cs="Calibri" w:eastAsia="Calibri" w:hAnsi="Calibri"/>
                <w:b/>
                <w:bCs/>
                <w:color w:val="FFFFFF"/>
                <w:sz w:val="20"/>
                <w:szCs w:val="20"/>
              </w:rPr>
              <w:t xml:space="preserve">Year 4</w:t>
            </w:r>
          </w:p>
        </w:tc>
        <w:tc>
          <w:tcPr>
            <w:tcW w:type="dxa" w:w="1360"/>
            <w:tcBorders>
              <w:top w:val="single" w:color="CCCCBB" w:sz="1" w:space="0"/>
              <w:left w:val="single" w:color="CCCCBB" w:sz="1" w:space="0"/>
              <w:bottom w:val="single" w:color="CCCCBB" w:sz="1" w:space="0"/>
              <w:right w:val="single" w:color="CCCCBB" w:sz="1" w:space="0"/>
            </w:tcBorders>
            <w:shd w:fill="0C2340" w:val="clear"/>
            <w:tcMar>
              <w:top w:type="dxa" w:w="80"/>
              <w:left w:type="dxa" w:w="120"/>
              <w:bottom w:type="dxa" w:w="80"/>
              <w:right w:type="dxa" w:w="120"/>
            </w:tcMar>
          </w:tcPr>
          <w:p>
            <w:pPr>
              <w:jc w:val="left"/>
            </w:pPr>
            <w:r>
              <w:rPr>
                <w:rFonts w:ascii="Calibri" w:cs="Calibri" w:eastAsia="Calibri" w:hAnsi="Calibri"/>
                <w:b/>
                <w:bCs/>
                <w:color w:val="FFFFFF"/>
                <w:sz w:val="20"/>
                <w:szCs w:val="20"/>
              </w:rPr>
              <w:t xml:space="preserve">Year 5</w:t>
            </w:r>
          </w:p>
        </w:tc>
      </w:tr>
      <w:tr>
        <w:tc>
          <w:tcPr>
            <w:tcW w:type="dxa" w:w="2200"/>
            <w:tcBorders>
              <w:top w:val="single" w:color="CCCCBB" w:sz="1" w:space="0"/>
              <w:left w:val="single" w:color="CCCCBB" w:sz="1" w:space="0"/>
              <w:bottom w:val="single" w:color="CCCCBB" w:sz="1" w:space="0"/>
              <w:right w:val="single" w:color="CCCCBB" w:sz="1" w:space="0"/>
            </w:tcBorders>
            <w:shd w:fill="F0EDE6" w:val="clear"/>
            <w:tcMar>
              <w:top w:type="dxa" w:w="80"/>
              <w:left w:type="dxa" w:w="120"/>
              <w:bottom w:type="dxa" w:w="80"/>
              <w:right w:type="dxa" w:w="120"/>
            </w:tcMar>
          </w:tcPr>
          <w:p>
            <w:pPr>
              <w:jc w:val="left"/>
            </w:pPr>
            <w:r>
              <w:rPr>
                <w:rFonts w:ascii="Calibri" w:cs="Calibri" w:eastAsia="Calibri" w:hAnsi="Calibri"/>
                <w:b/>
                <w:bCs/>
                <w:color w:val="0C2340"/>
                <w:sz w:val="20"/>
                <w:szCs w:val="20"/>
              </w:rPr>
              <w:t xml:space="preserve">S.E.T.H.S</w:t>
            </w:r>
          </w:p>
        </w:tc>
        <w:tc>
          <w:tcPr>
            <w:tcW w:type="dxa" w:w="136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R2</w:t>
            </w:r>
          </w:p>
        </w:tc>
        <w:tc>
          <w:tcPr>
            <w:tcW w:type="dxa" w:w="136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R8</w:t>
            </w:r>
          </w:p>
        </w:tc>
        <w:tc>
          <w:tcPr>
            <w:tcW w:type="dxa" w:w="136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R20</w:t>
            </w:r>
          </w:p>
        </w:tc>
        <w:tc>
          <w:tcPr>
            <w:tcW w:type="dxa" w:w="136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R35</w:t>
            </w:r>
          </w:p>
        </w:tc>
        <w:tc>
          <w:tcPr>
            <w:tcW w:type="dxa" w:w="136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R60</w:t>
            </w:r>
          </w:p>
        </w:tc>
      </w:tr>
      <w:tr>
        <w:tc>
          <w:tcPr>
            <w:tcW w:type="dxa" w:w="2200"/>
            <w:tcBorders>
              <w:top w:val="single" w:color="CCCCBB" w:sz="1" w:space="0"/>
              <w:left w:val="single" w:color="CCCCBB" w:sz="1" w:space="0"/>
              <w:bottom w:val="single" w:color="CCCCBB" w:sz="1" w:space="0"/>
              <w:right w:val="single" w:color="CCCCBB" w:sz="1" w:space="0"/>
            </w:tcBorders>
            <w:shd w:fill="F0EDE6" w:val="clear"/>
            <w:tcMar>
              <w:top w:type="dxa" w:w="80"/>
              <w:left w:type="dxa" w:w="120"/>
              <w:bottom w:type="dxa" w:w="80"/>
              <w:right w:type="dxa" w:w="120"/>
            </w:tcMar>
          </w:tcPr>
          <w:p>
            <w:pPr>
              <w:jc w:val="left"/>
            </w:pPr>
            <w:r>
              <w:rPr>
                <w:rFonts w:ascii="Calibri" w:cs="Calibri" w:eastAsia="Calibri" w:hAnsi="Calibri"/>
                <w:b/>
                <w:bCs/>
                <w:color w:val="0C2340"/>
                <w:sz w:val="20"/>
                <w:szCs w:val="20"/>
              </w:rPr>
              <w:t xml:space="preserve">UDOC Enterprise</w:t>
            </w:r>
          </w:p>
        </w:tc>
        <w:tc>
          <w:tcPr>
            <w:tcW w:type="dxa" w:w="136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R1</w:t>
            </w:r>
          </w:p>
        </w:tc>
        <w:tc>
          <w:tcPr>
            <w:tcW w:type="dxa" w:w="136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R5</w:t>
            </w:r>
          </w:p>
        </w:tc>
        <w:tc>
          <w:tcPr>
            <w:tcW w:type="dxa" w:w="136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R20</w:t>
            </w:r>
          </w:p>
        </w:tc>
        <w:tc>
          <w:tcPr>
            <w:tcW w:type="dxa" w:w="136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R50</w:t>
            </w:r>
          </w:p>
        </w:tc>
        <w:tc>
          <w:tcPr>
            <w:tcW w:type="dxa" w:w="136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R100</w:t>
            </w:r>
          </w:p>
        </w:tc>
      </w:tr>
      <w:tr>
        <w:tc>
          <w:tcPr>
            <w:tcW w:type="dxa" w:w="2200"/>
            <w:tcBorders>
              <w:top w:val="single" w:color="CCCCBB" w:sz="1" w:space="0"/>
              <w:left w:val="single" w:color="CCCCBB" w:sz="1" w:space="0"/>
              <w:bottom w:val="single" w:color="CCCCBB" w:sz="1" w:space="0"/>
              <w:right w:val="single" w:color="CCCCBB" w:sz="1" w:space="0"/>
            </w:tcBorders>
            <w:shd w:fill="F0EDE6" w:val="clear"/>
            <w:tcMar>
              <w:top w:type="dxa" w:w="80"/>
              <w:left w:type="dxa" w:w="120"/>
              <w:bottom w:type="dxa" w:w="80"/>
              <w:right w:type="dxa" w:w="120"/>
            </w:tcMar>
          </w:tcPr>
          <w:p>
            <w:pPr>
              <w:jc w:val="left"/>
            </w:pPr>
            <w:r>
              <w:rPr>
                <w:rFonts w:ascii="Calibri" w:cs="Calibri" w:eastAsia="Calibri" w:hAnsi="Calibri"/>
                <w:b/>
                <w:bCs/>
                <w:color w:val="0C2340"/>
                <w:sz w:val="20"/>
                <w:szCs w:val="20"/>
              </w:rPr>
              <w:t xml:space="preserve">Govt Backbone</w:t>
            </w:r>
          </w:p>
        </w:tc>
        <w:tc>
          <w:tcPr>
            <w:tcW w:type="dxa" w:w="136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w:t>
            </w:r>
          </w:p>
        </w:tc>
        <w:tc>
          <w:tcPr>
            <w:tcW w:type="dxa" w:w="136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w:t>
            </w:r>
          </w:p>
        </w:tc>
        <w:tc>
          <w:tcPr>
            <w:tcW w:type="dxa" w:w="136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R50</w:t>
            </w:r>
          </w:p>
        </w:tc>
        <w:tc>
          <w:tcPr>
            <w:tcW w:type="dxa" w:w="136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R100</w:t>
            </w:r>
          </w:p>
        </w:tc>
        <w:tc>
          <w:tcPr>
            <w:tcW w:type="dxa" w:w="136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R150</w:t>
            </w:r>
          </w:p>
        </w:tc>
      </w:tr>
      <w:tr>
        <w:tc>
          <w:tcPr>
            <w:tcW w:type="dxa" w:w="2200"/>
            <w:tcBorders>
              <w:top w:val="single" w:color="CCCCBB" w:sz="1" w:space="0"/>
              <w:left w:val="single" w:color="CCCCBB" w:sz="1" w:space="0"/>
              <w:bottom w:val="single" w:color="CCCCBB" w:sz="1" w:space="0"/>
              <w:right w:val="single" w:color="CCCCBB" w:sz="1" w:space="0"/>
            </w:tcBorders>
            <w:shd w:fill="F0EDE6" w:val="clear"/>
            <w:tcMar>
              <w:top w:type="dxa" w:w="80"/>
              <w:left w:type="dxa" w:w="120"/>
              <w:bottom w:type="dxa" w:w="80"/>
              <w:right w:type="dxa" w:w="120"/>
            </w:tcMar>
          </w:tcPr>
          <w:p>
            <w:pPr>
              <w:jc w:val="left"/>
            </w:pPr>
            <w:r>
              <w:rPr>
                <w:rFonts w:ascii="Calibri" w:cs="Calibri" w:eastAsia="Calibri" w:hAnsi="Calibri"/>
                <w:b/>
                <w:bCs/>
                <w:color w:val="0C2340"/>
                <w:sz w:val="20"/>
                <w:szCs w:val="20"/>
              </w:rPr>
              <w:t xml:space="preserve">Media</w:t>
            </w:r>
          </w:p>
        </w:tc>
        <w:tc>
          <w:tcPr>
            <w:tcW w:type="dxa" w:w="136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R0.5</w:t>
            </w:r>
          </w:p>
        </w:tc>
        <w:tc>
          <w:tcPr>
            <w:tcW w:type="dxa" w:w="136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R2</w:t>
            </w:r>
          </w:p>
        </w:tc>
        <w:tc>
          <w:tcPr>
            <w:tcW w:type="dxa" w:w="136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R5</w:t>
            </w:r>
          </w:p>
        </w:tc>
        <w:tc>
          <w:tcPr>
            <w:tcW w:type="dxa" w:w="136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R10</w:t>
            </w:r>
          </w:p>
        </w:tc>
        <w:tc>
          <w:tcPr>
            <w:tcW w:type="dxa" w:w="136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R15</w:t>
            </w:r>
          </w:p>
        </w:tc>
      </w:tr>
      <w:tr>
        <w:tc>
          <w:tcPr>
            <w:tcW w:type="dxa" w:w="2200"/>
            <w:tcBorders>
              <w:top w:val="single" w:color="CCCCBB" w:sz="1" w:space="0"/>
              <w:left w:val="single" w:color="CCCCBB" w:sz="1" w:space="0"/>
              <w:bottom w:val="single" w:color="CCCCBB" w:sz="1" w:space="0"/>
              <w:right w:val="single" w:color="CCCCBB" w:sz="1" w:space="0"/>
            </w:tcBorders>
            <w:shd w:fill="F0EDE6" w:val="clear"/>
            <w:tcMar>
              <w:top w:type="dxa" w:w="80"/>
              <w:left w:type="dxa" w:w="120"/>
              <w:bottom w:type="dxa" w:w="80"/>
              <w:right w:type="dxa" w:w="120"/>
            </w:tcMar>
          </w:tcPr>
          <w:p>
            <w:pPr>
              <w:jc w:val="left"/>
            </w:pPr>
            <w:r>
              <w:rPr>
                <w:rFonts w:ascii="Calibri" w:cs="Calibri" w:eastAsia="Calibri" w:hAnsi="Calibri"/>
                <w:b/>
                <w:bCs/>
                <w:color w:val="0C2340"/>
                <w:sz w:val="20"/>
                <w:szCs w:val="20"/>
              </w:rPr>
              <w:t xml:space="preserve">M.A.D.I.B.A Fees</w:t>
            </w:r>
          </w:p>
        </w:tc>
        <w:tc>
          <w:tcPr>
            <w:tcW w:type="dxa" w:w="136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w:t>
            </w:r>
          </w:p>
        </w:tc>
        <w:tc>
          <w:tcPr>
            <w:tcW w:type="dxa" w:w="136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w:t>
            </w:r>
          </w:p>
        </w:tc>
        <w:tc>
          <w:tcPr>
            <w:tcW w:type="dxa" w:w="136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R3</w:t>
            </w:r>
          </w:p>
        </w:tc>
        <w:tc>
          <w:tcPr>
            <w:tcW w:type="dxa" w:w="136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R8</w:t>
            </w:r>
          </w:p>
        </w:tc>
        <w:tc>
          <w:tcPr>
            <w:tcW w:type="dxa" w:w="136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R15</w:t>
            </w:r>
          </w:p>
        </w:tc>
      </w:tr>
      <w:tr>
        <w:tc>
          <w:tcPr>
            <w:tcW w:type="dxa" w:w="2200"/>
            <w:tcBorders>
              <w:top w:val="single" w:color="CCCCBB" w:sz="1" w:space="0"/>
              <w:left w:val="single" w:color="CCCCBB" w:sz="1" w:space="0"/>
              <w:bottom w:val="single" w:color="CCCCBB" w:sz="1" w:space="0"/>
              <w:right w:val="single" w:color="CCCCBB" w:sz="1" w:space="0"/>
            </w:tcBorders>
            <w:shd w:fill="F0EDE6" w:val="clear"/>
            <w:tcMar>
              <w:top w:type="dxa" w:w="80"/>
              <w:left w:type="dxa" w:w="120"/>
              <w:bottom w:type="dxa" w:w="80"/>
              <w:right w:type="dxa" w:w="120"/>
            </w:tcMar>
          </w:tcPr>
          <w:p>
            <w:pPr>
              <w:jc w:val="left"/>
            </w:pPr>
            <w:r>
              <w:rPr>
                <w:rFonts w:ascii="Calibri" w:cs="Calibri" w:eastAsia="Calibri" w:hAnsi="Calibri"/>
                <w:b/>
                <w:bCs/>
                <w:color w:val="0C2340"/>
                <w:sz w:val="20"/>
                <w:szCs w:val="20"/>
              </w:rPr>
              <w:t xml:space="preserve">T.S</w:t>
            </w:r>
          </w:p>
        </w:tc>
        <w:tc>
          <w:tcPr>
            <w:tcW w:type="dxa" w:w="136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w:t>
            </w:r>
          </w:p>
        </w:tc>
        <w:tc>
          <w:tcPr>
            <w:tcW w:type="dxa" w:w="136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w:t>
            </w:r>
          </w:p>
        </w:tc>
        <w:tc>
          <w:tcPr>
            <w:tcW w:type="dxa" w:w="136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w:t>
            </w:r>
          </w:p>
        </w:tc>
        <w:tc>
          <w:tcPr>
            <w:tcW w:type="dxa" w:w="136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R20</w:t>
            </w:r>
          </w:p>
        </w:tc>
        <w:tc>
          <w:tcPr>
            <w:tcW w:type="dxa" w:w="136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R50</w:t>
            </w:r>
          </w:p>
        </w:tc>
      </w:tr>
      <w:tr>
        <w:tc>
          <w:tcPr>
            <w:tcW w:type="dxa" w:w="2200"/>
            <w:tcBorders>
              <w:top w:val="single" w:color="CCCCBB" w:sz="1" w:space="0"/>
              <w:left w:val="single" w:color="CCCCBB" w:sz="1" w:space="0"/>
              <w:bottom w:val="single" w:color="CCCCBB" w:sz="1" w:space="0"/>
              <w:right w:val="single" w:color="CCCCBB" w:sz="1" w:space="0"/>
            </w:tcBorders>
            <w:shd w:fill="F0EDE6" w:val="clear"/>
            <w:tcMar>
              <w:top w:type="dxa" w:w="80"/>
              <w:left w:type="dxa" w:w="120"/>
              <w:bottom w:type="dxa" w:w="80"/>
              <w:right w:type="dxa" w:w="120"/>
            </w:tcMar>
          </w:tcPr>
          <w:p>
            <w:pPr>
              <w:jc w:val="left"/>
            </w:pPr>
            <w:r>
              <w:rPr>
                <w:rFonts w:ascii="Calibri" w:cs="Calibri" w:eastAsia="Calibri" w:hAnsi="Calibri"/>
                <w:b/>
                <w:bCs/>
                <w:color w:val="0C2340"/>
                <w:sz w:val="20"/>
                <w:szCs w:val="20"/>
              </w:rPr>
              <w:t xml:space="preserve">Licensing &amp; IP</w:t>
            </w:r>
          </w:p>
        </w:tc>
        <w:tc>
          <w:tcPr>
            <w:tcW w:type="dxa" w:w="136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w:t>
            </w:r>
          </w:p>
        </w:tc>
        <w:tc>
          <w:tcPr>
            <w:tcW w:type="dxa" w:w="136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w:t>
            </w:r>
          </w:p>
        </w:tc>
        <w:tc>
          <w:tcPr>
            <w:tcW w:type="dxa" w:w="136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w:t>
            </w:r>
          </w:p>
        </w:tc>
        <w:tc>
          <w:tcPr>
            <w:tcW w:type="dxa" w:w="136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w:t>
            </w:r>
          </w:p>
        </w:tc>
        <w:tc>
          <w:tcPr>
            <w:tcW w:type="dxa" w:w="136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R10</w:t>
            </w:r>
          </w:p>
        </w:tc>
      </w:tr>
      <w:tr>
        <w:tc>
          <w:tcPr>
            <w:tcW w:type="dxa" w:w="2200"/>
            <w:tcBorders>
              <w:top w:val="single" w:color="CCCCBB" w:sz="1" w:space="0"/>
              <w:left w:val="single" w:color="CCCCBB" w:sz="1" w:space="0"/>
              <w:bottom w:val="single" w:color="CCCCBB" w:sz="1" w:space="0"/>
              <w:right w:val="single" w:color="CCCCBB" w:sz="1" w:space="0"/>
            </w:tcBorders>
            <w:shd w:fill="F0EDE6" w:val="clear"/>
            <w:tcMar>
              <w:top w:type="dxa" w:w="80"/>
              <w:left w:type="dxa" w:w="120"/>
              <w:bottom w:type="dxa" w:w="80"/>
              <w:right w:type="dxa" w:w="120"/>
            </w:tcMar>
          </w:tcPr>
          <w:p>
            <w:pPr>
              <w:jc w:val="left"/>
            </w:pPr>
            <w:r>
              <w:rPr>
                <w:rFonts w:ascii="Calibri" w:cs="Calibri" w:eastAsia="Calibri" w:hAnsi="Calibri"/>
                <w:b/>
                <w:bCs/>
                <w:color w:val="0C2340"/>
                <w:sz w:val="20"/>
                <w:szCs w:val="20"/>
              </w:rPr>
              <w:t xml:space="preserve">TOTAL REVENUE</w:t>
            </w:r>
          </w:p>
        </w:tc>
        <w:tc>
          <w:tcPr>
            <w:tcW w:type="dxa" w:w="136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R3.5</w:t>
            </w:r>
          </w:p>
        </w:tc>
        <w:tc>
          <w:tcPr>
            <w:tcW w:type="dxa" w:w="136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R15</w:t>
            </w:r>
          </w:p>
        </w:tc>
        <w:tc>
          <w:tcPr>
            <w:tcW w:type="dxa" w:w="136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R98</w:t>
            </w:r>
          </w:p>
        </w:tc>
        <w:tc>
          <w:tcPr>
            <w:tcW w:type="dxa" w:w="136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R223</w:t>
            </w:r>
          </w:p>
        </w:tc>
        <w:tc>
          <w:tcPr>
            <w:tcW w:type="dxa" w:w="136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R400</w:t>
            </w:r>
          </w:p>
        </w:tc>
      </w:tr>
      <w:tr>
        <w:tc>
          <w:tcPr>
            <w:tcW w:type="dxa" w:w="2200"/>
            <w:tcBorders>
              <w:top w:val="single" w:color="CCCCBB" w:sz="1" w:space="0"/>
              <w:left w:val="single" w:color="CCCCBB" w:sz="1" w:space="0"/>
              <w:bottom w:val="single" w:color="CCCCBB" w:sz="1" w:space="0"/>
              <w:right w:val="single" w:color="CCCCBB" w:sz="1" w:space="0"/>
            </w:tcBorders>
            <w:shd w:fill="F0EDE6" w:val="clear"/>
            <w:tcMar>
              <w:top w:type="dxa" w:w="80"/>
              <w:left w:type="dxa" w:w="120"/>
              <w:bottom w:type="dxa" w:w="80"/>
              <w:right w:type="dxa" w:w="120"/>
            </w:tcMar>
          </w:tcPr>
          <w:p>
            <w:pPr>
              <w:jc w:val="left"/>
            </w:pPr>
            <w:r>
              <w:rPr>
                <w:rFonts w:ascii="Calibri" w:cs="Calibri" w:eastAsia="Calibri" w:hAnsi="Calibri"/>
                <w:b/>
                <w:bCs/>
                <w:color w:val="0C2340"/>
                <w:sz w:val="20"/>
                <w:szCs w:val="20"/>
              </w:rPr>
              <w:t xml:space="preserve">Gross Profit</w:t>
            </w:r>
          </w:p>
        </w:tc>
        <w:tc>
          <w:tcPr>
            <w:tcW w:type="dxa" w:w="136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R1</w:t>
            </w:r>
          </w:p>
        </w:tc>
        <w:tc>
          <w:tcPr>
            <w:tcW w:type="dxa" w:w="136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R6</w:t>
            </w:r>
          </w:p>
        </w:tc>
        <w:tc>
          <w:tcPr>
            <w:tcW w:type="dxa" w:w="136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R43</w:t>
            </w:r>
          </w:p>
        </w:tc>
        <w:tc>
          <w:tcPr>
            <w:tcW w:type="dxa" w:w="136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R114</w:t>
            </w:r>
          </w:p>
        </w:tc>
        <w:tc>
          <w:tcPr>
            <w:tcW w:type="dxa" w:w="136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R232</w:t>
            </w:r>
          </w:p>
        </w:tc>
      </w:tr>
      <w:tr>
        <w:tc>
          <w:tcPr>
            <w:tcW w:type="dxa" w:w="2200"/>
            <w:tcBorders>
              <w:top w:val="single" w:color="CCCCBB" w:sz="1" w:space="0"/>
              <w:left w:val="single" w:color="CCCCBB" w:sz="1" w:space="0"/>
              <w:bottom w:val="single" w:color="CCCCBB" w:sz="1" w:space="0"/>
              <w:right w:val="single" w:color="CCCCBB" w:sz="1" w:space="0"/>
            </w:tcBorders>
            <w:shd w:fill="F0EDE6" w:val="clear"/>
            <w:tcMar>
              <w:top w:type="dxa" w:w="80"/>
              <w:left w:type="dxa" w:w="120"/>
              <w:bottom w:type="dxa" w:w="80"/>
              <w:right w:type="dxa" w:w="120"/>
            </w:tcMar>
          </w:tcPr>
          <w:p>
            <w:pPr>
              <w:jc w:val="left"/>
            </w:pPr>
            <w:r>
              <w:rPr>
                <w:rFonts w:ascii="Calibri" w:cs="Calibri" w:eastAsia="Calibri" w:hAnsi="Calibri"/>
                <w:b/>
                <w:bCs/>
                <w:color w:val="0C2340"/>
                <w:sz w:val="20"/>
                <w:szCs w:val="20"/>
              </w:rPr>
              <w:t xml:space="preserve">Gross Margin</w:t>
            </w:r>
          </w:p>
        </w:tc>
        <w:tc>
          <w:tcPr>
            <w:tcW w:type="dxa" w:w="136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29%</w:t>
            </w:r>
          </w:p>
        </w:tc>
        <w:tc>
          <w:tcPr>
            <w:tcW w:type="dxa" w:w="136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40%</w:t>
            </w:r>
          </w:p>
        </w:tc>
        <w:tc>
          <w:tcPr>
            <w:tcW w:type="dxa" w:w="136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44%</w:t>
            </w:r>
          </w:p>
        </w:tc>
        <w:tc>
          <w:tcPr>
            <w:tcW w:type="dxa" w:w="136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51%</w:t>
            </w:r>
          </w:p>
        </w:tc>
        <w:tc>
          <w:tcPr>
            <w:tcW w:type="dxa" w:w="136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58%</w:t>
            </w:r>
          </w:p>
        </w:tc>
      </w:tr>
      <w:tr>
        <w:tc>
          <w:tcPr>
            <w:tcW w:type="dxa" w:w="2200"/>
            <w:tcBorders>
              <w:top w:val="single" w:color="CCCCBB" w:sz="1" w:space="0"/>
              <w:left w:val="single" w:color="CCCCBB" w:sz="1" w:space="0"/>
              <w:bottom w:val="single" w:color="CCCCBB" w:sz="1" w:space="0"/>
              <w:right w:val="single" w:color="CCCCBB" w:sz="1" w:space="0"/>
            </w:tcBorders>
            <w:shd w:fill="F0EDE6" w:val="clear"/>
            <w:tcMar>
              <w:top w:type="dxa" w:w="80"/>
              <w:left w:type="dxa" w:w="120"/>
              <w:bottom w:type="dxa" w:w="80"/>
              <w:right w:type="dxa" w:w="120"/>
            </w:tcMar>
          </w:tcPr>
          <w:p>
            <w:pPr>
              <w:jc w:val="left"/>
            </w:pPr>
            <w:r>
              <w:rPr>
                <w:rFonts w:ascii="Calibri" w:cs="Calibri" w:eastAsia="Calibri" w:hAnsi="Calibri"/>
                <w:b/>
                <w:bCs/>
                <w:color w:val="0C2340"/>
                <w:sz w:val="20"/>
                <w:szCs w:val="20"/>
              </w:rPr>
              <w:t xml:space="preserve">EBITDA</w:t>
            </w:r>
          </w:p>
        </w:tc>
        <w:tc>
          <w:tcPr>
            <w:tcW w:type="dxa" w:w="136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(R3)</w:t>
            </w:r>
          </w:p>
        </w:tc>
        <w:tc>
          <w:tcPr>
            <w:tcW w:type="dxa" w:w="136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(R4)</w:t>
            </w:r>
          </w:p>
        </w:tc>
        <w:tc>
          <w:tcPr>
            <w:tcW w:type="dxa" w:w="136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R13</w:t>
            </w:r>
          </w:p>
        </w:tc>
        <w:tc>
          <w:tcPr>
            <w:tcW w:type="dxa" w:w="136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R49</w:t>
            </w:r>
          </w:p>
        </w:tc>
        <w:tc>
          <w:tcPr>
            <w:tcW w:type="dxa" w:w="136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R120</w:t>
            </w:r>
          </w:p>
        </w:tc>
      </w:tr>
      <w:tr>
        <w:tc>
          <w:tcPr>
            <w:tcW w:type="dxa" w:w="2200"/>
            <w:tcBorders>
              <w:top w:val="single" w:color="CCCCBB" w:sz="1" w:space="0"/>
              <w:left w:val="single" w:color="CCCCBB" w:sz="1" w:space="0"/>
              <w:bottom w:val="single" w:color="CCCCBB" w:sz="1" w:space="0"/>
              <w:right w:val="single" w:color="CCCCBB" w:sz="1" w:space="0"/>
            </w:tcBorders>
            <w:shd w:fill="F0EDE6" w:val="clear"/>
            <w:tcMar>
              <w:top w:type="dxa" w:w="80"/>
              <w:left w:type="dxa" w:w="120"/>
              <w:bottom w:type="dxa" w:w="80"/>
              <w:right w:type="dxa" w:w="120"/>
            </w:tcMar>
          </w:tcPr>
          <w:p>
            <w:pPr>
              <w:jc w:val="left"/>
            </w:pPr>
            <w:r>
              <w:rPr>
                <w:rFonts w:ascii="Calibri" w:cs="Calibri" w:eastAsia="Calibri" w:hAnsi="Calibri"/>
                <w:b/>
                <w:bCs/>
                <w:color w:val="0C2340"/>
                <w:sz w:val="20"/>
                <w:szCs w:val="20"/>
              </w:rPr>
              <w:t xml:space="preserve">EBITDA Margin</w:t>
            </w:r>
          </w:p>
        </w:tc>
        <w:tc>
          <w:tcPr>
            <w:tcW w:type="dxa" w:w="136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w:t>
            </w:r>
          </w:p>
        </w:tc>
        <w:tc>
          <w:tcPr>
            <w:tcW w:type="dxa" w:w="136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w:t>
            </w:r>
          </w:p>
        </w:tc>
        <w:tc>
          <w:tcPr>
            <w:tcW w:type="dxa" w:w="136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13%</w:t>
            </w:r>
          </w:p>
        </w:tc>
        <w:tc>
          <w:tcPr>
            <w:tcW w:type="dxa" w:w="136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22%</w:t>
            </w:r>
          </w:p>
        </w:tc>
        <w:tc>
          <w:tcPr>
            <w:tcW w:type="dxa" w:w="136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30%</w:t>
            </w:r>
          </w:p>
        </w:tc>
      </w:tr>
    </w:tbl>
    <w:p>
      <w:pPr>
        <w:spacing w:before="160" w:after="0"/>
      </w:pPr>
    </w:p>
    <w:p>
      <w:pPr>
        <w:spacing w:before="280" w:after="80"/>
      </w:pPr>
      <w:r>
        <w:rPr>
          <w:rFonts w:ascii="Georgia" w:cs="Georgia" w:eastAsia="Georgia" w:hAnsi="Georgia"/>
          <w:b/>
          <w:bCs/>
          <w:color w:val="0C2340"/>
          <w:sz w:val="24"/>
          <w:szCs w:val="24"/>
        </w:rPr>
        <w:t xml:space="preserve">F.2 10-Year and 25-Year Targets</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2600"/>
        <w:gridCol w:w="6400"/>
      </w:tblGrid>
      <w:tr>
        <w:tc>
          <w:tcPr>
            <w:tcW w:type="dxa" w:w="2600"/>
            <w:tcBorders>
              <w:top w:val="single" w:color="CCCCBB" w:sz="1" w:space="0"/>
              <w:left w:val="single" w:color="CCCCBB" w:sz="1" w:space="0"/>
              <w:bottom w:val="single" w:color="CCCCBB" w:sz="1" w:space="0"/>
              <w:right w:val="single" w:color="CCCCBB" w:sz="1" w:space="0"/>
            </w:tcBorders>
            <w:shd w:fill="EDE8D8" w:val="clear"/>
            <w:tcMar>
              <w:top w:type="dxa" w:w="80"/>
              <w:left w:type="dxa" w:w="160"/>
              <w:bottom w:type="dxa" w:w="80"/>
              <w:right w:type="dxa" w:w="160"/>
            </w:tcMar>
          </w:tcPr>
          <w:p>
            <w:r>
              <w:rPr>
                <w:rFonts w:ascii="Calibri" w:cs="Calibri" w:eastAsia="Calibri" w:hAnsi="Calibri"/>
                <w:b/>
                <w:bCs/>
                <w:color w:val="0C2340"/>
                <w:sz w:val="22"/>
                <w:szCs w:val="22"/>
              </w:rPr>
              <w:t xml:space="preserve">Year 10 Revenue</w:t>
            </w:r>
          </w:p>
        </w:tc>
        <w:tc>
          <w:tcPr>
            <w:tcW w:type="dxa" w:w="6400"/>
            <w:tcBorders>
              <w:top w:val="single" w:color="CCCCBB" w:sz="1" w:space="0"/>
              <w:left w:val="single" w:color="CCCCBB" w:sz="1" w:space="0"/>
              <w:bottom w:val="single" w:color="CCCCBB" w:sz="1" w:space="0"/>
              <w:right w:val="single" w:color="CCCCBB" w:sz="1" w:space="0"/>
            </w:tcBorders>
            <w:shd w:fill="FFFFFF" w:val="clear"/>
            <w:tcMar>
              <w:top w:type="dxa" w:w="80"/>
              <w:left w:type="dxa" w:w="160"/>
              <w:bottom w:type="dxa" w:w="80"/>
              <w:right w:type="dxa" w:w="160"/>
            </w:tcMar>
          </w:tcPr>
          <w:p>
            <w:r>
              <w:rPr>
                <w:rFonts w:ascii="Calibri" w:cs="Calibri" w:eastAsia="Calibri" w:hAnsi="Calibri"/>
                <w:color w:val="1E1E2E"/>
                <w:sz w:val="22"/>
                <w:szCs w:val="22"/>
              </w:rPr>
              <w:t xml:space="preserve">R800M – R2B (consolidated, all 8 divisions, SA + initial Africa expansion)</w:t>
            </w:r>
          </w:p>
        </w:tc>
      </w:tr>
      <w:tr>
        <w:tc>
          <w:tcPr>
            <w:tcW w:type="dxa" w:w="2600"/>
            <w:tcBorders>
              <w:top w:val="single" w:color="CCCCBB" w:sz="1" w:space="0"/>
              <w:left w:val="single" w:color="CCCCBB" w:sz="1" w:space="0"/>
              <w:bottom w:val="single" w:color="CCCCBB" w:sz="1" w:space="0"/>
              <w:right w:val="single" w:color="CCCCBB" w:sz="1" w:space="0"/>
            </w:tcBorders>
            <w:shd w:fill="F5F2EA" w:val="clear"/>
            <w:tcMar>
              <w:top w:type="dxa" w:w="80"/>
              <w:left w:type="dxa" w:w="160"/>
              <w:bottom w:type="dxa" w:w="80"/>
              <w:right w:type="dxa" w:w="160"/>
            </w:tcMar>
          </w:tcPr>
          <w:p>
            <w:r>
              <w:rPr>
                <w:rFonts w:ascii="Calibri" w:cs="Calibri" w:eastAsia="Calibri" w:hAnsi="Calibri"/>
                <w:b/>
                <w:bCs/>
                <w:color w:val="0C2340"/>
                <w:sz w:val="22"/>
                <w:szCs w:val="22"/>
              </w:rPr>
              <w:t xml:space="preserve">Year 10 EBITDA</w:t>
            </w:r>
          </w:p>
        </w:tc>
        <w:tc>
          <w:tcPr>
            <w:tcW w:type="dxa" w:w="6400"/>
            <w:tcBorders>
              <w:top w:val="single" w:color="CCCCBB" w:sz="1" w:space="0"/>
              <w:left w:val="single" w:color="CCCCBB" w:sz="1" w:space="0"/>
              <w:bottom w:val="single" w:color="CCCCBB" w:sz="1" w:space="0"/>
              <w:right w:val="single" w:color="CCCCBB" w:sz="1" w:space="0"/>
            </w:tcBorders>
            <w:shd w:fill="FAFAF5" w:val="clear"/>
            <w:tcMar>
              <w:top w:type="dxa" w:w="80"/>
              <w:left w:type="dxa" w:w="160"/>
              <w:bottom w:type="dxa" w:w="80"/>
              <w:right w:type="dxa" w:w="160"/>
            </w:tcMar>
          </w:tcPr>
          <w:p>
            <w:r>
              <w:rPr>
                <w:rFonts w:ascii="Calibri" w:cs="Calibri" w:eastAsia="Calibri" w:hAnsi="Calibri"/>
                <w:color w:val="1E1E2E"/>
                <w:sz w:val="22"/>
                <w:szCs w:val="22"/>
              </w:rPr>
              <w:t xml:space="preserve">28–35%</w:t>
            </w:r>
          </w:p>
        </w:tc>
      </w:tr>
      <w:tr>
        <w:tc>
          <w:tcPr>
            <w:tcW w:type="dxa" w:w="2600"/>
            <w:tcBorders>
              <w:top w:val="single" w:color="CCCCBB" w:sz="1" w:space="0"/>
              <w:left w:val="single" w:color="CCCCBB" w:sz="1" w:space="0"/>
              <w:bottom w:val="single" w:color="CCCCBB" w:sz="1" w:space="0"/>
              <w:right w:val="single" w:color="CCCCBB" w:sz="1" w:space="0"/>
            </w:tcBorders>
            <w:shd w:fill="EDE8D8" w:val="clear"/>
            <w:tcMar>
              <w:top w:type="dxa" w:w="80"/>
              <w:left w:type="dxa" w:w="160"/>
              <w:bottom w:type="dxa" w:w="80"/>
              <w:right w:type="dxa" w:w="160"/>
            </w:tcMar>
          </w:tcPr>
          <w:p>
            <w:r>
              <w:rPr>
                <w:rFonts w:ascii="Calibri" w:cs="Calibri" w:eastAsia="Calibri" w:hAnsi="Calibri"/>
                <w:b/>
                <w:bCs/>
                <w:color w:val="0C2340"/>
                <w:sz w:val="22"/>
                <w:szCs w:val="22"/>
              </w:rPr>
              <w:t xml:space="preserve">Year 10 Headcount</w:t>
            </w:r>
          </w:p>
        </w:tc>
        <w:tc>
          <w:tcPr>
            <w:tcW w:type="dxa" w:w="6400"/>
            <w:tcBorders>
              <w:top w:val="single" w:color="CCCCBB" w:sz="1" w:space="0"/>
              <w:left w:val="single" w:color="CCCCBB" w:sz="1" w:space="0"/>
              <w:bottom w:val="single" w:color="CCCCBB" w:sz="1" w:space="0"/>
              <w:right w:val="single" w:color="CCCCBB" w:sz="1" w:space="0"/>
            </w:tcBorders>
            <w:shd w:fill="FFFFFF" w:val="clear"/>
            <w:tcMar>
              <w:top w:type="dxa" w:w="80"/>
              <w:left w:type="dxa" w:w="160"/>
              <w:bottom w:type="dxa" w:w="80"/>
              <w:right w:type="dxa" w:w="160"/>
            </w:tcMar>
          </w:tcPr>
          <w:p>
            <w:r>
              <w:rPr>
                <w:rFonts w:ascii="Calibri" w:cs="Calibri" w:eastAsia="Calibri" w:hAnsi="Calibri"/>
                <w:color w:val="1E1E2E"/>
                <w:sz w:val="22"/>
                <w:szCs w:val="22"/>
              </w:rPr>
              <w:t xml:space="preserve">500–1,200 directly employed</w:t>
            </w:r>
          </w:p>
        </w:tc>
      </w:tr>
      <w:tr>
        <w:tc>
          <w:tcPr>
            <w:tcW w:type="dxa" w:w="2600"/>
            <w:tcBorders>
              <w:top w:val="single" w:color="CCCCBB" w:sz="1" w:space="0"/>
              <w:left w:val="single" w:color="CCCCBB" w:sz="1" w:space="0"/>
              <w:bottom w:val="single" w:color="CCCCBB" w:sz="1" w:space="0"/>
              <w:right w:val="single" w:color="CCCCBB" w:sz="1" w:space="0"/>
            </w:tcBorders>
            <w:shd w:fill="F5F2EA" w:val="clear"/>
            <w:tcMar>
              <w:top w:type="dxa" w:w="80"/>
              <w:left w:type="dxa" w:w="160"/>
              <w:bottom w:type="dxa" w:w="80"/>
              <w:right w:type="dxa" w:w="160"/>
            </w:tcMar>
          </w:tcPr>
          <w:p>
            <w:r>
              <w:rPr>
                <w:rFonts w:ascii="Calibri" w:cs="Calibri" w:eastAsia="Calibri" w:hAnsi="Calibri"/>
                <w:b/>
                <w:bCs/>
                <w:color w:val="0C2340"/>
                <w:sz w:val="22"/>
                <w:szCs w:val="22"/>
              </w:rPr>
              <w:t xml:space="preserve">Year 10 S.E.T.H.S</w:t>
            </w:r>
          </w:p>
        </w:tc>
        <w:tc>
          <w:tcPr>
            <w:tcW w:type="dxa" w:w="6400"/>
            <w:tcBorders>
              <w:top w:val="single" w:color="CCCCBB" w:sz="1" w:space="0"/>
              <w:left w:val="single" w:color="CCCCBB" w:sz="1" w:space="0"/>
              <w:bottom w:val="single" w:color="CCCCBB" w:sz="1" w:space="0"/>
              <w:right w:val="single" w:color="CCCCBB" w:sz="1" w:space="0"/>
            </w:tcBorders>
            <w:shd w:fill="FAFAF5" w:val="clear"/>
            <w:tcMar>
              <w:top w:type="dxa" w:w="80"/>
              <w:left w:type="dxa" w:w="160"/>
              <w:bottom w:type="dxa" w:w="80"/>
              <w:right w:type="dxa" w:w="160"/>
            </w:tcMar>
          </w:tcPr>
          <w:p>
            <w:r>
              <w:rPr>
                <w:rFonts w:ascii="Calibri" w:cs="Calibri" w:eastAsia="Calibri" w:hAnsi="Calibri"/>
                <w:color w:val="1E1E2E"/>
                <w:sz w:val="22"/>
                <w:szCs w:val="22"/>
              </w:rPr>
              <w:t xml:space="preserve">10,000+ placements with 12-month retention data</w:t>
            </w:r>
          </w:p>
        </w:tc>
      </w:tr>
      <w:tr>
        <w:tc>
          <w:tcPr>
            <w:tcW w:type="dxa" w:w="2600"/>
            <w:tcBorders>
              <w:top w:val="single" w:color="CCCCBB" w:sz="1" w:space="0"/>
              <w:left w:val="single" w:color="CCCCBB" w:sz="1" w:space="0"/>
              <w:bottom w:val="single" w:color="CCCCBB" w:sz="1" w:space="0"/>
              <w:right w:val="single" w:color="CCCCBB" w:sz="1" w:space="0"/>
            </w:tcBorders>
            <w:shd w:fill="EDE8D8" w:val="clear"/>
            <w:tcMar>
              <w:top w:type="dxa" w:w="80"/>
              <w:left w:type="dxa" w:w="160"/>
              <w:bottom w:type="dxa" w:w="80"/>
              <w:right w:type="dxa" w:w="160"/>
            </w:tcMar>
          </w:tcPr>
          <w:p>
            <w:r>
              <w:rPr>
                <w:rFonts w:ascii="Calibri" w:cs="Calibri" w:eastAsia="Calibri" w:hAnsi="Calibri"/>
                <w:b/>
                <w:bCs/>
                <w:color w:val="0C2340"/>
                <w:sz w:val="22"/>
                <w:szCs w:val="22"/>
              </w:rPr>
              <w:t xml:space="preserve">Year 25 Revenue</w:t>
            </w:r>
          </w:p>
        </w:tc>
        <w:tc>
          <w:tcPr>
            <w:tcW w:type="dxa" w:w="6400"/>
            <w:tcBorders>
              <w:top w:val="single" w:color="CCCCBB" w:sz="1" w:space="0"/>
              <w:left w:val="single" w:color="CCCCBB" w:sz="1" w:space="0"/>
              <w:bottom w:val="single" w:color="CCCCBB" w:sz="1" w:space="0"/>
              <w:right w:val="single" w:color="CCCCBB" w:sz="1" w:space="0"/>
            </w:tcBorders>
            <w:shd w:fill="FFFFFF" w:val="clear"/>
            <w:tcMar>
              <w:top w:type="dxa" w:w="80"/>
              <w:left w:type="dxa" w:w="160"/>
              <w:bottom w:type="dxa" w:w="80"/>
              <w:right w:type="dxa" w:w="160"/>
            </w:tcMar>
          </w:tcPr>
          <w:p>
            <w:r>
              <w:rPr>
                <w:rFonts w:ascii="Calibri" w:cs="Calibri" w:eastAsia="Calibri" w:hAnsi="Calibri"/>
                <w:color w:val="1E1E2E"/>
                <w:sz w:val="22"/>
                <w:szCs w:val="22"/>
              </w:rPr>
              <w:t xml:space="preserve">R5B – R20B (multi-national, all divisions, licensing at scale)</w:t>
            </w:r>
          </w:p>
        </w:tc>
      </w:tr>
      <w:tr>
        <w:tc>
          <w:tcPr>
            <w:tcW w:type="dxa" w:w="2600"/>
            <w:tcBorders>
              <w:top w:val="single" w:color="CCCCBB" w:sz="1" w:space="0"/>
              <w:left w:val="single" w:color="CCCCBB" w:sz="1" w:space="0"/>
              <w:bottom w:val="single" w:color="CCCCBB" w:sz="1" w:space="0"/>
              <w:right w:val="single" w:color="CCCCBB" w:sz="1" w:space="0"/>
            </w:tcBorders>
            <w:shd w:fill="F5F2EA" w:val="clear"/>
            <w:tcMar>
              <w:top w:type="dxa" w:w="80"/>
              <w:left w:type="dxa" w:w="160"/>
              <w:bottom w:type="dxa" w:w="80"/>
              <w:right w:type="dxa" w:w="160"/>
            </w:tcMar>
          </w:tcPr>
          <w:p>
            <w:r>
              <w:rPr>
                <w:rFonts w:ascii="Calibri" w:cs="Calibri" w:eastAsia="Calibri" w:hAnsi="Calibri"/>
                <w:b/>
                <w:bCs/>
                <w:color w:val="0C2340"/>
                <w:sz w:val="22"/>
                <w:szCs w:val="22"/>
              </w:rPr>
              <w:t xml:space="preserve">Year 25 EBITDA</w:t>
            </w:r>
          </w:p>
        </w:tc>
        <w:tc>
          <w:tcPr>
            <w:tcW w:type="dxa" w:w="6400"/>
            <w:tcBorders>
              <w:top w:val="single" w:color="CCCCBB" w:sz="1" w:space="0"/>
              <w:left w:val="single" w:color="CCCCBB" w:sz="1" w:space="0"/>
              <w:bottom w:val="single" w:color="CCCCBB" w:sz="1" w:space="0"/>
              <w:right w:val="single" w:color="CCCCBB" w:sz="1" w:space="0"/>
            </w:tcBorders>
            <w:shd w:fill="FAFAF5" w:val="clear"/>
            <w:tcMar>
              <w:top w:type="dxa" w:w="80"/>
              <w:left w:type="dxa" w:w="160"/>
              <w:bottom w:type="dxa" w:w="80"/>
              <w:right w:type="dxa" w:w="160"/>
            </w:tcMar>
          </w:tcPr>
          <w:p>
            <w:r>
              <w:rPr>
                <w:rFonts w:ascii="Calibri" w:cs="Calibri" w:eastAsia="Calibri" w:hAnsi="Calibri"/>
                <w:color w:val="1E1E2E"/>
                <w:sz w:val="22"/>
                <w:szCs w:val="22"/>
              </w:rPr>
              <w:t xml:space="preserve">30–40% (improved by high-margin licensing)</w:t>
            </w:r>
          </w:p>
        </w:tc>
      </w:tr>
      <w:tr>
        <w:tc>
          <w:tcPr>
            <w:tcW w:type="dxa" w:w="2600"/>
            <w:tcBorders>
              <w:top w:val="single" w:color="CCCCBB" w:sz="1" w:space="0"/>
              <w:left w:val="single" w:color="CCCCBB" w:sz="1" w:space="0"/>
              <w:bottom w:val="single" w:color="CCCCBB" w:sz="1" w:space="0"/>
              <w:right w:val="single" w:color="CCCCBB" w:sz="1" w:space="0"/>
            </w:tcBorders>
            <w:shd w:fill="EDE8D8" w:val="clear"/>
            <w:tcMar>
              <w:top w:type="dxa" w:w="80"/>
              <w:left w:type="dxa" w:w="160"/>
              <w:bottom w:type="dxa" w:w="80"/>
              <w:right w:type="dxa" w:w="160"/>
            </w:tcMar>
          </w:tcPr>
          <w:p>
            <w:r>
              <w:rPr>
                <w:rFonts w:ascii="Calibri" w:cs="Calibri" w:eastAsia="Calibri" w:hAnsi="Calibri"/>
                <w:b/>
                <w:bCs/>
                <w:color w:val="0C2340"/>
                <w:sz w:val="22"/>
                <w:szCs w:val="22"/>
              </w:rPr>
              <w:t xml:space="preserve">Year 25 Equity Value</w:t>
            </w:r>
          </w:p>
        </w:tc>
        <w:tc>
          <w:tcPr>
            <w:tcW w:type="dxa" w:w="6400"/>
            <w:tcBorders>
              <w:top w:val="single" w:color="CCCCBB" w:sz="1" w:space="0"/>
              <w:left w:val="single" w:color="CCCCBB" w:sz="1" w:space="0"/>
              <w:bottom w:val="single" w:color="CCCCBB" w:sz="1" w:space="0"/>
              <w:right w:val="single" w:color="CCCCBB" w:sz="1" w:space="0"/>
            </w:tcBorders>
            <w:shd w:fill="FFFFFF" w:val="clear"/>
            <w:tcMar>
              <w:top w:type="dxa" w:w="80"/>
              <w:left w:type="dxa" w:w="160"/>
              <w:bottom w:type="dxa" w:w="80"/>
              <w:right w:type="dxa" w:w="160"/>
            </w:tcMar>
          </w:tcPr>
          <w:p>
            <w:r>
              <w:rPr>
                <w:rFonts w:ascii="Calibri" w:cs="Calibri" w:eastAsia="Calibri" w:hAnsi="Calibri"/>
                <w:color w:val="1E1E2E"/>
                <w:sz w:val="22"/>
                <w:szCs w:val="22"/>
              </w:rPr>
              <w:t xml:space="preserve">R50B – R200B (12× revenue multiple consistent with governance infrastructure SaaS)</w:t>
            </w:r>
          </w:p>
        </w:tc>
      </w:tr>
      <w:tr>
        <w:tc>
          <w:tcPr>
            <w:tcW w:type="dxa" w:w="2600"/>
            <w:tcBorders>
              <w:top w:val="single" w:color="CCCCBB" w:sz="1" w:space="0"/>
              <w:left w:val="single" w:color="CCCCBB" w:sz="1" w:space="0"/>
              <w:bottom w:val="single" w:color="CCCCBB" w:sz="1" w:space="0"/>
              <w:right w:val="single" w:color="CCCCBB" w:sz="1" w:space="0"/>
            </w:tcBorders>
            <w:shd w:fill="F5F2EA" w:val="clear"/>
            <w:tcMar>
              <w:top w:type="dxa" w:w="80"/>
              <w:left w:type="dxa" w:w="160"/>
              <w:bottom w:type="dxa" w:w="80"/>
              <w:right w:type="dxa" w:w="160"/>
            </w:tcMar>
          </w:tcPr>
          <w:p>
            <w:r>
              <w:rPr>
                <w:rFonts w:ascii="Calibri" w:cs="Calibri" w:eastAsia="Calibri" w:hAnsi="Calibri"/>
                <w:b/>
                <w:bCs/>
                <w:color w:val="0C2340"/>
                <w:sz w:val="22"/>
                <w:szCs w:val="22"/>
              </w:rPr>
              <w:t xml:space="preserve">Year 25 Countries</w:t>
            </w:r>
          </w:p>
        </w:tc>
        <w:tc>
          <w:tcPr>
            <w:tcW w:type="dxa" w:w="6400"/>
            <w:tcBorders>
              <w:top w:val="single" w:color="CCCCBB" w:sz="1" w:space="0"/>
              <w:left w:val="single" w:color="CCCCBB" w:sz="1" w:space="0"/>
              <w:bottom w:val="single" w:color="CCCCBB" w:sz="1" w:space="0"/>
              <w:right w:val="single" w:color="CCCCBB" w:sz="1" w:space="0"/>
            </w:tcBorders>
            <w:shd w:fill="FAFAF5" w:val="clear"/>
            <w:tcMar>
              <w:top w:type="dxa" w:w="80"/>
              <w:left w:type="dxa" w:w="160"/>
              <w:bottom w:type="dxa" w:w="80"/>
              <w:right w:type="dxa" w:w="160"/>
            </w:tcMar>
          </w:tcPr>
          <w:p>
            <w:r>
              <w:rPr>
                <w:rFonts w:ascii="Calibri" w:cs="Calibri" w:eastAsia="Calibri" w:hAnsi="Calibri"/>
                <w:color w:val="1E1E2E"/>
                <w:sz w:val="22"/>
                <w:szCs w:val="22"/>
              </w:rPr>
              <w:t xml:space="preserve">15–25 operating jurisdictions</w:t>
            </w:r>
          </w:p>
        </w:tc>
      </w:tr>
      <w:tr>
        <w:tc>
          <w:tcPr>
            <w:tcW w:type="dxa" w:w="2600"/>
            <w:tcBorders>
              <w:top w:val="single" w:color="CCCCBB" w:sz="1" w:space="0"/>
              <w:left w:val="single" w:color="CCCCBB" w:sz="1" w:space="0"/>
              <w:bottom w:val="single" w:color="CCCCBB" w:sz="1" w:space="0"/>
              <w:right w:val="single" w:color="CCCCBB" w:sz="1" w:space="0"/>
            </w:tcBorders>
            <w:shd w:fill="EDE8D8" w:val="clear"/>
            <w:tcMar>
              <w:top w:type="dxa" w:w="80"/>
              <w:left w:type="dxa" w:w="160"/>
              <w:bottom w:type="dxa" w:w="80"/>
              <w:right w:type="dxa" w:w="160"/>
            </w:tcMar>
          </w:tcPr>
          <w:p>
            <w:r>
              <w:rPr>
                <w:rFonts w:ascii="Calibri" w:cs="Calibri" w:eastAsia="Calibri" w:hAnsi="Calibri"/>
                <w:b/>
                <w:bCs/>
                <w:color w:val="0C2340"/>
                <w:sz w:val="22"/>
                <w:szCs w:val="22"/>
              </w:rPr>
              <w:t xml:space="preserve">Year 25 Govt Deployments</w:t>
            </w:r>
          </w:p>
        </w:tc>
        <w:tc>
          <w:tcPr>
            <w:tcW w:type="dxa" w:w="6400"/>
            <w:tcBorders>
              <w:top w:val="single" w:color="CCCCBB" w:sz="1" w:space="0"/>
              <w:left w:val="single" w:color="CCCCBB" w:sz="1" w:space="0"/>
              <w:bottom w:val="single" w:color="CCCCBB" w:sz="1" w:space="0"/>
              <w:right w:val="single" w:color="CCCCBB" w:sz="1" w:space="0"/>
            </w:tcBorders>
            <w:shd w:fill="FFFFFF" w:val="clear"/>
            <w:tcMar>
              <w:top w:type="dxa" w:w="80"/>
              <w:left w:type="dxa" w:w="160"/>
              <w:bottom w:type="dxa" w:w="80"/>
              <w:right w:type="dxa" w:w="160"/>
            </w:tcMar>
          </w:tcPr>
          <w:p>
            <w:r>
              <w:rPr>
                <w:rFonts w:ascii="Calibri" w:cs="Calibri" w:eastAsia="Calibri" w:hAnsi="Calibri"/>
                <w:color w:val="1E1E2E"/>
                <w:sz w:val="22"/>
                <w:szCs w:val="22"/>
              </w:rPr>
              <w:t xml:space="preserve">10+ national governments on UDOC frameworks</w:t>
            </w:r>
          </w:p>
        </w:tc>
      </w:tr>
    </w:tbl>
    <w:p>
      <w:r>
        <w:br w:type="page"/>
      </w:r>
    </w:p>
    <w:p>
      <w:pPr>
        <w:pBdr>
          <w:bottom w:val="single" w:color="C9A84C" w:sz="8" w:space="4"/>
        </w:pBdr>
        <w:spacing w:before="440" w:after="120"/>
      </w:pPr>
      <w:r>
        <w:rPr>
          <w:rFonts w:ascii="Georgia" w:cs="Georgia" w:eastAsia="Georgia" w:hAnsi="Georgia"/>
          <w:b/>
          <w:bCs/>
          <w:color w:val="B8972A"/>
          <w:sz w:val="28"/>
          <w:szCs w:val="28"/>
        </w:rPr>
        <w:t xml:space="preserve">ANNEXURE G  </w:t>
      </w:r>
      <w:r>
        <w:rPr>
          <w:rFonts w:ascii="Georgia" w:cs="Georgia" w:eastAsia="Georgia" w:hAnsi="Georgia"/>
          <w:b/>
          <w:bCs/>
          <w:color w:val="0C2340"/>
          <w:sz w:val="28"/>
          <w:szCs w:val="28"/>
        </w:rPr>
        <w:t xml:space="preserve">Risk Register — Full Assessment Matrix</w:t>
      </w:r>
    </w:p>
    <w:p>
      <w:pPr>
        <w:spacing w:before="140" w:after="160"/>
        <w:jc w:val="both"/>
      </w:pPr>
      <w:r>
        <w:rPr>
          <w:rFonts w:ascii="Georgia" w:cs="Georgia" w:eastAsia="Georgia" w:hAnsi="Georgia"/>
          <w:i/>
          <w:iCs/>
          <w:color w:val="5A5A72"/>
          <w:sz w:val="24"/>
          <w:szCs w:val="24"/>
        </w:rPr>
        <w:t xml:space="preserve">Updated quarterly by the Constitutional Oversight Board. Likelihood and Impact rated 1–5.</w:t>
      </w:r>
    </w:p>
    <w:p>
      <w:pPr>
        <w:spacing w:before="80" w:after="0"/>
      </w:pP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2200"/>
        <w:gridCol w:w="700"/>
        <w:gridCol w:w="700"/>
        <w:gridCol w:w="700"/>
        <w:gridCol w:w="4700"/>
      </w:tblGrid>
      <w:tr>
        <w:trPr>
          <w:tblHeader/>
        </w:trPr>
        <w:tc>
          <w:tcPr>
            <w:tcW w:type="dxa" w:w="2200"/>
            <w:tcBorders>
              <w:top w:val="single" w:color="CCCCBB" w:sz="1" w:space="0"/>
              <w:left w:val="single" w:color="CCCCBB" w:sz="1" w:space="0"/>
              <w:bottom w:val="single" w:color="CCCCBB" w:sz="1" w:space="0"/>
              <w:right w:val="single" w:color="CCCCBB" w:sz="1" w:space="0"/>
            </w:tcBorders>
            <w:shd w:fill="0C2340" w:val="clear"/>
            <w:tcMar>
              <w:top w:type="dxa" w:w="80"/>
              <w:left w:type="dxa" w:w="100"/>
              <w:bottom w:type="dxa" w:w="80"/>
              <w:right w:type="dxa" w:w="100"/>
            </w:tcMar>
          </w:tcPr>
          <w:p>
            <w:r>
              <w:rPr>
                <w:rFonts w:ascii="Calibri" w:cs="Calibri" w:eastAsia="Calibri" w:hAnsi="Calibri"/>
                <w:b/>
                <w:bCs/>
                <w:color w:val="FFFFFF"/>
                <w:sz w:val="18"/>
                <w:szCs w:val="18"/>
              </w:rPr>
              <w:t xml:space="preserve">Risk Area</w:t>
            </w:r>
          </w:p>
        </w:tc>
        <w:tc>
          <w:tcPr>
            <w:tcW w:type="dxa" w:w="700"/>
            <w:tcBorders>
              <w:top w:val="single" w:color="CCCCBB" w:sz="1" w:space="0"/>
              <w:left w:val="single" w:color="CCCCBB" w:sz="1" w:space="0"/>
              <w:bottom w:val="single" w:color="CCCCBB" w:sz="1" w:space="0"/>
              <w:right w:val="single" w:color="CCCCBB" w:sz="1" w:space="0"/>
            </w:tcBorders>
            <w:shd w:fill="0C2340" w:val="clear"/>
            <w:tcMar>
              <w:top w:type="dxa" w:w="80"/>
              <w:left w:type="dxa" w:w="100"/>
              <w:bottom w:type="dxa" w:w="80"/>
              <w:right w:type="dxa" w:w="100"/>
            </w:tcMar>
          </w:tcPr>
          <w:p>
            <w:r>
              <w:rPr>
                <w:rFonts w:ascii="Calibri" w:cs="Calibri" w:eastAsia="Calibri" w:hAnsi="Calibri"/>
                <w:b/>
                <w:bCs/>
                <w:color w:val="FFFFFF"/>
                <w:sz w:val="18"/>
                <w:szCs w:val="18"/>
              </w:rPr>
              <w:t xml:space="preserve">Likelihood</w:t>
            </w:r>
          </w:p>
        </w:tc>
        <w:tc>
          <w:tcPr>
            <w:tcW w:type="dxa" w:w="700"/>
            <w:tcBorders>
              <w:top w:val="single" w:color="CCCCBB" w:sz="1" w:space="0"/>
              <w:left w:val="single" w:color="CCCCBB" w:sz="1" w:space="0"/>
              <w:bottom w:val="single" w:color="CCCCBB" w:sz="1" w:space="0"/>
              <w:right w:val="single" w:color="CCCCBB" w:sz="1" w:space="0"/>
            </w:tcBorders>
            <w:shd w:fill="0C2340" w:val="clear"/>
            <w:tcMar>
              <w:top w:type="dxa" w:w="80"/>
              <w:left w:type="dxa" w:w="100"/>
              <w:bottom w:type="dxa" w:w="80"/>
              <w:right w:type="dxa" w:w="100"/>
            </w:tcMar>
          </w:tcPr>
          <w:p>
            <w:r>
              <w:rPr>
                <w:rFonts w:ascii="Calibri" w:cs="Calibri" w:eastAsia="Calibri" w:hAnsi="Calibri"/>
                <w:b/>
                <w:bCs/>
                <w:color w:val="FFFFFF"/>
                <w:sz w:val="18"/>
                <w:szCs w:val="18"/>
              </w:rPr>
              <w:t xml:space="preserve">Impact</w:t>
            </w:r>
          </w:p>
        </w:tc>
        <w:tc>
          <w:tcPr>
            <w:tcW w:type="dxa" w:w="700"/>
            <w:tcBorders>
              <w:top w:val="single" w:color="CCCCBB" w:sz="1" w:space="0"/>
              <w:left w:val="single" w:color="CCCCBB" w:sz="1" w:space="0"/>
              <w:bottom w:val="single" w:color="CCCCBB" w:sz="1" w:space="0"/>
              <w:right w:val="single" w:color="CCCCBB" w:sz="1" w:space="0"/>
            </w:tcBorders>
            <w:shd w:fill="0C2340" w:val="clear"/>
            <w:tcMar>
              <w:top w:type="dxa" w:w="80"/>
              <w:left w:type="dxa" w:w="100"/>
              <w:bottom w:type="dxa" w:w="80"/>
              <w:right w:type="dxa" w:w="100"/>
            </w:tcMar>
          </w:tcPr>
          <w:p>
            <w:r>
              <w:rPr>
                <w:rFonts w:ascii="Calibri" w:cs="Calibri" w:eastAsia="Calibri" w:hAnsi="Calibri"/>
                <w:b/>
                <w:bCs/>
                <w:color w:val="FFFFFF"/>
                <w:sz w:val="18"/>
                <w:szCs w:val="18"/>
              </w:rPr>
              <w:t xml:space="preserve">Rating</w:t>
            </w:r>
          </w:p>
        </w:tc>
        <w:tc>
          <w:tcPr>
            <w:tcW w:type="dxa" w:w="4700"/>
            <w:tcBorders>
              <w:top w:val="single" w:color="CCCCBB" w:sz="1" w:space="0"/>
              <w:left w:val="single" w:color="CCCCBB" w:sz="1" w:space="0"/>
              <w:bottom w:val="single" w:color="CCCCBB" w:sz="1" w:space="0"/>
              <w:right w:val="single" w:color="CCCCBB" w:sz="1" w:space="0"/>
            </w:tcBorders>
            <w:shd w:fill="0C2340" w:val="clear"/>
            <w:tcMar>
              <w:top w:type="dxa" w:w="80"/>
              <w:left w:type="dxa" w:w="100"/>
              <w:bottom w:type="dxa" w:w="80"/>
              <w:right w:type="dxa" w:w="100"/>
            </w:tcMar>
          </w:tcPr>
          <w:p>
            <w:r>
              <w:rPr>
                <w:rFonts w:ascii="Calibri" w:cs="Calibri" w:eastAsia="Calibri" w:hAnsi="Calibri"/>
                <w:b/>
                <w:bCs/>
                <w:color w:val="FFFFFF"/>
                <w:sz w:val="18"/>
                <w:szCs w:val="18"/>
              </w:rPr>
              <w:t xml:space="preserve">Mitigation</w:t>
            </w:r>
          </w:p>
        </w:tc>
      </w:tr>
      <w:tr>
        <w:tc>
          <w:tcPr>
            <w:tcW w:type="dxa" w:w="2200"/>
            <w:tcBorders>
              <w:top w:val="single" w:color="CCCCBB" w:sz="1" w:space="0"/>
              <w:left w:val="single" w:color="CCCCBB" w:sz="1" w:space="0"/>
              <w:bottom w:val="single" w:color="CCCCBB" w:sz="1" w:space="0"/>
              <w:right w:val="single" w:color="CCCCBB" w:sz="1" w:space="0"/>
            </w:tcBorders>
            <w:tcMar>
              <w:top w:type="dxa" w:w="80"/>
              <w:left w:type="dxa" w:w="100"/>
              <w:bottom w:type="dxa" w:w="80"/>
              <w:right w:type="dxa" w:w="100"/>
            </w:tcMar>
          </w:tcPr>
          <w:p>
            <w:r>
              <w:rPr>
                <w:rFonts w:ascii="Calibri" w:cs="Calibri" w:eastAsia="Calibri" w:hAnsi="Calibri"/>
                <w:color w:val="1E1E2E"/>
                <w:sz w:val="18"/>
                <w:szCs w:val="18"/>
              </w:rPr>
              <w:t xml:space="preserve">Mission drift under commercial pressure</w:t>
            </w:r>
          </w:p>
        </w:tc>
        <w:tc>
          <w:tcPr>
            <w:tcW w:type="dxa" w:w="700"/>
            <w:tcBorders>
              <w:top w:val="single" w:color="CCCCBB" w:sz="1" w:space="0"/>
              <w:left w:val="single" w:color="CCCCBB" w:sz="1" w:space="0"/>
              <w:bottom w:val="single" w:color="CCCCBB" w:sz="1" w:space="0"/>
              <w:right w:val="single" w:color="CCCCBB" w:sz="1" w:space="0"/>
            </w:tcBorders>
            <w:shd w:fill="F5F5F0" w:val="clear"/>
            <w:tcMar>
              <w:top w:type="dxa" w:w="80"/>
              <w:left w:type="dxa" w:w="80"/>
              <w:bottom w:type="dxa" w:w="80"/>
              <w:right w:type="dxa" w:w="80"/>
            </w:tcMar>
          </w:tcPr>
          <w:p>
            <w:pPr>
              <w:jc w:val="center"/>
            </w:pPr>
            <w:r>
              <w:rPr>
                <w:rFonts w:ascii="Calibri" w:cs="Calibri" w:eastAsia="Calibri" w:hAnsi="Calibri"/>
                <w:color w:val="1E1E2E"/>
                <w:sz w:val="18"/>
                <w:szCs w:val="18"/>
              </w:rPr>
              <w:t xml:space="preserve">3</w:t>
            </w:r>
          </w:p>
        </w:tc>
        <w:tc>
          <w:tcPr>
            <w:tcW w:type="dxa" w:w="700"/>
            <w:tcBorders>
              <w:top w:val="single" w:color="CCCCBB" w:sz="1" w:space="0"/>
              <w:left w:val="single" w:color="CCCCBB" w:sz="1" w:space="0"/>
              <w:bottom w:val="single" w:color="CCCCBB" w:sz="1" w:space="0"/>
              <w:right w:val="single" w:color="CCCCBB" w:sz="1" w:space="0"/>
            </w:tcBorders>
            <w:shd w:fill="F5F5F0" w:val="clear"/>
            <w:tcMar>
              <w:top w:type="dxa" w:w="80"/>
              <w:left w:type="dxa" w:w="80"/>
              <w:bottom w:type="dxa" w:w="80"/>
              <w:right w:type="dxa" w:w="80"/>
            </w:tcMar>
          </w:tcPr>
          <w:p>
            <w:pPr>
              <w:jc w:val="center"/>
            </w:pPr>
            <w:r>
              <w:rPr>
                <w:rFonts w:ascii="Calibri" w:cs="Calibri" w:eastAsia="Calibri" w:hAnsi="Calibri"/>
                <w:color w:val="1E1E2E"/>
                <w:sz w:val="18"/>
                <w:szCs w:val="18"/>
              </w:rPr>
              <w:t xml:space="preserve">5</w:t>
            </w:r>
          </w:p>
        </w:tc>
        <w:tc>
          <w:tcPr>
            <w:tcW w:type="dxa" w:w="700"/>
            <w:tcBorders>
              <w:top w:val="single" w:color="CCCCBB" w:sz="1" w:space="0"/>
              <w:left w:val="single" w:color="CCCCBB" w:sz="1" w:space="0"/>
              <w:bottom w:val="single" w:color="CCCCBB" w:sz="1" w:space="0"/>
              <w:right w:val="single" w:color="CCCCBB" w:sz="1" w:space="0"/>
            </w:tcBorders>
            <w:shd w:fill="C0392B" w:val="clear"/>
            <w:tcMar>
              <w:top w:type="dxa" w:w="80"/>
              <w:left w:type="dxa" w:w="80"/>
              <w:bottom w:type="dxa" w:w="80"/>
              <w:right w:type="dxa" w:w="80"/>
            </w:tcMar>
          </w:tcPr>
          <w:p>
            <w:pPr>
              <w:jc w:val="center"/>
            </w:pPr>
            <w:r>
              <w:rPr>
                <w:rFonts w:ascii="Calibri" w:cs="Calibri" w:eastAsia="Calibri" w:hAnsi="Calibri"/>
                <w:b/>
                <w:bCs/>
                <w:color w:val="FFFFFF"/>
                <w:sz w:val="18"/>
                <w:szCs w:val="18"/>
              </w:rPr>
              <w:t xml:space="preserve">HIGH</w:t>
            </w:r>
          </w:p>
        </w:tc>
        <w:tc>
          <w:tcPr>
            <w:tcW w:type="dxa" w:w="4700"/>
            <w:tcBorders>
              <w:top w:val="single" w:color="CCCCBB" w:sz="1" w:space="0"/>
              <w:left w:val="single" w:color="CCCCBB" w:sz="1" w:space="0"/>
              <w:bottom w:val="single" w:color="CCCCBB" w:sz="1" w:space="0"/>
              <w:right w:val="single" w:color="CCCCBB" w:sz="1" w:space="0"/>
            </w:tcBorders>
            <w:tcMar>
              <w:top w:type="dxa" w:w="80"/>
              <w:left w:type="dxa" w:w="100"/>
              <w:bottom w:type="dxa" w:w="80"/>
              <w:right w:type="dxa" w:w="100"/>
            </w:tcMar>
          </w:tcPr>
          <w:p>
            <w:r>
              <w:rPr>
                <w:rFonts w:ascii="Calibri" w:cs="Calibri" w:eastAsia="Calibri" w:hAnsi="Calibri"/>
                <w:i/>
                <w:iCs/>
                <w:color w:val="5A5A72"/>
                <w:sz w:val="18"/>
                <w:szCs w:val="18"/>
              </w:rPr>
              <w:t xml:space="preserve">12 Pillars; annual COB constitutional review; IP Trust insulated from commercial decisions</w:t>
            </w:r>
          </w:p>
        </w:tc>
      </w:tr>
      <w:tr>
        <w:tc>
          <w:tcPr>
            <w:tcW w:type="dxa" w:w="2200"/>
            <w:tcBorders>
              <w:top w:val="single" w:color="CCCCBB" w:sz="1" w:space="0"/>
              <w:left w:val="single" w:color="CCCCBB" w:sz="1" w:space="0"/>
              <w:bottom w:val="single" w:color="CCCCBB" w:sz="1" w:space="0"/>
              <w:right w:val="single" w:color="CCCCBB" w:sz="1" w:space="0"/>
            </w:tcBorders>
            <w:tcMar>
              <w:top w:type="dxa" w:w="80"/>
              <w:left w:type="dxa" w:w="100"/>
              <w:bottom w:type="dxa" w:w="80"/>
              <w:right w:type="dxa" w:w="100"/>
            </w:tcMar>
          </w:tcPr>
          <w:p>
            <w:r>
              <w:rPr>
                <w:rFonts w:ascii="Calibri" w:cs="Calibri" w:eastAsia="Calibri" w:hAnsi="Calibri"/>
                <w:color w:val="1E1E2E"/>
                <w:sz w:val="18"/>
                <w:szCs w:val="18"/>
              </w:rPr>
              <w:t xml:space="preserve">Political resistance / administration change</w:t>
            </w:r>
          </w:p>
        </w:tc>
        <w:tc>
          <w:tcPr>
            <w:tcW w:type="dxa" w:w="700"/>
            <w:tcBorders>
              <w:top w:val="single" w:color="CCCCBB" w:sz="1" w:space="0"/>
              <w:left w:val="single" w:color="CCCCBB" w:sz="1" w:space="0"/>
              <w:bottom w:val="single" w:color="CCCCBB" w:sz="1" w:space="0"/>
              <w:right w:val="single" w:color="CCCCBB" w:sz="1" w:space="0"/>
            </w:tcBorders>
            <w:shd w:fill="F5F5F0" w:val="clear"/>
            <w:tcMar>
              <w:top w:type="dxa" w:w="80"/>
              <w:left w:type="dxa" w:w="80"/>
              <w:bottom w:type="dxa" w:w="80"/>
              <w:right w:type="dxa" w:w="80"/>
            </w:tcMar>
          </w:tcPr>
          <w:p>
            <w:pPr>
              <w:jc w:val="center"/>
            </w:pPr>
            <w:r>
              <w:rPr>
                <w:rFonts w:ascii="Calibri" w:cs="Calibri" w:eastAsia="Calibri" w:hAnsi="Calibri"/>
                <w:color w:val="1E1E2E"/>
                <w:sz w:val="18"/>
                <w:szCs w:val="18"/>
              </w:rPr>
              <w:t xml:space="preserve">4</w:t>
            </w:r>
          </w:p>
        </w:tc>
        <w:tc>
          <w:tcPr>
            <w:tcW w:type="dxa" w:w="700"/>
            <w:tcBorders>
              <w:top w:val="single" w:color="CCCCBB" w:sz="1" w:space="0"/>
              <w:left w:val="single" w:color="CCCCBB" w:sz="1" w:space="0"/>
              <w:bottom w:val="single" w:color="CCCCBB" w:sz="1" w:space="0"/>
              <w:right w:val="single" w:color="CCCCBB" w:sz="1" w:space="0"/>
            </w:tcBorders>
            <w:shd w:fill="F5F5F0" w:val="clear"/>
            <w:tcMar>
              <w:top w:type="dxa" w:w="80"/>
              <w:left w:type="dxa" w:w="80"/>
              <w:bottom w:type="dxa" w:w="80"/>
              <w:right w:type="dxa" w:w="80"/>
            </w:tcMar>
          </w:tcPr>
          <w:p>
            <w:pPr>
              <w:jc w:val="center"/>
            </w:pPr>
            <w:r>
              <w:rPr>
                <w:rFonts w:ascii="Calibri" w:cs="Calibri" w:eastAsia="Calibri" w:hAnsi="Calibri"/>
                <w:color w:val="1E1E2E"/>
                <w:sz w:val="18"/>
                <w:szCs w:val="18"/>
              </w:rPr>
              <w:t xml:space="preserve">3</w:t>
            </w:r>
          </w:p>
        </w:tc>
        <w:tc>
          <w:tcPr>
            <w:tcW w:type="dxa" w:w="700"/>
            <w:tcBorders>
              <w:top w:val="single" w:color="CCCCBB" w:sz="1" w:space="0"/>
              <w:left w:val="single" w:color="CCCCBB" w:sz="1" w:space="0"/>
              <w:bottom w:val="single" w:color="CCCCBB" w:sz="1" w:space="0"/>
              <w:right w:val="single" w:color="CCCCBB" w:sz="1" w:space="0"/>
            </w:tcBorders>
            <w:shd w:fill="C0392B" w:val="clear"/>
            <w:tcMar>
              <w:top w:type="dxa" w:w="80"/>
              <w:left w:type="dxa" w:w="80"/>
              <w:bottom w:type="dxa" w:w="80"/>
              <w:right w:type="dxa" w:w="80"/>
            </w:tcMar>
          </w:tcPr>
          <w:p>
            <w:pPr>
              <w:jc w:val="center"/>
            </w:pPr>
            <w:r>
              <w:rPr>
                <w:rFonts w:ascii="Calibri" w:cs="Calibri" w:eastAsia="Calibri" w:hAnsi="Calibri"/>
                <w:b/>
                <w:bCs/>
                <w:color w:val="FFFFFF"/>
                <w:sz w:val="18"/>
                <w:szCs w:val="18"/>
              </w:rPr>
              <w:t xml:space="preserve">HIGH</w:t>
            </w:r>
          </w:p>
        </w:tc>
        <w:tc>
          <w:tcPr>
            <w:tcW w:type="dxa" w:w="4700"/>
            <w:tcBorders>
              <w:top w:val="single" w:color="CCCCBB" w:sz="1" w:space="0"/>
              <w:left w:val="single" w:color="CCCCBB" w:sz="1" w:space="0"/>
              <w:bottom w:val="single" w:color="CCCCBB" w:sz="1" w:space="0"/>
              <w:right w:val="single" w:color="CCCCBB" w:sz="1" w:space="0"/>
            </w:tcBorders>
            <w:tcMar>
              <w:top w:type="dxa" w:w="80"/>
              <w:left w:type="dxa" w:w="100"/>
              <w:bottom w:type="dxa" w:w="80"/>
              <w:right w:type="dxa" w:w="100"/>
            </w:tcMar>
          </w:tcPr>
          <w:p>
            <w:r>
              <w:rPr>
                <w:rFonts w:ascii="Calibri" w:cs="Calibri" w:eastAsia="Calibri" w:hAnsi="Calibri"/>
                <w:i/>
                <w:iCs/>
                <w:color w:val="5A5A72"/>
                <w:sz w:val="18"/>
                <w:szCs w:val="18"/>
              </w:rPr>
              <w:t xml:space="preserve">Multiple dept relationships; contractual independence from individual champions; performance record</w:t>
            </w:r>
          </w:p>
        </w:tc>
      </w:tr>
      <w:tr>
        <w:tc>
          <w:tcPr>
            <w:tcW w:type="dxa" w:w="2200"/>
            <w:tcBorders>
              <w:top w:val="single" w:color="CCCCBB" w:sz="1" w:space="0"/>
              <w:left w:val="single" w:color="CCCCBB" w:sz="1" w:space="0"/>
              <w:bottom w:val="single" w:color="CCCCBB" w:sz="1" w:space="0"/>
              <w:right w:val="single" w:color="CCCCBB" w:sz="1" w:space="0"/>
            </w:tcBorders>
            <w:tcMar>
              <w:top w:type="dxa" w:w="80"/>
              <w:left w:type="dxa" w:w="100"/>
              <w:bottom w:type="dxa" w:w="80"/>
              <w:right w:type="dxa" w:w="100"/>
            </w:tcMar>
          </w:tcPr>
          <w:p>
            <w:r>
              <w:rPr>
                <w:rFonts w:ascii="Calibri" w:cs="Calibri" w:eastAsia="Calibri" w:hAnsi="Calibri"/>
                <w:color w:val="1E1E2E"/>
                <w:sz w:val="18"/>
                <w:szCs w:val="18"/>
              </w:rPr>
              <w:t xml:space="preserve">Capital liquidity before revenue milestones</w:t>
            </w:r>
          </w:p>
        </w:tc>
        <w:tc>
          <w:tcPr>
            <w:tcW w:type="dxa" w:w="700"/>
            <w:tcBorders>
              <w:top w:val="single" w:color="CCCCBB" w:sz="1" w:space="0"/>
              <w:left w:val="single" w:color="CCCCBB" w:sz="1" w:space="0"/>
              <w:bottom w:val="single" w:color="CCCCBB" w:sz="1" w:space="0"/>
              <w:right w:val="single" w:color="CCCCBB" w:sz="1" w:space="0"/>
            </w:tcBorders>
            <w:shd w:fill="F5F5F0" w:val="clear"/>
            <w:tcMar>
              <w:top w:type="dxa" w:w="80"/>
              <w:left w:type="dxa" w:w="80"/>
              <w:bottom w:type="dxa" w:w="80"/>
              <w:right w:type="dxa" w:w="80"/>
            </w:tcMar>
          </w:tcPr>
          <w:p>
            <w:pPr>
              <w:jc w:val="center"/>
            </w:pPr>
            <w:r>
              <w:rPr>
                <w:rFonts w:ascii="Calibri" w:cs="Calibri" w:eastAsia="Calibri" w:hAnsi="Calibri"/>
                <w:color w:val="1E1E2E"/>
                <w:sz w:val="18"/>
                <w:szCs w:val="18"/>
              </w:rPr>
              <w:t xml:space="preserve">3</w:t>
            </w:r>
          </w:p>
        </w:tc>
        <w:tc>
          <w:tcPr>
            <w:tcW w:type="dxa" w:w="700"/>
            <w:tcBorders>
              <w:top w:val="single" w:color="CCCCBB" w:sz="1" w:space="0"/>
              <w:left w:val="single" w:color="CCCCBB" w:sz="1" w:space="0"/>
              <w:bottom w:val="single" w:color="CCCCBB" w:sz="1" w:space="0"/>
              <w:right w:val="single" w:color="CCCCBB" w:sz="1" w:space="0"/>
            </w:tcBorders>
            <w:shd w:fill="F5F5F0" w:val="clear"/>
            <w:tcMar>
              <w:top w:type="dxa" w:w="80"/>
              <w:left w:type="dxa" w:w="80"/>
              <w:bottom w:type="dxa" w:w="80"/>
              <w:right w:type="dxa" w:w="80"/>
            </w:tcMar>
          </w:tcPr>
          <w:p>
            <w:pPr>
              <w:jc w:val="center"/>
            </w:pPr>
            <w:r>
              <w:rPr>
                <w:rFonts w:ascii="Calibri" w:cs="Calibri" w:eastAsia="Calibri" w:hAnsi="Calibri"/>
                <w:color w:val="1E1E2E"/>
                <w:sz w:val="18"/>
                <w:szCs w:val="18"/>
              </w:rPr>
              <w:t xml:space="preserve">4</w:t>
            </w:r>
          </w:p>
        </w:tc>
        <w:tc>
          <w:tcPr>
            <w:tcW w:type="dxa" w:w="700"/>
            <w:tcBorders>
              <w:top w:val="single" w:color="CCCCBB" w:sz="1" w:space="0"/>
              <w:left w:val="single" w:color="CCCCBB" w:sz="1" w:space="0"/>
              <w:bottom w:val="single" w:color="CCCCBB" w:sz="1" w:space="0"/>
              <w:right w:val="single" w:color="CCCCBB" w:sz="1" w:space="0"/>
            </w:tcBorders>
            <w:shd w:fill="C0392B" w:val="clear"/>
            <w:tcMar>
              <w:top w:type="dxa" w:w="80"/>
              <w:left w:type="dxa" w:w="80"/>
              <w:bottom w:type="dxa" w:w="80"/>
              <w:right w:type="dxa" w:w="80"/>
            </w:tcMar>
          </w:tcPr>
          <w:p>
            <w:pPr>
              <w:jc w:val="center"/>
            </w:pPr>
            <w:r>
              <w:rPr>
                <w:rFonts w:ascii="Calibri" w:cs="Calibri" w:eastAsia="Calibri" w:hAnsi="Calibri"/>
                <w:b/>
                <w:bCs/>
                <w:color w:val="FFFFFF"/>
                <w:sz w:val="18"/>
                <w:szCs w:val="18"/>
              </w:rPr>
              <w:t xml:space="preserve">HIGH</w:t>
            </w:r>
          </w:p>
        </w:tc>
        <w:tc>
          <w:tcPr>
            <w:tcW w:type="dxa" w:w="4700"/>
            <w:tcBorders>
              <w:top w:val="single" w:color="CCCCBB" w:sz="1" w:space="0"/>
              <w:left w:val="single" w:color="CCCCBB" w:sz="1" w:space="0"/>
              <w:bottom w:val="single" w:color="CCCCBB" w:sz="1" w:space="0"/>
              <w:right w:val="single" w:color="CCCCBB" w:sz="1" w:space="0"/>
            </w:tcBorders>
            <w:tcMar>
              <w:top w:type="dxa" w:w="80"/>
              <w:left w:type="dxa" w:w="100"/>
              <w:bottom w:type="dxa" w:w="80"/>
              <w:right w:type="dxa" w:w="100"/>
            </w:tcMar>
          </w:tcPr>
          <w:p>
            <w:r>
              <w:rPr>
                <w:rFonts w:ascii="Calibri" w:cs="Calibri" w:eastAsia="Calibri" w:hAnsi="Calibri"/>
                <w:i/>
                <w:iCs/>
                <w:color w:val="5A5A72"/>
                <w:sz w:val="18"/>
                <w:szCs w:val="18"/>
              </w:rPr>
              <w:t xml:space="preserve">18-month runway maintained; diversified capital sources; staged cost scaling to confirmed revenue</w:t>
            </w:r>
          </w:p>
        </w:tc>
      </w:tr>
      <w:tr>
        <w:tc>
          <w:tcPr>
            <w:tcW w:type="dxa" w:w="2200"/>
            <w:tcBorders>
              <w:top w:val="single" w:color="CCCCBB" w:sz="1" w:space="0"/>
              <w:left w:val="single" w:color="CCCCBB" w:sz="1" w:space="0"/>
              <w:bottom w:val="single" w:color="CCCCBB" w:sz="1" w:space="0"/>
              <w:right w:val="single" w:color="CCCCBB" w:sz="1" w:space="0"/>
            </w:tcBorders>
            <w:tcMar>
              <w:top w:type="dxa" w:w="80"/>
              <w:left w:type="dxa" w:w="100"/>
              <w:bottom w:type="dxa" w:w="80"/>
              <w:right w:type="dxa" w:w="100"/>
            </w:tcMar>
          </w:tcPr>
          <w:p>
            <w:r>
              <w:rPr>
                <w:rFonts w:ascii="Calibri" w:cs="Calibri" w:eastAsia="Calibri" w:hAnsi="Calibri"/>
                <w:color w:val="1E1E2E"/>
                <w:sz w:val="18"/>
                <w:szCs w:val="18"/>
              </w:rPr>
              <w:t xml:space="preserve">Data breach — UDOC or S.E.T.H.S</w:t>
            </w:r>
          </w:p>
        </w:tc>
        <w:tc>
          <w:tcPr>
            <w:tcW w:type="dxa" w:w="700"/>
            <w:tcBorders>
              <w:top w:val="single" w:color="CCCCBB" w:sz="1" w:space="0"/>
              <w:left w:val="single" w:color="CCCCBB" w:sz="1" w:space="0"/>
              <w:bottom w:val="single" w:color="CCCCBB" w:sz="1" w:space="0"/>
              <w:right w:val="single" w:color="CCCCBB" w:sz="1" w:space="0"/>
            </w:tcBorders>
            <w:shd w:fill="F5F5F0" w:val="clear"/>
            <w:tcMar>
              <w:top w:type="dxa" w:w="80"/>
              <w:left w:type="dxa" w:w="80"/>
              <w:bottom w:type="dxa" w:w="80"/>
              <w:right w:type="dxa" w:w="80"/>
            </w:tcMar>
          </w:tcPr>
          <w:p>
            <w:pPr>
              <w:jc w:val="center"/>
            </w:pPr>
            <w:r>
              <w:rPr>
                <w:rFonts w:ascii="Calibri" w:cs="Calibri" w:eastAsia="Calibri" w:hAnsi="Calibri"/>
                <w:color w:val="1E1E2E"/>
                <w:sz w:val="18"/>
                <w:szCs w:val="18"/>
              </w:rPr>
              <w:t xml:space="preserve">2</w:t>
            </w:r>
          </w:p>
        </w:tc>
        <w:tc>
          <w:tcPr>
            <w:tcW w:type="dxa" w:w="700"/>
            <w:tcBorders>
              <w:top w:val="single" w:color="CCCCBB" w:sz="1" w:space="0"/>
              <w:left w:val="single" w:color="CCCCBB" w:sz="1" w:space="0"/>
              <w:bottom w:val="single" w:color="CCCCBB" w:sz="1" w:space="0"/>
              <w:right w:val="single" w:color="CCCCBB" w:sz="1" w:space="0"/>
            </w:tcBorders>
            <w:shd w:fill="F5F5F0" w:val="clear"/>
            <w:tcMar>
              <w:top w:type="dxa" w:w="80"/>
              <w:left w:type="dxa" w:w="80"/>
              <w:bottom w:type="dxa" w:w="80"/>
              <w:right w:type="dxa" w:w="80"/>
            </w:tcMar>
          </w:tcPr>
          <w:p>
            <w:pPr>
              <w:jc w:val="center"/>
            </w:pPr>
            <w:r>
              <w:rPr>
                <w:rFonts w:ascii="Calibri" w:cs="Calibri" w:eastAsia="Calibri" w:hAnsi="Calibri"/>
                <w:color w:val="1E1E2E"/>
                <w:sz w:val="18"/>
                <w:szCs w:val="18"/>
              </w:rPr>
              <w:t xml:space="preserve">5</w:t>
            </w:r>
          </w:p>
        </w:tc>
        <w:tc>
          <w:tcPr>
            <w:tcW w:type="dxa" w:w="700"/>
            <w:tcBorders>
              <w:top w:val="single" w:color="CCCCBB" w:sz="1" w:space="0"/>
              <w:left w:val="single" w:color="CCCCBB" w:sz="1" w:space="0"/>
              <w:bottom w:val="single" w:color="CCCCBB" w:sz="1" w:space="0"/>
              <w:right w:val="single" w:color="CCCCBB" w:sz="1" w:space="0"/>
            </w:tcBorders>
            <w:shd w:fill="C0392B" w:val="clear"/>
            <w:tcMar>
              <w:top w:type="dxa" w:w="80"/>
              <w:left w:type="dxa" w:w="80"/>
              <w:bottom w:type="dxa" w:w="80"/>
              <w:right w:type="dxa" w:w="80"/>
            </w:tcMar>
          </w:tcPr>
          <w:p>
            <w:pPr>
              <w:jc w:val="center"/>
            </w:pPr>
            <w:r>
              <w:rPr>
                <w:rFonts w:ascii="Calibri" w:cs="Calibri" w:eastAsia="Calibri" w:hAnsi="Calibri"/>
                <w:b/>
                <w:bCs/>
                <w:color w:val="FFFFFF"/>
                <w:sz w:val="18"/>
                <w:szCs w:val="18"/>
              </w:rPr>
              <w:t xml:space="preserve">HIGH</w:t>
            </w:r>
          </w:p>
        </w:tc>
        <w:tc>
          <w:tcPr>
            <w:tcW w:type="dxa" w:w="4700"/>
            <w:tcBorders>
              <w:top w:val="single" w:color="CCCCBB" w:sz="1" w:space="0"/>
              <w:left w:val="single" w:color="CCCCBB" w:sz="1" w:space="0"/>
              <w:bottom w:val="single" w:color="CCCCBB" w:sz="1" w:space="0"/>
              <w:right w:val="single" w:color="CCCCBB" w:sz="1" w:space="0"/>
            </w:tcBorders>
            <w:tcMar>
              <w:top w:type="dxa" w:w="80"/>
              <w:left w:type="dxa" w:w="100"/>
              <w:bottom w:type="dxa" w:w="80"/>
              <w:right w:type="dxa" w:w="100"/>
            </w:tcMar>
          </w:tcPr>
          <w:p>
            <w:r>
              <w:rPr>
                <w:rFonts w:ascii="Calibri" w:cs="Calibri" w:eastAsia="Calibri" w:hAnsi="Calibri"/>
                <w:i/>
                <w:iCs/>
                <w:color w:val="5A5A72"/>
                <w:sz w:val="18"/>
                <w:szCs w:val="18"/>
              </w:rPr>
              <w:t xml:space="preserve">Zero-trust architecture; cyber insurance; quarterly penetration testing; breach notification systems</w:t>
            </w:r>
          </w:p>
        </w:tc>
      </w:tr>
      <w:tr>
        <w:tc>
          <w:tcPr>
            <w:tcW w:type="dxa" w:w="2200"/>
            <w:tcBorders>
              <w:top w:val="single" w:color="CCCCBB" w:sz="1" w:space="0"/>
              <w:left w:val="single" w:color="CCCCBB" w:sz="1" w:space="0"/>
              <w:bottom w:val="single" w:color="CCCCBB" w:sz="1" w:space="0"/>
              <w:right w:val="single" w:color="CCCCBB" w:sz="1" w:space="0"/>
            </w:tcBorders>
            <w:tcMar>
              <w:top w:type="dxa" w:w="80"/>
              <w:left w:type="dxa" w:w="100"/>
              <w:bottom w:type="dxa" w:w="80"/>
              <w:right w:type="dxa" w:w="100"/>
            </w:tcMar>
          </w:tcPr>
          <w:p>
            <w:r>
              <w:rPr>
                <w:rFonts w:ascii="Calibri" w:cs="Calibri" w:eastAsia="Calibri" w:hAnsi="Calibri"/>
                <w:color w:val="1E1E2E"/>
                <w:sz w:val="18"/>
                <w:szCs w:val="18"/>
              </w:rPr>
              <w:t xml:space="preserve">S.E.T.H.S incident / reputational damage</w:t>
            </w:r>
          </w:p>
        </w:tc>
        <w:tc>
          <w:tcPr>
            <w:tcW w:type="dxa" w:w="700"/>
            <w:tcBorders>
              <w:top w:val="single" w:color="CCCCBB" w:sz="1" w:space="0"/>
              <w:left w:val="single" w:color="CCCCBB" w:sz="1" w:space="0"/>
              <w:bottom w:val="single" w:color="CCCCBB" w:sz="1" w:space="0"/>
              <w:right w:val="single" w:color="CCCCBB" w:sz="1" w:space="0"/>
            </w:tcBorders>
            <w:shd w:fill="F5F5F0" w:val="clear"/>
            <w:tcMar>
              <w:top w:type="dxa" w:w="80"/>
              <w:left w:type="dxa" w:w="80"/>
              <w:bottom w:type="dxa" w:w="80"/>
              <w:right w:type="dxa" w:w="80"/>
            </w:tcMar>
          </w:tcPr>
          <w:p>
            <w:pPr>
              <w:jc w:val="center"/>
            </w:pPr>
            <w:r>
              <w:rPr>
                <w:rFonts w:ascii="Calibri" w:cs="Calibri" w:eastAsia="Calibri" w:hAnsi="Calibri"/>
                <w:color w:val="1E1E2E"/>
                <w:sz w:val="18"/>
                <w:szCs w:val="18"/>
              </w:rPr>
              <w:t xml:space="preserve">3</w:t>
            </w:r>
          </w:p>
        </w:tc>
        <w:tc>
          <w:tcPr>
            <w:tcW w:type="dxa" w:w="700"/>
            <w:tcBorders>
              <w:top w:val="single" w:color="CCCCBB" w:sz="1" w:space="0"/>
              <w:left w:val="single" w:color="CCCCBB" w:sz="1" w:space="0"/>
              <w:bottom w:val="single" w:color="CCCCBB" w:sz="1" w:space="0"/>
              <w:right w:val="single" w:color="CCCCBB" w:sz="1" w:space="0"/>
            </w:tcBorders>
            <w:shd w:fill="F5F5F0" w:val="clear"/>
            <w:tcMar>
              <w:top w:type="dxa" w:w="80"/>
              <w:left w:type="dxa" w:w="80"/>
              <w:bottom w:type="dxa" w:w="80"/>
              <w:right w:type="dxa" w:w="80"/>
            </w:tcMar>
          </w:tcPr>
          <w:p>
            <w:pPr>
              <w:jc w:val="center"/>
            </w:pPr>
            <w:r>
              <w:rPr>
                <w:rFonts w:ascii="Calibri" w:cs="Calibri" w:eastAsia="Calibri" w:hAnsi="Calibri"/>
                <w:color w:val="1E1E2E"/>
                <w:sz w:val="18"/>
                <w:szCs w:val="18"/>
              </w:rPr>
              <w:t xml:space="preserve">4</w:t>
            </w:r>
          </w:p>
        </w:tc>
        <w:tc>
          <w:tcPr>
            <w:tcW w:type="dxa" w:w="700"/>
            <w:tcBorders>
              <w:top w:val="single" w:color="CCCCBB" w:sz="1" w:space="0"/>
              <w:left w:val="single" w:color="CCCCBB" w:sz="1" w:space="0"/>
              <w:bottom w:val="single" w:color="CCCCBB" w:sz="1" w:space="0"/>
              <w:right w:val="single" w:color="CCCCBB" w:sz="1" w:space="0"/>
            </w:tcBorders>
            <w:shd w:fill="D4AC0D" w:val="clear"/>
            <w:tcMar>
              <w:top w:type="dxa" w:w="80"/>
              <w:left w:type="dxa" w:w="80"/>
              <w:bottom w:type="dxa" w:w="80"/>
              <w:right w:type="dxa" w:w="80"/>
            </w:tcMar>
          </w:tcPr>
          <w:p>
            <w:pPr>
              <w:jc w:val="center"/>
            </w:pPr>
            <w:r>
              <w:rPr>
                <w:rFonts w:ascii="Calibri" w:cs="Calibri" w:eastAsia="Calibri" w:hAnsi="Calibri"/>
                <w:b/>
                <w:bCs/>
                <w:color w:val="FFFFFF"/>
                <w:sz w:val="18"/>
                <w:szCs w:val="18"/>
              </w:rPr>
              <w:t xml:space="preserve">MEDIUM</w:t>
            </w:r>
          </w:p>
        </w:tc>
        <w:tc>
          <w:tcPr>
            <w:tcW w:type="dxa" w:w="4700"/>
            <w:tcBorders>
              <w:top w:val="single" w:color="CCCCBB" w:sz="1" w:space="0"/>
              <w:left w:val="single" w:color="CCCCBB" w:sz="1" w:space="0"/>
              <w:bottom w:val="single" w:color="CCCCBB" w:sz="1" w:space="0"/>
              <w:right w:val="single" w:color="CCCCBB" w:sz="1" w:space="0"/>
            </w:tcBorders>
            <w:tcMar>
              <w:top w:type="dxa" w:w="80"/>
              <w:left w:type="dxa" w:w="100"/>
              <w:bottom w:type="dxa" w:w="80"/>
              <w:right w:type="dxa" w:w="100"/>
            </w:tcMar>
          </w:tcPr>
          <w:p>
            <w:r>
              <w:rPr>
                <w:rFonts w:ascii="Calibri" w:cs="Calibri" w:eastAsia="Calibri" w:hAnsi="Calibri"/>
                <w:i/>
                <w:iCs/>
                <w:color w:val="5A5A72"/>
                <w:sz w:val="18"/>
                <w:szCs w:val="18"/>
              </w:rPr>
              <w:t xml:space="preserve">Incident protocol; insurance; independent investigation provision; transparent comms framework</w:t>
            </w:r>
          </w:p>
        </w:tc>
      </w:tr>
      <w:tr>
        <w:tc>
          <w:tcPr>
            <w:tcW w:type="dxa" w:w="2200"/>
            <w:tcBorders>
              <w:top w:val="single" w:color="CCCCBB" w:sz="1" w:space="0"/>
              <w:left w:val="single" w:color="CCCCBB" w:sz="1" w:space="0"/>
              <w:bottom w:val="single" w:color="CCCCBB" w:sz="1" w:space="0"/>
              <w:right w:val="single" w:color="CCCCBB" w:sz="1" w:space="0"/>
            </w:tcBorders>
            <w:tcMar>
              <w:top w:type="dxa" w:w="80"/>
              <w:left w:type="dxa" w:w="100"/>
              <w:bottom w:type="dxa" w:w="80"/>
              <w:right w:type="dxa" w:w="100"/>
            </w:tcMar>
          </w:tcPr>
          <w:p>
            <w:r>
              <w:rPr>
                <w:rFonts w:ascii="Calibri" w:cs="Calibri" w:eastAsia="Calibri" w:hAnsi="Calibri"/>
                <w:color w:val="1E1E2E"/>
                <w:sz w:val="18"/>
                <w:szCs w:val="18"/>
              </w:rPr>
              <w:t xml:space="preserve">UDOC enterprise sales cycle extension</w:t>
            </w:r>
          </w:p>
        </w:tc>
        <w:tc>
          <w:tcPr>
            <w:tcW w:type="dxa" w:w="700"/>
            <w:tcBorders>
              <w:top w:val="single" w:color="CCCCBB" w:sz="1" w:space="0"/>
              <w:left w:val="single" w:color="CCCCBB" w:sz="1" w:space="0"/>
              <w:bottom w:val="single" w:color="CCCCBB" w:sz="1" w:space="0"/>
              <w:right w:val="single" w:color="CCCCBB" w:sz="1" w:space="0"/>
            </w:tcBorders>
            <w:shd w:fill="F5F5F0" w:val="clear"/>
            <w:tcMar>
              <w:top w:type="dxa" w:w="80"/>
              <w:left w:type="dxa" w:w="80"/>
              <w:bottom w:type="dxa" w:w="80"/>
              <w:right w:type="dxa" w:w="80"/>
            </w:tcMar>
          </w:tcPr>
          <w:p>
            <w:pPr>
              <w:jc w:val="center"/>
            </w:pPr>
            <w:r>
              <w:rPr>
                <w:rFonts w:ascii="Calibri" w:cs="Calibri" w:eastAsia="Calibri" w:hAnsi="Calibri"/>
                <w:color w:val="1E1E2E"/>
                <w:sz w:val="18"/>
                <w:szCs w:val="18"/>
              </w:rPr>
              <w:t xml:space="preserve">3</w:t>
            </w:r>
          </w:p>
        </w:tc>
        <w:tc>
          <w:tcPr>
            <w:tcW w:type="dxa" w:w="700"/>
            <w:tcBorders>
              <w:top w:val="single" w:color="CCCCBB" w:sz="1" w:space="0"/>
              <w:left w:val="single" w:color="CCCCBB" w:sz="1" w:space="0"/>
              <w:bottom w:val="single" w:color="CCCCBB" w:sz="1" w:space="0"/>
              <w:right w:val="single" w:color="CCCCBB" w:sz="1" w:space="0"/>
            </w:tcBorders>
            <w:shd w:fill="F5F5F0" w:val="clear"/>
            <w:tcMar>
              <w:top w:type="dxa" w:w="80"/>
              <w:left w:type="dxa" w:w="80"/>
              <w:bottom w:type="dxa" w:w="80"/>
              <w:right w:type="dxa" w:w="80"/>
            </w:tcMar>
          </w:tcPr>
          <w:p>
            <w:pPr>
              <w:jc w:val="center"/>
            </w:pPr>
            <w:r>
              <w:rPr>
                <w:rFonts w:ascii="Calibri" w:cs="Calibri" w:eastAsia="Calibri" w:hAnsi="Calibri"/>
                <w:color w:val="1E1E2E"/>
                <w:sz w:val="18"/>
                <w:szCs w:val="18"/>
              </w:rPr>
              <w:t xml:space="preserve">3</w:t>
            </w:r>
          </w:p>
        </w:tc>
        <w:tc>
          <w:tcPr>
            <w:tcW w:type="dxa" w:w="700"/>
            <w:tcBorders>
              <w:top w:val="single" w:color="CCCCBB" w:sz="1" w:space="0"/>
              <w:left w:val="single" w:color="CCCCBB" w:sz="1" w:space="0"/>
              <w:bottom w:val="single" w:color="CCCCBB" w:sz="1" w:space="0"/>
              <w:right w:val="single" w:color="CCCCBB" w:sz="1" w:space="0"/>
            </w:tcBorders>
            <w:shd w:fill="D4AC0D" w:val="clear"/>
            <w:tcMar>
              <w:top w:type="dxa" w:w="80"/>
              <w:left w:type="dxa" w:w="80"/>
              <w:bottom w:type="dxa" w:w="80"/>
              <w:right w:type="dxa" w:w="80"/>
            </w:tcMar>
          </w:tcPr>
          <w:p>
            <w:pPr>
              <w:jc w:val="center"/>
            </w:pPr>
            <w:r>
              <w:rPr>
                <w:rFonts w:ascii="Calibri" w:cs="Calibri" w:eastAsia="Calibri" w:hAnsi="Calibri"/>
                <w:b/>
                <w:bCs/>
                <w:color w:val="FFFFFF"/>
                <w:sz w:val="18"/>
                <w:szCs w:val="18"/>
              </w:rPr>
              <w:t xml:space="preserve">MEDIUM</w:t>
            </w:r>
          </w:p>
        </w:tc>
        <w:tc>
          <w:tcPr>
            <w:tcW w:type="dxa" w:w="4700"/>
            <w:tcBorders>
              <w:top w:val="single" w:color="CCCCBB" w:sz="1" w:space="0"/>
              <w:left w:val="single" w:color="CCCCBB" w:sz="1" w:space="0"/>
              <w:bottom w:val="single" w:color="CCCCBB" w:sz="1" w:space="0"/>
              <w:right w:val="single" w:color="CCCCBB" w:sz="1" w:space="0"/>
            </w:tcBorders>
            <w:tcMar>
              <w:top w:type="dxa" w:w="80"/>
              <w:left w:type="dxa" w:w="100"/>
              <w:bottom w:type="dxa" w:w="80"/>
              <w:right w:type="dxa" w:w="100"/>
            </w:tcMar>
          </w:tcPr>
          <w:p>
            <w:r>
              <w:rPr>
                <w:rFonts w:ascii="Calibri" w:cs="Calibri" w:eastAsia="Calibri" w:hAnsi="Calibri"/>
                <w:i/>
                <w:iCs/>
                <w:color w:val="5A5A72"/>
                <w:sz w:val="18"/>
                <w:szCs w:val="18"/>
              </w:rPr>
              <w:t xml:space="preserve">Conservative modeling; govt contract as parallel path; 18-month runway maintained</w:t>
            </w:r>
          </w:p>
        </w:tc>
      </w:tr>
      <w:tr>
        <w:tc>
          <w:tcPr>
            <w:tcW w:type="dxa" w:w="2200"/>
            <w:tcBorders>
              <w:top w:val="single" w:color="CCCCBB" w:sz="1" w:space="0"/>
              <w:left w:val="single" w:color="CCCCBB" w:sz="1" w:space="0"/>
              <w:bottom w:val="single" w:color="CCCCBB" w:sz="1" w:space="0"/>
              <w:right w:val="single" w:color="CCCCBB" w:sz="1" w:space="0"/>
            </w:tcBorders>
            <w:tcMar>
              <w:top w:type="dxa" w:w="80"/>
              <w:left w:type="dxa" w:w="100"/>
              <w:bottom w:type="dxa" w:w="80"/>
              <w:right w:type="dxa" w:w="100"/>
            </w:tcMar>
          </w:tcPr>
          <w:p>
            <w:r>
              <w:rPr>
                <w:rFonts w:ascii="Calibri" w:cs="Calibri" w:eastAsia="Calibri" w:hAnsi="Calibri"/>
                <w:color w:val="1E1E2E"/>
                <w:sz w:val="18"/>
                <w:szCs w:val="18"/>
              </w:rPr>
              <w:t xml:space="preserve">Founder incapacitation without succession</w:t>
            </w:r>
          </w:p>
        </w:tc>
        <w:tc>
          <w:tcPr>
            <w:tcW w:type="dxa" w:w="700"/>
            <w:tcBorders>
              <w:top w:val="single" w:color="CCCCBB" w:sz="1" w:space="0"/>
              <w:left w:val="single" w:color="CCCCBB" w:sz="1" w:space="0"/>
              <w:bottom w:val="single" w:color="CCCCBB" w:sz="1" w:space="0"/>
              <w:right w:val="single" w:color="CCCCBB" w:sz="1" w:space="0"/>
            </w:tcBorders>
            <w:shd w:fill="F5F5F0" w:val="clear"/>
            <w:tcMar>
              <w:top w:type="dxa" w:w="80"/>
              <w:left w:type="dxa" w:w="80"/>
              <w:bottom w:type="dxa" w:w="80"/>
              <w:right w:type="dxa" w:w="80"/>
            </w:tcMar>
          </w:tcPr>
          <w:p>
            <w:pPr>
              <w:jc w:val="center"/>
            </w:pPr>
            <w:r>
              <w:rPr>
                <w:rFonts w:ascii="Calibri" w:cs="Calibri" w:eastAsia="Calibri" w:hAnsi="Calibri"/>
                <w:color w:val="1E1E2E"/>
                <w:sz w:val="18"/>
                <w:szCs w:val="18"/>
              </w:rPr>
              <w:t xml:space="preserve">2</w:t>
            </w:r>
          </w:p>
        </w:tc>
        <w:tc>
          <w:tcPr>
            <w:tcW w:type="dxa" w:w="700"/>
            <w:tcBorders>
              <w:top w:val="single" w:color="CCCCBB" w:sz="1" w:space="0"/>
              <w:left w:val="single" w:color="CCCCBB" w:sz="1" w:space="0"/>
              <w:bottom w:val="single" w:color="CCCCBB" w:sz="1" w:space="0"/>
              <w:right w:val="single" w:color="CCCCBB" w:sz="1" w:space="0"/>
            </w:tcBorders>
            <w:shd w:fill="F5F5F0" w:val="clear"/>
            <w:tcMar>
              <w:top w:type="dxa" w:w="80"/>
              <w:left w:type="dxa" w:w="80"/>
              <w:bottom w:type="dxa" w:w="80"/>
              <w:right w:type="dxa" w:w="80"/>
            </w:tcMar>
          </w:tcPr>
          <w:p>
            <w:pPr>
              <w:jc w:val="center"/>
            </w:pPr>
            <w:r>
              <w:rPr>
                <w:rFonts w:ascii="Calibri" w:cs="Calibri" w:eastAsia="Calibri" w:hAnsi="Calibri"/>
                <w:color w:val="1E1E2E"/>
                <w:sz w:val="18"/>
                <w:szCs w:val="18"/>
              </w:rPr>
              <w:t xml:space="preserve">4</w:t>
            </w:r>
          </w:p>
        </w:tc>
        <w:tc>
          <w:tcPr>
            <w:tcW w:type="dxa" w:w="700"/>
            <w:tcBorders>
              <w:top w:val="single" w:color="CCCCBB" w:sz="1" w:space="0"/>
              <w:left w:val="single" w:color="CCCCBB" w:sz="1" w:space="0"/>
              <w:bottom w:val="single" w:color="CCCCBB" w:sz="1" w:space="0"/>
              <w:right w:val="single" w:color="CCCCBB" w:sz="1" w:space="0"/>
            </w:tcBorders>
            <w:shd w:fill="D4AC0D" w:val="clear"/>
            <w:tcMar>
              <w:top w:type="dxa" w:w="80"/>
              <w:left w:type="dxa" w:w="80"/>
              <w:bottom w:type="dxa" w:w="80"/>
              <w:right w:type="dxa" w:w="80"/>
            </w:tcMar>
          </w:tcPr>
          <w:p>
            <w:pPr>
              <w:jc w:val="center"/>
            </w:pPr>
            <w:r>
              <w:rPr>
                <w:rFonts w:ascii="Calibri" w:cs="Calibri" w:eastAsia="Calibri" w:hAnsi="Calibri"/>
                <w:b/>
                <w:bCs/>
                <w:color w:val="FFFFFF"/>
                <w:sz w:val="18"/>
                <w:szCs w:val="18"/>
              </w:rPr>
              <w:t xml:space="preserve">MEDIUM</w:t>
            </w:r>
          </w:p>
        </w:tc>
        <w:tc>
          <w:tcPr>
            <w:tcW w:type="dxa" w:w="4700"/>
            <w:tcBorders>
              <w:top w:val="single" w:color="CCCCBB" w:sz="1" w:space="0"/>
              <w:left w:val="single" w:color="CCCCBB" w:sz="1" w:space="0"/>
              <w:bottom w:val="single" w:color="CCCCBB" w:sz="1" w:space="0"/>
              <w:right w:val="single" w:color="CCCCBB" w:sz="1" w:space="0"/>
            </w:tcBorders>
            <w:tcMar>
              <w:top w:type="dxa" w:w="80"/>
              <w:left w:type="dxa" w:w="100"/>
              <w:bottom w:type="dxa" w:w="80"/>
              <w:right w:type="dxa" w:w="100"/>
            </w:tcMar>
          </w:tcPr>
          <w:p>
            <w:r>
              <w:rPr>
                <w:rFonts w:ascii="Calibri" w:cs="Calibri" w:eastAsia="Calibri" w:hAnsi="Calibri"/>
                <w:i/>
                <w:iCs/>
                <w:color w:val="5A5A72"/>
                <w:sz w:val="18"/>
                <w:szCs w:val="18"/>
              </w:rPr>
              <w:t xml:space="preserve">Succession framework documented; 3 candidates by Year 3; COB transition authority defined</w:t>
            </w:r>
          </w:p>
        </w:tc>
      </w:tr>
      <w:tr>
        <w:tc>
          <w:tcPr>
            <w:tcW w:type="dxa" w:w="2200"/>
            <w:tcBorders>
              <w:top w:val="single" w:color="CCCCBB" w:sz="1" w:space="0"/>
              <w:left w:val="single" w:color="CCCCBB" w:sz="1" w:space="0"/>
              <w:bottom w:val="single" w:color="CCCCBB" w:sz="1" w:space="0"/>
              <w:right w:val="single" w:color="CCCCBB" w:sz="1" w:space="0"/>
            </w:tcBorders>
            <w:tcMar>
              <w:top w:type="dxa" w:w="80"/>
              <w:left w:type="dxa" w:w="100"/>
              <w:bottom w:type="dxa" w:w="80"/>
              <w:right w:type="dxa" w:w="100"/>
            </w:tcMar>
          </w:tcPr>
          <w:p>
            <w:r>
              <w:rPr>
                <w:rFonts w:ascii="Calibri" w:cs="Calibri" w:eastAsia="Calibri" w:hAnsi="Calibri"/>
                <w:color w:val="1E1E2E"/>
                <w:sz w:val="18"/>
                <w:szCs w:val="18"/>
              </w:rPr>
              <w:t xml:space="preserve">Religious name misinterpretation</w:t>
            </w:r>
          </w:p>
        </w:tc>
        <w:tc>
          <w:tcPr>
            <w:tcW w:type="dxa" w:w="700"/>
            <w:tcBorders>
              <w:top w:val="single" w:color="CCCCBB" w:sz="1" w:space="0"/>
              <w:left w:val="single" w:color="CCCCBB" w:sz="1" w:space="0"/>
              <w:bottom w:val="single" w:color="CCCCBB" w:sz="1" w:space="0"/>
              <w:right w:val="single" w:color="CCCCBB" w:sz="1" w:space="0"/>
            </w:tcBorders>
            <w:shd w:fill="F5F5F0" w:val="clear"/>
            <w:tcMar>
              <w:top w:type="dxa" w:w="80"/>
              <w:left w:type="dxa" w:w="80"/>
              <w:bottom w:type="dxa" w:w="80"/>
              <w:right w:type="dxa" w:w="80"/>
            </w:tcMar>
          </w:tcPr>
          <w:p>
            <w:pPr>
              <w:jc w:val="center"/>
            </w:pPr>
            <w:r>
              <w:rPr>
                <w:rFonts w:ascii="Calibri" w:cs="Calibri" w:eastAsia="Calibri" w:hAnsi="Calibri"/>
                <w:color w:val="1E1E2E"/>
                <w:sz w:val="18"/>
                <w:szCs w:val="18"/>
              </w:rPr>
              <w:t xml:space="preserve">3</w:t>
            </w:r>
          </w:p>
        </w:tc>
        <w:tc>
          <w:tcPr>
            <w:tcW w:type="dxa" w:w="700"/>
            <w:tcBorders>
              <w:top w:val="single" w:color="CCCCBB" w:sz="1" w:space="0"/>
              <w:left w:val="single" w:color="CCCCBB" w:sz="1" w:space="0"/>
              <w:bottom w:val="single" w:color="CCCCBB" w:sz="1" w:space="0"/>
              <w:right w:val="single" w:color="CCCCBB" w:sz="1" w:space="0"/>
            </w:tcBorders>
            <w:shd w:fill="F5F5F0" w:val="clear"/>
            <w:tcMar>
              <w:top w:type="dxa" w:w="80"/>
              <w:left w:type="dxa" w:w="80"/>
              <w:bottom w:type="dxa" w:w="80"/>
              <w:right w:type="dxa" w:w="80"/>
            </w:tcMar>
          </w:tcPr>
          <w:p>
            <w:pPr>
              <w:jc w:val="center"/>
            </w:pPr>
            <w:r>
              <w:rPr>
                <w:rFonts w:ascii="Calibri" w:cs="Calibri" w:eastAsia="Calibri" w:hAnsi="Calibri"/>
                <w:color w:val="1E1E2E"/>
                <w:sz w:val="18"/>
                <w:szCs w:val="18"/>
              </w:rPr>
              <w:t xml:space="preserve">2</w:t>
            </w:r>
          </w:p>
        </w:tc>
        <w:tc>
          <w:tcPr>
            <w:tcW w:type="dxa" w:w="700"/>
            <w:tcBorders>
              <w:top w:val="single" w:color="CCCCBB" w:sz="1" w:space="0"/>
              <w:left w:val="single" w:color="CCCCBB" w:sz="1" w:space="0"/>
              <w:bottom w:val="single" w:color="CCCCBB" w:sz="1" w:space="0"/>
              <w:right w:val="single" w:color="CCCCBB" w:sz="1" w:space="0"/>
            </w:tcBorders>
            <w:shd w:fill="27AE60" w:val="clear"/>
            <w:tcMar>
              <w:top w:type="dxa" w:w="80"/>
              <w:left w:type="dxa" w:w="80"/>
              <w:bottom w:type="dxa" w:w="80"/>
              <w:right w:type="dxa" w:w="80"/>
            </w:tcMar>
          </w:tcPr>
          <w:p>
            <w:pPr>
              <w:jc w:val="center"/>
            </w:pPr>
            <w:r>
              <w:rPr>
                <w:rFonts w:ascii="Calibri" w:cs="Calibri" w:eastAsia="Calibri" w:hAnsi="Calibri"/>
                <w:b/>
                <w:bCs/>
                <w:color w:val="FFFFFF"/>
                <w:sz w:val="18"/>
                <w:szCs w:val="18"/>
              </w:rPr>
              <w:t xml:space="preserve">LOW</w:t>
            </w:r>
          </w:p>
        </w:tc>
        <w:tc>
          <w:tcPr>
            <w:tcW w:type="dxa" w:w="4700"/>
            <w:tcBorders>
              <w:top w:val="single" w:color="CCCCBB" w:sz="1" w:space="0"/>
              <w:left w:val="single" w:color="CCCCBB" w:sz="1" w:space="0"/>
              <w:bottom w:val="single" w:color="CCCCBB" w:sz="1" w:space="0"/>
              <w:right w:val="single" w:color="CCCCBB" w:sz="1" w:space="0"/>
            </w:tcBorders>
            <w:tcMar>
              <w:top w:type="dxa" w:w="80"/>
              <w:left w:type="dxa" w:w="100"/>
              <w:bottom w:type="dxa" w:w="80"/>
              <w:right w:type="dxa" w:w="100"/>
            </w:tcMar>
          </w:tcPr>
          <w:p>
            <w:r>
              <w:rPr>
                <w:rFonts w:ascii="Calibri" w:cs="Calibri" w:eastAsia="Calibri" w:hAnsi="Calibri"/>
                <w:i/>
                <w:iCs/>
                <w:color w:val="5A5A72"/>
                <w:sz w:val="18"/>
                <w:szCs w:val="18"/>
              </w:rPr>
              <w:t xml:space="preserve">All comms lead with full name and commercial description; institutional language in formal docs</w:t>
            </w:r>
          </w:p>
        </w:tc>
      </w:tr>
      <w:tr>
        <w:tc>
          <w:tcPr>
            <w:tcW w:type="dxa" w:w="2200"/>
            <w:tcBorders>
              <w:top w:val="single" w:color="CCCCBB" w:sz="1" w:space="0"/>
              <w:left w:val="single" w:color="CCCCBB" w:sz="1" w:space="0"/>
              <w:bottom w:val="single" w:color="CCCCBB" w:sz="1" w:space="0"/>
              <w:right w:val="single" w:color="CCCCBB" w:sz="1" w:space="0"/>
            </w:tcBorders>
            <w:tcMar>
              <w:top w:type="dxa" w:w="80"/>
              <w:left w:type="dxa" w:w="100"/>
              <w:bottom w:type="dxa" w:w="80"/>
              <w:right w:type="dxa" w:w="100"/>
            </w:tcMar>
          </w:tcPr>
          <w:p>
            <w:r>
              <w:rPr>
                <w:rFonts w:ascii="Calibri" w:cs="Calibri" w:eastAsia="Calibri" w:hAnsi="Calibri"/>
                <w:color w:val="1E1E2E"/>
                <w:sz w:val="18"/>
                <w:szCs w:val="18"/>
              </w:rPr>
              <w:t xml:space="preserve">Over-centralization regulatory risk</w:t>
            </w:r>
          </w:p>
        </w:tc>
        <w:tc>
          <w:tcPr>
            <w:tcW w:type="dxa" w:w="700"/>
            <w:tcBorders>
              <w:top w:val="single" w:color="CCCCBB" w:sz="1" w:space="0"/>
              <w:left w:val="single" w:color="CCCCBB" w:sz="1" w:space="0"/>
              <w:bottom w:val="single" w:color="CCCCBB" w:sz="1" w:space="0"/>
              <w:right w:val="single" w:color="CCCCBB" w:sz="1" w:space="0"/>
            </w:tcBorders>
            <w:shd w:fill="F5F5F0" w:val="clear"/>
            <w:tcMar>
              <w:top w:type="dxa" w:w="80"/>
              <w:left w:type="dxa" w:w="80"/>
              <w:bottom w:type="dxa" w:w="80"/>
              <w:right w:type="dxa" w:w="80"/>
            </w:tcMar>
          </w:tcPr>
          <w:p>
            <w:pPr>
              <w:jc w:val="center"/>
            </w:pPr>
            <w:r>
              <w:rPr>
                <w:rFonts w:ascii="Calibri" w:cs="Calibri" w:eastAsia="Calibri" w:hAnsi="Calibri"/>
                <w:color w:val="1E1E2E"/>
                <w:sz w:val="18"/>
                <w:szCs w:val="18"/>
              </w:rPr>
              <w:t xml:space="preserve">2</w:t>
            </w:r>
          </w:p>
        </w:tc>
        <w:tc>
          <w:tcPr>
            <w:tcW w:type="dxa" w:w="700"/>
            <w:tcBorders>
              <w:top w:val="single" w:color="CCCCBB" w:sz="1" w:space="0"/>
              <w:left w:val="single" w:color="CCCCBB" w:sz="1" w:space="0"/>
              <w:bottom w:val="single" w:color="CCCCBB" w:sz="1" w:space="0"/>
              <w:right w:val="single" w:color="CCCCBB" w:sz="1" w:space="0"/>
            </w:tcBorders>
            <w:shd w:fill="F5F5F0" w:val="clear"/>
            <w:tcMar>
              <w:top w:type="dxa" w:w="80"/>
              <w:left w:type="dxa" w:w="80"/>
              <w:bottom w:type="dxa" w:w="80"/>
              <w:right w:type="dxa" w:w="80"/>
            </w:tcMar>
          </w:tcPr>
          <w:p>
            <w:pPr>
              <w:jc w:val="center"/>
            </w:pPr>
            <w:r>
              <w:rPr>
                <w:rFonts w:ascii="Calibri" w:cs="Calibri" w:eastAsia="Calibri" w:hAnsi="Calibri"/>
                <w:color w:val="1E1E2E"/>
                <w:sz w:val="18"/>
                <w:szCs w:val="18"/>
              </w:rPr>
              <w:t xml:space="preserve">3</w:t>
            </w:r>
          </w:p>
        </w:tc>
        <w:tc>
          <w:tcPr>
            <w:tcW w:type="dxa" w:w="700"/>
            <w:tcBorders>
              <w:top w:val="single" w:color="CCCCBB" w:sz="1" w:space="0"/>
              <w:left w:val="single" w:color="CCCCBB" w:sz="1" w:space="0"/>
              <w:bottom w:val="single" w:color="CCCCBB" w:sz="1" w:space="0"/>
              <w:right w:val="single" w:color="CCCCBB" w:sz="1" w:space="0"/>
            </w:tcBorders>
            <w:shd w:fill="27AE60" w:val="clear"/>
            <w:tcMar>
              <w:top w:type="dxa" w:w="80"/>
              <w:left w:type="dxa" w:w="80"/>
              <w:bottom w:type="dxa" w:w="80"/>
              <w:right w:type="dxa" w:w="80"/>
            </w:tcMar>
          </w:tcPr>
          <w:p>
            <w:pPr>
              <w:jc w:val="center"/>
            </w:pPr>
            <w:r>
              <w:rPr>
                <w:rFonts w:ascii="Calibri" w:cs="Calibri" w:eastAsia="Calibri" w:hAnsi="Calibri"/>
                <w:b/>
                <w:bCs/>
                <w:color w:val="FFFFFF"/>
                <w:sz w:val="18"/>
                <w:szCs w:val="18"/>
              </w:rPr>
              <w:t xml:space="preserve">LOW</w:t>
            </w:r>
          </w:p>
        </w:tc>
        <w:tc>
          <w:tcPr>
            <w:tcW w:type="dxa" w:w="4700"/>
            <w:tcBorders>
              <w:top w:val="single" w:color="CCCCBB" w:sz="1" w:space="0"/>
              <w:left w:val="single" w:color="CCCCBB" w:sz="1" w:space="0"/>
              <w:bottom w:val="single" w:color="CCCCBB" w:sz="1" w:space="0"/>
              <w:right w:val="single" w:color="CCCCBB" w:sz="1" w:space="0"/>
            </w:tcBorders>
            <w:tcMar>
              <w:top w:type="dxa" w:w="80"/>
              <w:left w:type="dxa" w:w="100"/>
              <w:bottom w:type="dxa" w:w="80"/>
              <w:right w:type="dxa" w:w="100"/>
            </w:tcMar>
          </w:tcPr>
          <w:p>
            <w:r>
              <w:rPr>
                <w:rFonts w:ascii="Calibri" w:cs="Calibri" w:eastAsia="Calibri" w:hAnsi="Calibri"/>
                <w:i/>
                <w:iCs/>
                <w:color w:val="5A5A72"/>
                <w:sz w:val="18"/>
                <w:szCs w:val="18"/>
              </w:rPr>
              <w:t xml:space="preserve">Voluntary alignment doctrine; open standards transition; sovereign exit provisions in all contracts</w:t>
            </w:r>
          </w:p>
        </w:tc>
      </w:tr>
      <w:tr>
        <w:tc>
          <w:tcPr>
            <w:tcW w:type="dxa" w:w="2200"/>
            <w:tcBorders>
              <w:top w:val="single" w:color="CCCCBB" w:sz="1" w:space="0"/>
              <w:left w:val="single" w:color="CCCCBB" w:sz="1" w:space="0"/>
              <w:bottom w:val="single" w:color="CCCCBB" w:sz="1" w:space="0"/>
              <w:right w:val="single" w:color="CCCCBB" w:sz="1" w:space="0"/>
            </w:tcBorders>
            <w:tcMar>
              <w:top w:type="dxa" w:w="80"/>
              <w:left w:type="dxa" w:w="100"/>
              <w:bottom w:type="dxa" w:w="80"/>
              <w:right w:type="dxa" w:w="100"/>
            </w:tcMar>
          </w:tcPr>
          <w:p>
            <w:r>
              <w:rPr>
                <w:rFonts w:ascii="Calibri" w:cs="Calibri" w:eastAsia="Calibri" w:hAnsi="Calibri"/>
                <w:color w:val="1E1E2E"/>
                <w:sz w:val="18"/>
                <w:szCs w:val="18"/>
              </w:rPr>
              <w:t xml:space="preserve">Adverse regulatory change</w:t>
            </w:r>
          </w:p>
        </w:tc>
        <w:tc>
          <w:tcPr>
            <w:tcW w:type="dxa" w:w="700"/>
            <w:tcBorders>
              <w:top w:val="single" w:color="CCCCBB" w:sz="1" w:space="0"/>
              <w:left w:val="single" w:color="CCCCBB" w:sz="1" w:space="0"/>
              <w:bottom w:val="single" w:color="CCCCBB" w:sz="1" w:space="0"/>
              <w:right w:val="single" w:color="CCCCBB" w:sz="1" w:space="0"/>
            </w:tcBorders>
            <w:shd w:fill="F5F5F0" w:val="clear"/>
            <w:tcMar>
              <w:top w:type="dxa" w:w="80"/>
              <w:left w:type="dxa" w:w="80"/>
              <w:bottom w:type="dxa" w:w="80"/>
              <w:right w:type="dxa" w:w="80"/>
            </w:tcMar>
          </w:tcPr>
          <w:p>
            <w:pPr>
              <w:jc w:val="center"/>
            </w:pPr>
            <w:r>
              <w:rPr>
                <w:rFonts w:ascii="Calibri" w:cs="Calibri" w:eastAsia="Calibri" w:hAnsi="Calibri"/>
                <w:color w:val="1E1E2E"/>
                <w:sz w:val="18"/>
                <w:szCs w:val="18"/>
              </w:rPr>
              <w:t xml:space="preserve">2</w:t>
            </w:r>
          </w:p>
        </w:tc>
        <w:tc>
          <w:tcPr>
            <w:tcW w:type="dxa" w:w="700"/>
            <w:tcBorders>
              <w:top w:val="single" w:color="CCCCBB" w:sz="1" w:space="0"/>
              <w:left w:val="single" w:color="CCCCBB" w:sz="1" w:space="0"/>
              <w:bottom w:val="single" w:color="CCCCBB" w:sz="1" w:space="0"/>
              <w:right w:val="single" w:color="CCCCBB" w:sz="1" w:space="0"/>
            </w:tcBorders>
            <w:shd w:fill="F5F5F0" w:val="clear"/>
            <w:tcMar>
              <w:top w:type="dxa" w:w="80"/>
              <w:left w:type="dxa" w:w="80"/>
              <w:bottom w:type="dxa" w:w="80"/>
              <w:right w:type="dxa" w:w="80"/>
            </w:tcMar>
          </w:tcPr>
          <w:p>
            <w:pPr>
              <w:jc w:val="center"/>
            </w:pPr>
            <w:r>
              <w:rPr>
                <w:rFonts w:ascii="Calibri" w:cs="Calibri" w:eastAsia="Calibri" w:hAnsi="Calibri"/>
                <w:color w:val="1E1E2E"/>
                <w:sz w:val="18"/>
                <w:szCs w:val="18"/>
              </w:rPr>
              <w:t xml:space="preserve">3</w:t>
            </w:r>
          </w:p>
        </w:tc>
        <w:tc>
          <w:tcPr>
            <w:tcW w:type="dxa" w:w="700"/>
            <w:tcBorders>
              <w:top w:val="single" w:color="CCCCBB" w:sz="1" w:space="0"/>
              <w:left w:val="single" w:color="CCCCBB" w:sz="1" w:space="0"/>
              <w:bottom w:val="single" w:color="CCCCBB" w:sz="1" w:space="0"/>
              <w:right w:val="single" w:color="CCCCBB" w:sz="1" w:space="0"/>
            </w:tcBorders>
            <w:shd w:fill="27AE60" w:val="clear"/>
            <w:tcMar>
              <w:top w:type="dxa" w:w="80"/>
              <w:left w:type="dxa" w:w="80"/>
              <w:bottom w:type="dxa" w:w="80"/>
              <w:right w:type="dxa" w:w="80"/>
            </w:tcMar>
          </w:tcPr>
          <w:p>
            <w:pPr>
              <w:jc w:val="center"/>
            </w:pPr>
            <w:r>
              <w:rPr>
                <w:rFonts w:ascii="Calibri" w:cs="Calibri" w:eastAsia="Calibri" w:hAnsi="Calibri"/>
                <w:b/>
                <w:bCs/>
                <w:color w:val="FFFFFF"/>
                <w:sz w:val="18"/>
                <w:szCs w:val="18"/>
              </w:rPr>
              <w:t xml:space="preserve">LOW</w:t>
            </w:r>
          </w:p>
        </w:tc>
        <w:tc>
          <w:tcPr>
            <w:tcW w:type="dxa" w:w="4700"/>
            <w:tcBorders>
              <w:top w:val="single" w:color="CCCCBB" w:sz="1" w:space="0"/>
              <w:left w:val="single" w:color="CCCCBB" w:sz="1" w:space="0"/>
              <w:bottom w:val="single" w:color="CCCCBB" w:sz="1" w:space="0"/>
              <w:right w:val="single" w:color="CCCCBB" w:sz="1" w:space="0"/>
            </w:tcBorders>
            <w:tcMar>
              <w:top w:type="dxa" w:w="80"/>
              <w:left w:type="dxa" w:w="100"/>
              <w:bottom w:type="dxa" w:w="80"/>
              <w:right w:type="dxa" w:w="100"/>
            </w:tcMar>
          </w:tcPr>
          <w:p>
            <w:r>
              <w:rPr>
                <w:rFonts w:ascii="Calibri" w:cs="Calibri" w:eastAsia="Calibri" w:hAnsi="Calibri"/>
                <w:i/>
                <w:iCs/>
                <w:color w:val="5A5A72"/>
                <w:sz w:val="18"/>
                <w:szCs w:val="18"/>
              </w:rPr>
              <w:t xml:space="preserve">Active monitoring; participation in standard-setting; multi-jurisdiction diversification from Year 5</w:t>
            </w:r>
          </w:p>
        </w:tc>
      </w:tr>
    </w:tbl>
    <w:p>
      <w:r>
        <w:br w:type="page"/>
      </w:r>
    </w:p>
    <w:p>
      <w:pPr>
        <w:pBdr>
          <w:bottom w:val="single" w:color="C9A84C" w:sz="8" w:space="4"/>
        </w:pBdr>
        <w:spacing w:before="440" w:after="120"/>
      </w:pPr>
      <w:r>
        <w:rPr>
          <w:rFonts w:ascii="Georgia" w:cs="Georgia" w:eastAsia="Georgia" w:hAnsi="Georgia"/>
          <w:b/>
          <w:bCs/>
          <w:color w:val="B8972A"/>
          <w:sz w:val="28"/>
          <w:szCs w:val="28"/>
        </w:rPr>
        <w:t xml:space="preserve">ANNEXURE H  </w:t>
      </w:r>
      <w:r>
        <w:rPr>
          <w:rFonts w:ascii="Georgia" w:cs="Georgia" w:eastAsia="Georgia" w:hAnsi="Georgia"/>
          <w:b/>
          <w:bCs/>
          <w:color w:val="0C2340"/>
          <w:sz w:val="28"/>
          <w:szCs w:val="28"/>
        </w:rPr>
        <w:t xml:space="preserve">Organizational Structure &amp; Governance Architecture</w:t>
      </w:r>
    </w:p>
    <w:p>
      <w:pPr>
        <w:spacing w:before="280" w:after="80"/>
      </w:pPr>
      <w:r>
        <w:rPr>
          <w:rFonts w:ascii="Georgia" w:cs="Georgia" w:eastAsia="Georgia" w:hAnsi="Georgia"/>
          <w:b/>
          <w:bCs/>
          <w:color w:val="0C2340"/>
          <w:sz w:val="24"/>
          <w:szCs w:val="24"/>
        </w:rPr>
        <w:t xml:space="preserve">H.1 Phase 1 Leadership Structure (Years 0–5)</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2600"/>
        <w:gridCol w:w="6400"/>
      </w:tblGrid>
      <w:tr>
        <w:tc>
          <w:tcPr>
            <w:tcW w:type="dxa" w:w="2600"/>
            <w:tcBorders>
              <w:top w:val="single" w:color="CCCCBB" w:sz="1" w:space="0"/>
              <w:left w:val="single" w:color="CCCCBB" w:sz="1" w:space="0"/>
              <w:bottom w:val="single" w:color="CCCCBB" w:sz="1" w:space="0"/>
              <w:right w:val="single" w:color="CCCCBB" w:sz="1" w:space="0"/>
            </w:tcBorders>
            <w:shd w:fill="EDE8D8" w:val="clear"/>
            <w:tcMar>
              <w:top w:type="dxa" w:w="80"/>
              <w:left w:type="dxa" w:w="160"/>
              <w:bottom w:type="dxa" w:w="80"/>
              <w:right w:type="dxa" w:w="160"/>
            </w:tcMar>
          </w:tcPr>
          <w:p>
            <w:r>
              <w:rPr>
                <w:rFonts w:ascii="Calibri" w:cs="Calibri" w:eastAsia="Calibri" w:hAnsi="Calibri"/>
                <w:b/>
                <w:bCs/>
                <w:color w:val="0C2340"/>
                <w:sz w:val="22"/>
                <w:szCs w:val="22"/>
              </w:rPr>
              <w:t xml:space="preserve">Constitutional Oversight Board (7)</w:t>
            </w:r>
          </w:p>
        </w:tc>
        <w:tc>
          <w:tcPr>
            <w:tcW w:type="dxa" w:w="6400"/>
            <w:tcBorders>
              <w:top w:val="single" w:color="CCCCBB" w:sz="1" w:space="0"/>
              <w:left w:val="single" w:color="CCCCBB" w:sz="1" w:space="0"/>
              <w:bottom w:val="single" w:color="CCCCBB" w:sz="1" w:space="0"/>
              <w:right w:val="single" w:color="CCCCBB" w:sz="1" w:space="0"/>
            </w:tcBorders>
            <w:shd w:fill="FFFFFF" w:val="clear"/>
            <w:tcMar>
              <w:top w:type="dxa" w:w="80"/>
              <w:left w:type="dxa" w:w="160"/>
              <w:bottom w:type="dxa" w:w="80"/>
              <w:right w:type="dxa" w:w="160"/>
            </w:tcMar>
          </w:tcPr>
          <w:p>
            <w:r>
              <w:rPr>
                <w:rFonts w:ascii="Calibri" w:cs="Calibri" w:eastAsia="Calibri" w:hAnsi="Calibri"/>
                <w:color w:val="1E1E2E"/>
                <w:sz w:val="22"/>
                <w:szCs w:val="22"/>
              </w:rPr>
              <w:t xml:space="preserve">Independent supreme governance authority. Four standing committees: Audit; Risk &amp; Compliance; Nominations; Strategic Advisory.</w:t>
            </w:r>
          </w:p>
        </w:tc>
      </w:tr>
      <w:tr>
        <w:tc>
          <w:tcPr>
            <w:tcW w:type="dxa" w:w="2600"/>
            <w:tcBorders>
              <w:top w:val="single" w:color="CCCCBB" w:sz="1" w:space="0"/>
              <w:left w:val="single" w:color="CCCCBB" w:sz="1" w:space="0"/>
              <w:bottom w:val="single" w:color="CCCCBB" w:sz="1" w:space="0"/>
              <w:right w:val="single" w:color="CCCCBB" w:sz="1" w:space="0"/>
            </w:tcBorders>
            <w:shd w:fill="F5F2EA" w:val="clear"/>
            <w:tcMar>
              <w:top w:type="dxa" w:w="80"/>
              <w:left w:type="dxa" w:w="160"/>
              <w:bottom w:type="dxa" w:w="80"/>
              <w:right w:type="dxa" w:w="160"/>
            </w:tcMar>
          </w:tcPr>
          <w:p>
            <w:r>
              <w:rPr>
                <w:rFonts w:ascii="Calibri" w:cs="Calibri" w:eastAsia="Calibri" w:hAnsi="Calibri"/>
                <w:b/>
                <w:bCs/>
                <w:color w:val="0C2340"/>
                <w:sz w:val="22"/>
                <w:szCs w:val="22"/>
              </w:rPr>
              <w:t xml:space="preserve">Chief Executive Officer</w:t>
            </w:r>
          </w:p>
        </w:tc>
        <w:tc>
          <w:tcPr>
            <w:tcW w:type="dxa" w:w="6400"/>
            <w:tcBorders>
              <w:top w:val="single" w:color="CCCCBB" w:sz="1" w:space="0"/>
              <w:left w:val="single" w:color="CCCCBB" w:sz="1" w:space="0"/>
              <w:bottom w:val="single" w:color="CCCCBB" w:sz="1" w:space="0"/>
              <w:right w:val="single" w:color="CCCCBB" w:sz="1" w:space="0"/>
            </w:tcBorders>
            <w:shd w:fill="FAFAF5" w:val="clear"/>
            <w:tcMar>
              <w:top w:type="dxa" w:w="80"/>
              <w:left w:type="dxa" w:w="160"/>
              <w:bottom w:type="dxa" w:w="80"/>
              <w:right w:type="dxa" w:w="160"/>
            </w:tcMar>
          </w:tcPr>
          <w:p>
            <w:r>
              <w:rPr>
                <w:rFonts w:ascii="Calibri" w:cs="Calibri" w:eastAsia="Calibri" w:hAnsi="Calibri"/>
                <w:color w:val="1E1E2E"/>
                <w:sz w:val="22"/>
                <w:szCs w:val="22"/>
              </w:rPr>
              <w:t xml:space="preserve">Founder (Years 0–5). Strategy, relationships, constitutional architecture, capital raising.</w:t>
            </w:r>
          </w:p>
        </w:tc>
      </w:tr>
      <w:tr>
        <w:tc>
          <w:tcPr>
            <w:tcW w:type="dxa" w:w="2600"/>
            <w:tcBorders>
              <w:top w:val="single" w:color="CCCCBB" w:sz="1" w:space="0"/>
              <w:left w:val="single" w:color="CCCCBB" w:sz="1" w:space="0"/>
              <w:bottom w:val="single" w:color="CCCCBB" w:sz="1" w:space="0"/>
              <w:right w:val="single" w:color="CCCCBB" w:sz="1" w:space="0"/>
            </w:tcBorders>
            <w:shd w:fill="EDE8D8" w:val="clear"/>
            <w:tcMar>
              <w:top w:type="dxa" w:w="80"/>
              <w:left w:type="dxa" w:w="160"/>
              <w:bottom w:type="dxa" w:w="80"/>
              <w:right w:type="dxa" w:w="160"/>
            </w:tcMar>
          </w:tcPr>
          <w:p>
            <w:r>
              <w:rPr>
                <w:rFonts w:ascii="Calibri" w:cs="Calibri" w:eastAsia="Calibri" w:hAnsi="Calibri"/>
                <w:b/>
                <w:bCs/>
                <w:color w:val="0C2340"/>
                <w:sz w:val="22"/>
                <w:szCs w:val="22"/>
              </w:rPr>
              <w:t xml:space="preserve">Chief Financial Officer</w:t>
            </w:r>
          </w:p>
        </w:tc>
        <w:tc>
          <w:tcPr>
            <w:tcW w:type="dxa" w:w="6400"/>
            <w:tcBorders>
              <w:top w:val="single" w:color="CCCCBB" w:sz="1" w:space="0"/>
              <w:left w:val="single" w:color="CCCCBB" w:sz="1" w:space="0"/>
              <w:bottom w:val="single" w:color="CCCCBB" w:sz="1" w:space="0"/>
              <w:right w:val="single" w:color="CCCCBB" w:sz="1" w:space="0"/>
            </w:tcBorders>
            <w:shd w:fill="FFFFFF" w:val="clear"/>
            <w:tcMar>
              <w:top w:type="dxa" w:w="80"/>
              <w:left w:type="dxa" w:w="160"/>
              <w:bottom w:type="dxa" w:w="80"/>
              <w:right w:type="dxa" w:w="160"/>
            </w:tcMar>
          </w:tcPr>
          <w:p>
            <w:r>
              <w:rPr>
                <w:rFonts w:ascii="Calibri" w:cs="Calibri" w:eastAsia="Calibri" w:hAnsi="Calibri"/>
                <w:color w:val="1E1E2E"/>
                <w:sz w:val="22"/>
                <w:szCs w:val="22"/>
              </w:rPr>
              <w:t xml:space="preserve">Financial management, investor relations, capital structure, financial reporting.</w:t>
            </w:r>
          </w:p>
        </w:tc>
      </w:tr>
      <w:tr>
        <w:tc>
          <w:tcPr>
            <w:tcW w:type="dxa" w:w="2600"/>
            <w:tcBorders>
              <w:top w:val="single" w:color="CCCCBB" w:sz="1" w:space="0"/>
              <w:left w:val="single" w:color="CCCCBB" w:sz="1" w:space="0"/>
              <w:bottom w:val="single" w:color="CCCCBB" w:sz="1" w:space="0"/>
              <w:right w:val="single" w:color="CCCCBB" w:sz="1" w:space="0"/>
            </w:tcBorders>
            <w:shd w:fill="F5F2EA" w:val="clear"/>
            <w:tcMar>
              <w:top w:type="dxa" w:w="80"/>
              <w:left w:type="dxa" w:w="160"/>
              <w:bottom w:type="dxa" w:w="80"/>
              <w:right w:type="dxa" w:w="160"/>
            </w:tcMar>
          </w:tcPr>
          <w:p>
            <w:r>
              <w:rPr>
                <w:rFonts w:ascii="Calibri" w:cs="Calibri" w:eastAsia="Calibri" w:hAnsi="Calibri"/>
                <w:b/>
                <w:bCs/>
                <w:color w:val="0C2340"/>
                <w:sz w:val="22"/>
                <w:szCs w:val="22"/>
              </w:rPr>
              <w:t xml:space="preserve">Chief Operating Officer</w:t>
            </w:r>
          </w:p>
        </w:tc>
        <w:tc>
          <w:tcPr>
            <w:tcW w:type="dxa" w:w="6400"/>
            <w:tcBorders>
              <w:top w:val="single" w:color="CCCCBB" w:sz="1" w:space="0"/>
              <w:left w:val="single" w:color="CCCCBB" w:sz="1" w:space="0"/>
              <w:bottom w:val="single" w:color="CCCCBB" w:sz="1" w:space="0"/>
              <w:right w:val="single" w:color="CCCCBB" w:sz="1" w:space="0"/>
            </w:tcBorders>
            <w:shd w:fill="FAFAF5" w:val="clear"/>
            <w:tcMar>
              <w:top w:type="dxa" w:w="80"/>
              <w:left w:type="dxa" w:w="160"/>
              <w:bottom w:type="dxa" w:w="80"/>
              <w:right w:type="dxa" w:w="160"/>
            </w:tcMar>
          </w:tcPr>
          <w:p>
            <w:r>
              <w:rPr>
                <w:rFonts w:ascii="Calibri" w:cs="Calibri" w:eastAsia="Calibri" w:hAnsi="Calibri"/>
                <w:color w:val="1E1E2E"/>
                <w:sz w:val="22"/>
                <w:szCs w:val="22"/>
              </w:rPr>
              <w:t xml:space="preserve">Divisional performance oversight, operational excellence, SDU network management.</w:t>
            </w:r>
          </w:p>
        </w:tc>
      </w:tr>
      <w:tr>
        <w:tc>
          <w:tcPr>
            <w:tcW w:type="dxa" w:w="2600"/>
            <w:tcBorders>
              <w:top w:val="single" w:color="CCCCBB" w:sz="1" w:space="0"/>
              <w:left w:val="single" w:color="CCCCBB" w:sz="1" w:space="0"/>
              <w:bottom w:val="single" w:color="CCCCBB" w:sz="1" w:space="0"/>
              <w:right w:val="single" w:color="CCCCBB" w:sz="1" w:space="0"/>
            </w:tcBorders>
            <w:shd w:fill="EDE8D8" w:val="clear"/>
            <w:tcMar>
              <w:top w:type="dxa" w:w="80"/>
              <w:left w:type="dxa" w:w="160"/>
              <w:bottom w:type="dxa" w:w="80"/>
              <w:right w:type="dxa" w:w="160"/>
            </w:tcMar>
          </w:tcPr>
          <w:p>
            <w:r>
              <w:rPr>
                <w:rFonts w:ascii="Calibri" w:cs="Calibri" w:eastAsia="Calibri" w:hAnsi="Calibri"/>
                <w:b/>
                <w:bCs/>
                <w:color w:val="0C2340"/>
                <w:sz w:val="22"/>
                <w:szCs w:val="22"/>
              </w:rPr>
              <w:t xml:space="preserve">Head of S.E.T.H.S</w:t>
            </w:r>
          </w:p>
        </w:tc>
        <w:tc>
          <w:tcPr>
            <w:tcW w:type="dxa" w:w="6400"/>
            <w:tcBorders>
              <w:top w:val="single" w:color="CCCCBB" w:sz="1" w:space="0"/>
              <w:left w:val="single" w:color="CCCCBB" w:sz="1" w:space="0"/>
              <w:bottom w:val="single" w:color="CCCCBB" w:sz="1" w:space="0"/>
              <w:right w:val="single" w:color="CCCCBB" w:sz="1" w:space="0"/>
            </w:tcBorders>
            <w:shd w:fill="FFFFFF" w:val="clear"/>
            <w:tcMar>
              <w:top w:type="dxa" w:w="80"/>
              <w:left w:type="dxa" w:w="160"/>
              <w:bottom w:type="dxa" w:w="80"/>
              <w:right w:type="dxa" w:w="160"/>
            </w:tcMar>
          </w:tcPr>
          <w:p>
            <w:r>
              <w:rPr>
                <w:rFonts w:ascii="Calibri" w:cs="Calibri" w:eastAsia="Calibri" w:hAnsi="Calibri"/>
                <w:color w:val="1E1E2E"/>
                <w:sz w:val="22"/>
                <w:szCs w:val="22"/>
              </w:rPr>
              <w:t xml:space="preserve">Program design, delivery, employer network, government rehabilitation relationships.</w:t>
            </w:r>
          </w:p>
        </w:tc>
      </w:tr>
      <w:tr>
        <w:tc>
          <w:tcPr>
            <w:tcW w:type="dxa" w:w="2600"/>
            <w:tcBorders>
              <w:top w:val="single" w:color="CCCCBB" w:sz="1" w:space="0"/>
              <w:left w:val="single" w:color="CCCCBB" w:sz="1" w:space="0"/>
              <w:bottom w:val="single" w:color="CCCCBB" w:sz="1" w:space="0"/>
              <w:right w:val="single" w:color="CCCCBB" w:sz="1" w:space="0"/>
            </w:tcBorders>
            <w:shd w:fill="F5F2EA" w:val="clear"/>
            <w:tcMar>
              <w:top w:type="dxa" w:w="80"/>
              <w:left w:type="dxa" w:w="160"/>
              <w:bottom w:type="dxa" w:w="80"/>
              <w:right w:type="dxa" w:w="160"/>
            </w:tcMar>
          </w:tcPr>
          <w:p>
            <w:r>
              <w:rPr>
                <w:rFonts w:ascii="Calibri" w:cs="Calibri" w:eastAsia="Calibri" w:hAnsi="Calibri"/>
                <w:b/>
                <w:bCs/>
                <w:color w:val="0C2340"/>
                <w:sz w:val="22"/>
                <w:szCs w:val="22"/>
              </w:rPr>
              <w:t xml:space="preserve">Head of UDOC</w:t>
            </w:r>
          </w:p>
        </w:tc>
        <w:tc>
          <w:tcPr>
            <w:tcW w:type="dxa" w:w="6400"/>
            <w:tcBorders>
              <w:top w:val="single" w:color="CCCCBB" w:sz="1" w:space="0"/>
              <w:left w:val="single" w:color="CCCCBB" w:sz="1" w:space="0"/>
              <w:bottom w:val="single" w:color="CCCCBB" w:sz="1" w:space="0"/>
              <w:right w:val="single" w:color="CCCCBB" w:sz="1" w:space="0"/>
            </w:tcBorders>
            <w:shd w:fill="FAFAF5" w:val="clear"/>
            <w:tcMar>
              <w:top w:type="dxa" w:w="80"/>
              <w:left w:type="dxa" w:w="160"/>
              <w:bottom w:type="dxa" w:w="80"/>
              <w:right w:type="dxa" w:w="160"/>
            </w:tcMar>
          </w:tcPr>
          <w:p>
            <w:r>
              <w:rPr>
                <w:rFonts w:ascii="Calibri" w:cs="Calibri" w:eastAsia="Calibri" w:hAnsi="Calibri"/>
                <w:color w:val="1E1E2E"/>
                <w:sz w:val="22"/>
                <w:szCs w:val="22"/>
              </w:rPr>
              <w:t xml:space="preserve">Product development, enterprise client management, government digital backbone delivery.</w:t>
            </w:r>
          </w:p>
        </w:tc>
      </w:tr>
      <w:tr>
        <w:tc>
          <w:tcPr>
            <w:tcW w:type="dxa" w:w="2600"/>
            <w:tcBorders>
              <w:top w:val="single" w:color="CCCCBB" w:sz="1" w:space="0"/>
              <w:left w:val="single" w:color="CCCCBB" w:sz="1" w:space="0"/>
              <w:bottom w:val="single" w:color="CCCCBB" w:sz="1" w:space="0"/>
              <w:right w:val="single" w:color="CCCCBB" w:sz="1" w:space="0"/>
            </w:tcBorders>
            <w:shd w:fill="EDE8D8" w:val="clear"/>
            <w:tcMar>
              <w:top w:type="dxa" w:w="80"/>
              <w:left w:type="dxa" w:w="160"/>
              <w:bottom w:type="dxa" w:w="80"/>
              <w:right w:type="dxa" w:w="160"/>
            </w:tcMar>
          </w:tcPr>
          <w:p>
            <w:r>
              <w:rPr>
                <w:rFonts w:ascii="Calibri" w:cs="Calibri" w:eastAsia="Calibri" w:hAnsi="Calibri"/>
                <w:b/>
                <w:bCs/>
                <w:color w:val="0C2340"/>
                <w:sz w:val="22"/>
                <w:szCs w:val="22"/>
              </w:rPr>
              <w:t xml:space="preserve">Head of M.A.D.I.B.A</w:t>
            </w:r>
          </w:p>
        </w:tc>
        <w:tc>
          <w:tcPr>
            <w:tcW w:type="dxa" w:w="6400"/>
            <w:tcBorders>
              <w:top w:val="single" w:color="CCCCBB" w:sz="1" w:space="0"/>
              <w:left w:val="single" w:color="CCCCBB" w:sz="1" w:space="0"/>
              <w:bottom w:val="single" w:color="CCCCBB" w:sz="1" w:space="0"/>
              <w:right w:val="single" w:color="CCCCBB" w:sz="1" w:space="0"/>
            </w:tcBorders>
            <w:shd w:fill="FFFFFF" w:val="clear"/>
            <w:tcMar>
              <w:top w:type="dxa" w:w="80"/>
              <w:left w:type="dxa" w:w="160"/>
              <w:bottom w:type="dxa" w:w="80"/>
              <w:right w:type="dxa" w:w="160"/>
            </w:tcMar>
          </w:tcPr>
          <w:p>
            <w:r>
              <w:rPr>
                <w:rFonts w:ascii="Calibri" w:cs="Calibri" w:eastAsia="Calibri" w:hAnsi="Calibri"/>
                <w:color w:val="1E1E2E"/>
                <w:sz w:val="22"/>
                <w:szCs w:val="22"/>
              </w:rPr>
              <w:t xml:space="preserve">Fund management, capital deployment, sovereign interface, talent acceleration.</w:t>
            </w:r>
          </w:p>
        </w:tc>
      </w:tr>
      <w:tr>
        <w:tc>
          <w:tcPr>
            <w:tcW w:type="dxa" w:w="2600"/>
            <w:tcBorders>
              <w:top w:val="single" w:color="CCCCBB" w:sz="1" w:space="0"/>
              <w:left w:val="single" w:color="CCCCBB" w:sz="1" w:space="0"/>
              <w:bottom w:val="single" w:color="CCCCBB" w:sz="1" w:space="0"/>
              <w:right w:val="single" w:color="CCCCBB" w:sz="1" w:space="0"/>
            </w:tcBorders>
            <w:shd w:fill="F5F2EA" w:val="clear"/>
            <w:tcMar>
              <w:top w:type="dxa" w:w="80"/>
              <w:left w:type="dxa" w:w="160"/>
              <w:bottom w:type="dxa" w:w="80"/>
              <w:right w:type="dxa" w:w="160"/>
            </w:tcMar>
          </w:tcPr>
          <w:p>
            <w:r>
              <w:rPr>
                <w:rFonts w:ascii="Calibri" w:cs="Calibri" w:eastAsia="Calibri" w:hAnsi="Calibri"/>
                <w:b/>
                <w:bCs/>
                <w:color w:val="0C2340"/>
                <w:sz w:val="22"/>
                <w:szCs w:val="22"/>
              </w:rPr>
              <w:t xml:space="preserve">Head of Media &amp; Narrative</w:t>
            </w:r>
          </w:p>
        </w:tc>
        <w:tc>
          <w:tcPr>
            <w:tcW w:type="dxa" w:w="6400"/>
            <w:tcBorders>
              <w:top w:val="single" w:color="CCCCBB" w:sz="1" w:space="0"/>
              <w:left w:val="single" w:color="CCCCBB" w:sz="1" w:space="0"/>
              <w:bottom w:val="single" w:color="CCCCBB" w:sz="1" w:space="0"/>
              <w:right w:val="single" w:color="CCCCBB" w:sz="1" w:space="0"/>
            </w:tcBorders>
            <w:shd w:fill="FAFAF5" w:val="clear"/>
            <w:tcMar>
              <w:top w:type="dxa" w:w="80"/>
              <w:left w:type="dxa" w:w="160"/>
              <w:bottom w:type="dxa" w:w="80"/>
              <w:right w:type="dxa" w:w="160"/>
            </w:tcMar>
          </w:tcPr>
          <w:p>
            <w:r>
              <w:rPr>
                <w:rFonts w:ascii="Calibri" w:cs="Calibri" w:eastAsia="Calibri" w:hAnsi="Calibri"/>
                <w:color w:val="1E1E2E"/>
                <w:sz w:val="22"/>
                <w:szCs w:val="22"/>
              </w:rPr>
              <w:t xml:space="preserve">Content strategy, media relationships, institutional credibility architecture.</w:t>
            </w:r>
          </w:p>
        </w:tc>
      </w:tr>
      <w:tr>
        <w:tc>
          <w:tcPr>
            <w:tcW w:type="dxa" w:w="2600"/>
            <w:tcBorders>
              <w:top w:val="single" w:color="CCCCBB" w:sz="1" w:space="0"/>
              <w:left w:val="single" w:color="CCCCBB" w:sz="1" w:space="0"/>
              <w:bottom w:val="single" w:color="CCCCBB" w:sz="1" w:space="0"/>
              <w:right w:val="single" w:color="CCCCBB" w:sz="1" w:space="0"/>
            </w:tcBorders>
            <w:shd w:fill="EDE8D8" w:val="clear"/>
            <w:tcMar>
              <w:top w:type="dxa" w:w="80"/>
              <w:left w:type="dxa" w:w="160"/>
              <w:bottom w:type="dxa" w:w="80"/>
              <w:right w:type="dxa" w:w="160"/>
            </w:tcMar>
          </w:tcPr>
          <w:p>
            <w:r>
              <w:rPr>
                <w:rFonts w:ascii="Calibri" w:cs="Calibri" w:eastAsia="Calibri" w:hAnsi="Calibri"/>
                <w:b/>
                <w:bCs/>
                <w:color w:val="0C2340"/>
                <w:sz w:val="22"/>
                <w:szCs w:val="22"/>
              </w:rPr>
              <w:t xml:space="preserve">Head of Legal, Governance &amp; Compliance</w:t>
            </w:r>
          </w:p>
        </w:tc>
        <w:tc>
          <w:tcPr>
            <w:tcW w:type="dxa" w:w="6400"/>
            <w:tcBorders>
              <w:top w:val="single" w:color="CCCCBB" w:sz="1" w:space="0"/>
              <w:left w:val="single" w:color="CCCCBB" w:sz="1" w:space="0"/>
              <w:bottom w:val="single" w:color="CCCCBB" w:sz="1" w:space="0"/>
              <w:right w:val="single" w:color="CCCCBB" w:sz="1" w:space="0"/>
            </w:tcBorders>
            <w:shd w:fill="FFFFFF" w:val="clear"/>
            <w:tcMar>
              <w:top w:type="dxa" w:w="80"/>
              <w:left w:type="dxa" w:w="160"/>
              <w:bottom w:type="dxa" w:w="80"/>
              <w:right w:type="dxa" w:w="160"/>
            </w:tcMar>
          </w:tcPr>
          <w:p>
            <w:r>
              <w:rPr>
                <w:rFonts w:ascii="Calibri" w:cs="Calibri" w:eastAsia="Calibri" w:hAnsi="Calibri"/>
                <w:color w:val="1E1E2E"/>
                <w:sz w:val="22"/>
                <w:szCs w:val="22"/>
              </w:rPr>
              <w:t xml:space="preserve">Constitutional compliance, contracts, regulatory relationships, IP, COB secretariat.</w:t>
            </w:r>
          </w:p>
        </w:tc>
      </w:tr>
    </w:tbl>
    <w:p>
      <w:pPr>
        <w:spacing w:before="280" w:after="80"/>
      </w:pPr>
      <w:r>
        <w:rPr>
          <w:rFonts w:ascii="Georgia" w:cs="Georgia" w:eastAsia="Georgia" w:hAnsi="Georgia"/>
          <w:b/>
          <w:bCs/>
          <w:color w:val="0C2340"/>
          <w:sz w:val="24"/>
          <w:szCs w:val="24"/>
        </w:rPr>
        <w:t xml:space="preserve">H.2 Governance Committee Structure</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2600"/>
        <w:gridCol w:w="6400"/>
      </w:tblGrid>
      <w:tr>
        <w:tc>
          <w:tcPr>
            <w:tcW w:type="dxa" w:w="2600"/>
            <w:tcBorders>
              <w:top w:val="single" w:color="CCCCBB" w:sz="1" w:space="0"/>
              <w:left w:val="single" w:color="CCCCBB" w:sz="1" w:space="0"/>
              <w:bottom w:val="single" w:color="CCCCBB" w:sz="1" w:space="0"/>
              <w:right w:val="single" w:color="CCCCBB" w:sz="1" w:space="0"/>
            </w:tcBorders>
            <w:shd w:fill="EDE8D8" w:val="clear"/>
            <w:tcMar>
              <w:top w:type="dxa" w:w="80"/>
              <w:left w:type="dxa" w:w="160"/>
              <w:bottom w:type="dxa" w:w="80"/>
              <w:right w:type="dxa" w:w="160"/>
            </w:tcMar>
          </w:tcPr>
          <w:p>
            <w:r>
              <w:rPr>
                <w:rFonts w:ascii="Calibri" w:cs="Calibri" w:eastAsia="Calibri" w:hAnsi="Calibri"/>
                <w:b/>
                <w:bCs/>
                <w:color w:val="0C2340"/>
                <w:sz w:val="22"/>
                <w:szCs w:val="22"/>
              </w:rPr>
              <w:t xml:space="preserve">Audit Committee</w:t>
            </w:r>
          </w:p>
        </w:tc>
        <w:tc>
          <w:tcPr>
            <w:tcW w:type="dxa" w:w="6400"/>
            <w:tcBorders>
              <w:top w:val="single" w:color="CCCCBB" w:sz="1" w:space="0"/>
              <w:left w:val="single" w:color="CCCCBB" w:sz="1" w:space="0"/>
              <w:bottom w:val="single" w:color="CCCCBB" w:sz="1" w:space="0"/>
              <w:right w:val="single" w:color="CCCCBB" w:sz="1" w:space="0"/>
            </w:tcBorders>
            <w:shd w:fill="FFFFFF" w:val="clear"/>
            <w:tcMar>
              <w:top w:type="dxa" w:w="80"/>
              <w:left w:type="dxa" w:w="160"/>
              <w:bottom w:type="dxa" w:w="80"/>
              <w:right w:type="dxa" w:w="160"/>
            </w:tcMar>
          </w:tcPr>
          <w:p>
            <w:r>
              <w:rPr>
                <w:rFonts w:ascii="Calibri" w:cs="Calibri" w:eastAsia="Calibri" w:hAnsi="Calibri"/>
                <w:color w:val="1E1E2E"/>
                <w:sz w:val="22"/>
                <w:szCs w:val="22"/>
              </w:rPr>
              <w:t xml:space="preserve">Financial oversight, external auditor relationship, financial risk assessment</w:t>
            </w:r>
          </w:p>
        </w:tc>
      </w:tr>
      <w:tr>
        <w:tc>
          <w:tcPr>
            <w:tcW w:type="dxa" w:w="2600"/>
            <w:tcBorders>
              <w:top w:val="single" w:color="CCCCBB" w:sz="1" w:space="0"/>
              <w:left w:val="single" w:color="CCCCBB" w:sz="1" w:space="0"/>
              <w:bottom w:val="single" w:color="CCCCBB" w:sz="1" w:space="0"/>
              <w:right w:val="single" w:color="CCCCBB" w:sz="1" w:space="0"/>
            </w:tcBorders>
            <w:shd w:fill="F5F2EA" w:val="clear"/>
            <w:tcMar>
              <w:top w:type="dxa" w:w="80"/>
              <w:left w:type="dxa" w:w="160"/>
              <w:bottom w:type="dxa" w:w="80"/>
              <w:right w:type="dxa" w:w="160"/>
            </w:tcMar>
          </w:tcPr>
          <w:p>
            <w:r>
              <w:rPr>
                <w:rFonts w:ascii="Calibri" w:cs="Calibri" w:eastAsia="Calibri" w:hAnsi="Calibri"/>
                <w:b/>
                <w:bCs/>
                <w:color w:val="0C2340"/>
                <w:sz w:val="22"/>
                <w:szCs w:val="22"/>
              </w:rPr>
              <w:t xml:space="preserve">Risk &amp; Compliance Committee</w:t>
            </w:r>
          </w:p>
        </w:tc>
        <w:tc>
          <w:tcPr>
            <w:tcW w:type="dxa" w:w="6400"/>
            <w:tcBorders>
              <w:top w:val="single" w:color="CCCCBB" w:sz="1" w:space="0"/>
              <w:left w:val="single" w:color="CCCCBB" w:sz="1" w:space="0"/>
              <w:bottom w:val="single" w:color="CCCCBB" w:sz="1" w:space="0"/>
              <w:right w:val="single" w:color="CCCCBB" w:sz="1" w:space="0"/>
            </w:tcBorders>
            <w:shd w:fill="FAFAF5" w:val="clear"/>
            <w:tcMar>
              <w:top w:type="dxa" w:w="80"/>
              <w:left w:type="dxa" w:w="160"/>
              <w:bottom w:type="dxa" w:w="80"/>
              <w:right w:type="dxa" w:w="160"/>
            </w:tcMar>
          </w:tcPr>
          <w:p>
            <w:r>
              <w:rPr>
                <w:rFonts w:ascii="Calibri" w:cs="Calibri" w:eastAsia="Calibri" w:hAnsi="Calibri"/>
                <w:color w:val="1E1E2E"/>
                <w:sz w:val="22"/>
                <w:szCs w:val="22"/>
              </w:rPr>
              <w:t xml:space="preserve">Risk register oversight, constitutional compliance monitoring, incident review</w:t>
            </w:r>
          </w:p>
        </w:tc>
      </w:tr>
      <w:tr>
        <w:tc>
          <w:tcPr>
            <w:tcW w:type="dxa" w:w="2600"/>
            <w:tcBorders>
              <w:top w:val="single" w:color="CCCCBB" w:sz="1" w:space="0"/>
              <w:left w:val="single" w:color="CCCCBB" w:sz="1" w:space="0"/>
              <w:bottom w:val="single" w:color="CCCCBB" w:sz="1" w:space="0"/>
              <w:right w:val="single" w:color="CCCCBB" w:sz="1" w:space="0"/>
            </w:tcBorders>
            <w:shd w:fill="EDE8D8" w:val="clear"/>
            <w:tcMar>
              <w:top w:type="dxa" w:w="80"/>
              <w:left w:type="dxa" w:w="160"/>
              <w:bottom w:type="dxa" w:w="80"/>
              <w:right w:type="dxa" w:w="160"/>
            </w:tcMar>
          </w:tcPr>
          <w:p>
            <w:r>
              <w:rPr>
                <w:rFonts w:ascii="Calibri" w:cs="Calibri" w:eastAsia="Calibri" w:hAnsi="Calibri"/>
                <w:b/>
                <w:bCs/>
                <w:color w:val="0C2340"/>
                <w:sz w:val="22"/>
                <w:szCs w:val="22"/>
              </w:rPr>
              <w:t xml:space="preserve">Nominations &amp; Governance Committee</w:t>
            </w:r>
          </w:p>
        </w:tc>
        <w:tc>
          <w:tcPr>
            <w:tcW w:type="dxa" w:w="6400"/>
            <w:tcBorders>
              <w:top w:val="single" w:color="CCCCBB" w:sz="1" w:space="0"/>
              <w:left w:val="single" w:color="CCCCBB" w:sz="1" w:space="0"/>
              <w:bottom w:val="single" w:color="CCCCBB" w:sz="1" w:space="0"/>
              <w:right w:val="single" w:color="CCCCBB" w:sz="1" w:space="0"/>
            </w:tcBorders>
            <w:shd w:fill="FFFFFF" w:val="clear"/>
            <w:tcMar>
              <w:top w:type="dxa" w:w="80"/>
              <w:left w:type="dxa" w:w="160"/>
              <w:bottom w:type="dxa" w:w="80"/>
              <w:right w:type="dxa" w:w="160"/>
            </w:tcMar>
          </w:tcPr>
          <w:p>
            <w:r>
              <w:rPr>
                <w:rFonts w:ascii="Calibri" w:cs="Calibri" w:eastAsia="Calibri" w:hAnsi="Calibri"/>
                <w:color w:val="1E1E2E"/>
                <w:sz w:val="22"/>
                <w:szCs w:val="22"/>
              </w:rPr>
              <w:t xml:space="preserve">COB appointments, succession planning, leadership pipeline review</w:t>
            </w:r>
          </w:p>
        </w:tc>
      </w:tr>
      <w:tr>
        <w:tc>
          <w:tcPr>
            <w:tcW w:type="dxa" w:w="2600"/>
            <w:tcBorders>
              <w:top w:val="single" w:color="CCCCBB" w:sz="1" w:space="0"/>
              <w:left w:val="single" w:color="CCCCBB" w:sz="1" w:space="0"/>
              <w:bottom w:val="single" w:color="CCCCBB" w:sz="1" w:space="0"/>
              <w:right w:val="single" w:color="CCCCBB" w:sz="1" w:space="0"/>
            </w:tcBorders>
            <w:shd w:fill="F5F2EA" w:val="clear"/>
            <w:tcMar>
              <w:top w:type="dxa" w:w="80"/>
              <w:left w:type="dxa" w:w="160"/>
              <w:bottom w:type="dxa" w:w="80"/>
              <w:right w:type="dxa" w:w="160"/>
            </w:tcMar>
          </w:tcPr>
          <w:p>
            <w:r>
              <w:rPr>
                <w:rFonts w:ascii="Calibri" w:cs="Calibri" w:eastAsia="Calibri" w:hAnsi="Calibri"/>
                <w:b/>
                <w:bCs/>
                <w:color w:val="0C2340"/>
                <w:sz w:val="22"/>
                <w:szCs w:val="22"/>
              </w:rPr>
              <w:t xml:space="preserve">Strategic Advisory Committee</w:t>
            </w:r>
          </w:p>
        </w:tc>
        <w:tc>
          <w:tcPr>
            <w:tcW w:type="dxa" w:w="6400"/>
            <w:tcBorders>
              <w:top w:val="single" w:color="CCCCBB" w:sz="1" w:space="0"/>
              <w:left w:val="single" w:color="CCCCBB" w:sz="1" w:space="0"/>
              <w:bottom w:val="single" w:color="CCCCBB" w:sz="1" w:space="0"/>
              <w:right w:val="single" w:color="CCCCBB" w:sz="1" w:space="0"/>
            </w:tcBorders>
            <w:shd w:fill="FAFAF5" w:val="clear"/>
            <w:tcMar>
              <w:top w:type="dxa" w:w="80"/>
              <w:left w:type="dxa" w:w="160"/>
              <w:bottom w:type="dxa" w:w="80"/>
              <w:right w:type="dxa" w:w="160"/>
            </w:tcMar>
          </w:tcPr>
          <w:p>
            <w:r>
              <w:rPr>
                <w:rFonts w:ascii="Calibri" w:cs="Calibri" w:eastAsia="Calibri" w:hAnsi="Calibri"/>
                <w:color w:val="1E1E2E"/>
                <w:sz w:val="22"/>
                <w:szCs w:val="22"/>
              </w:rPr>
              <w:t xml:space="preserve">Long-horizon mission alignment, external expert engagement, 25-year horizon planning</w:t>
            </w:r>
          </w:p>
        </w:tc>
      </w:tr>
    </w:tbl>
    <w:p>
      <w:pPr>
        <w:spacing w:before="280" w:after="80"/>
      </w:pPr>
      <w:r>
        <w:rPr>
          <w:rFonts w:ascii="Georgia" w:cs="Georgia" w:eastAsia="Georgia" w:hAnsi="Georgia"/>
          <w:b/>
          <w:bCs/>
          <w:color w:val="0C2340"/>
          <w:sz w:val="24"/>
          <w:szCs w:val="24"/>
        </w:rPr>
        <w:t xml:space="preserve">H.3 Phase 2 Transition (Years 5–25)</w:t>
      </w:r>
    </w:p>
    <w:p>
      <w:pPr>
        <w:spacing w:before="80" w:after="80"/>
        <w:jc w:val="both"/>
      </w:pPr>
      <w:r>
        <w:rPr>
          <w:rFonts w:ascii="Calibri" w:cs="Calibri" w:eastAsia="Calibri" w:hAnsi="Calibri"/>
          <w:color w:val="1E1E2E"/>
          <w:sz w:val="22"/>
          <w:szCs w:val="22"/>
        </w:rPr>
        <w:t xml:space="preserve">By Year 5, G.O.D.S transitions from a founder-led startup to an institutionally structured conglomerate. The CEO role separates from the Founder role. Divisional CEOs replace Heads. Independent directors are added to each divisional governance committee. External CFO with institutional capital markets experience is appointed. The governance architecture scales proportionally with the commercial architecture — no division expands without its governance structure scaling accordingly (Pillar V: Governance Before Scale).</w:t>
      </w:r>
    </w:p>
    <w:p>
      <w:r>
        <w:br w:type="page"/>
      </w:r>
    </w:p>
    <w:p>
      <w:pPr>
        <w:pBdr>
          <w:bottom w:val="single" w:color="C9A84C" w:sz="8" w:space="4"/>
        </w:pBdr>
        <w:spacing w:before="440" w:after="120"/>
      </w:pPr>
      <w:r>
        <w:rPr>
          <w:rFonts w:ascii="Georgia" w:cs="Georgia" w:eastAsia="Georgia" w:hAnsi="Georgia"/>
          <w:b/>
          <w:bCs/>
          <w:color w:val="B8972A"/>
          <w:sz w:val="28"/>
          <w:szCs w:val="28"/>
        </w:rPr>
        <w:t xml:space="preserve">ANNEXURE I  </w:t>
      </w:r>
      <w:r>
        <w:rPr>
          <w:rFonts w:ascii="Georgia" w:cs="Georgia" w:eastAsia="Georgia" w:hAnsi="Georgia"/>
          <w:b/>
          <w:bCs/>
          <w:color w:val="0C2340"/>
          <w:sz w:val="28"/>
          <w:szCs w:val="28"/>
        </w:rPr>
        <w:t xml:space="preserve">Government SPV Structure — National Digital Infrastructure</w:t>
      </w:r>
    </w:p>
    <w:p>
      <w:pPr>
        <w:spacing w:before="280" w:after="80"/>
      </w:pPr>
      <w:r>
        <w:rPr>
          <w:rFonts w:ascii="Georgia" w:cs="Georgia" w:eastAsia="Georgia" w:hAnsi="Georgia"/>
          <w:b/>
          <w:bCs/>
          <w:color w:val="0C2340"/>
          <w:sz w:val="24"/>
          <w:szCs w:val="24"/>
        </w:rPr>
        <w:t xml:space="preserve">I.1 SPV Overview</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2600"/>
        <w:gridCol w:w="6400"/>
      </w:tblGrid>
      <w:tr>
        <w:tc>
          <w:tcPr>
            <w:tcW w:type="dxa" w:w="2600"/>
            <w:tcBorders>
              <w:top w:val="single" w:color="CCCCBB" w:sz="1" w:space="0"/>
              <w:left w:val="single" w:color="CCCCBB" w:sz="1" w:space="0"/>
              <w:bottom w:val="single" w:color="CCCCBB" w:sz="1" w:space="0"/>
              <w:right w:val="single" w:color="CCCCBB" w:sz="1" w:space="0"/>
            </w:tcBorders>
            <w:shd w:fill="EDE8D8" w:val="clear"/>
            <w:tcMar>
              <w:top w:type="dxa" w:w="80"/>
              <w:left w:type="dxa" w:w="160"/>
              <w:bottom w:type="dxa" w:w="80"/>
              <w:right w:type="dxa" w:w="160"/>
            </w:tcMar>
          </w:tcPr>
          <w:p>
            <w:r>
              <w:rPr>
                <w:rFonts w:ascii="Calibri" w:cs="Calibri" w:eastAsia="Calibri" w:hAnsi="Calibri"/>
                <w:b/>
                <w:bCs/>
                <w:color w:val="0C2340"/>
                <w:sz w:val="22"/>
                <w:szCs w:val="22"/>
              </w:rPr>
              <w:t xml:space="preserve">Vehicle Name</w:t>
            </w:r>
          </w:p>
        </w:tc>
        <w:tc>
          <w:tcPr>
            <w:tcW w:type="dxa" w:w="6400"/>
            <w:tcBorders>
              <w:top w:val="single" w:color="CCCCBB" w:sz="1" w:space="0"/>
              <w:left w:val="single" w:color="CCCCBB" w:sz="1" w:space="0"/>
              <w:bottom w:val="single" w:color="CCCCBB" w:sz="1" w:space="0"/>
              <w:right w:val="single" w:color="CCCCBB" w:sz="1" w:space="0"/>
            </w:tcBorders>
            <w:shd w:fill="FFFFFF" w:val="clear"/>
            <w:tcMar>
              <w:top w:type="dxa" w:w="80"/>
              <w:left w:type="dxa" w:w="160"/>
              <w:bottom w:type="dxa" w:w="80"/>
              <w:right w:type="dxa" w:w="160"/>
            </w:tcMar>
          </w:tcPr>
          <w:p>
            <w:r>
              <w:rPr>
                <w:rFonts w:ascii="Calibri" w:cs="Calibri" w:eastAsia="Calibri" w:hAnsi="Calibri"/>
                <w:color w:val="1E1E2E"/>
                <w:sz w:val="22"/>
                <w:szCs w:val="22"/>
              </w:rPr>
              <w:t xml:space="preserve">National Digital Infrastructure Special Purpose Vehicle (NDI-SPV)</w:t>
            </w:r>
          </w:p>
        </w:tc>
      </w:tr>
      <w:tr>
        <w:tc>
          <w:tcPr>
            <w:tcW w:type="dxa" w:w="2600"/>
            <w:tcBorders>
              <w:top w:val="single" w:color="CCCCBB" w:sz="1" w:space="0"/>
              <w:left w:val="single" w:color="CCCCBB" w:sz="1" w:space="0"/>
              <w:bottom w:val="single" w:color="CCCCBB" w:sz="1" w:space="0"/>
              <w:right w:val="single" w:color="CCCCBB" w:sz="1" w:space="0"/>
            </w:tcBorders>
            <w:shd w:fill="F5F2EA" w:val="clear"/>
            <w:tcMar>
              <w:top w:type="dxa" w:w="80"/>
              <w:left w:type="dxa" w:w="160"/>
              <w:bottom w:type="dxa" w:w="80"/>
              <w:right w:type="dxa" w:w="160"/>
            </w:tcMar>
          </w:tcPr>
          <w:p>
            <w:r>
              <w:rPr>
                <w:rFonts w:ascii="Calibri" w:cs="Calibri" w:eastAsia="Calibri" w:hAnsi="Calibri"/>
                <w:b/>
                <w:bCs/>
                <w:color w:val="0C2340"/>
                <w:sz w:val="22"/>
                <w:szCs w:val="22"/>
              </w:rPr>
              <w:t xml:space="preserve">Purpose</w:t>
            </w:r>
          </w:p>
        </w:tc>
        <w:tc>
          <w:tcPr>
            <w:tcW w:type="dxa" w:w="6400"/>
            <w:tcBorders>
              <w:top w:val="single" w:color="CCCCBB" w:sz="1" w:space="0"/>
              <w:left w:val="single" w:color="CCCCBB" w:sz="1" w:space="0"/>
              <w:bottom w:val="single" w:color="CCCCBB" w:sz="1" w:space="0"/>
              <w:right w:val="single" w:color="CCCCBB" w:sz="1" w:space="0"/>
            </w:tcBorders>
            <w:shd w:fill="FAFAF5" w:val="clear"/>
            <w:tcMar>
              <w:top w:type="dxa" w:w="80"/>
              <w:left w:type="dxa" w:w="160"/>
              <w:bottom w:type="dxa" w:w="80"/>
              <w:right w:type="dxa" w:w="160"/>
            </w:tcMar>
          </w:tcPr>
          <w:p>
            <w:r>
              <w:rPr>
                <w:rFonts w:ascii="Calibri" w:cs="Calibri" w:eastAsia="Calibri" w:hAnsi="Calibri"/>
                <w:color w:val="1E1E2E"/>
                <w:sz w:val="22"/>
                <w:szCs w:val="22"/>
              </w:rPr>
              <w:t xml:space="preserve">Deployment and operation of national digital governance infrastructure under UDOC framework</w:t>
            </w:r>
          </w:p>
        </w:tc>
      </w:tr>
      <w:tr>
        <w:tc>
          <w:tcPr>
            <w:tcW w:type="dxa" w:w="2600"/>
            <w:tcBorders>
              <w:top w:val="single" w:color="CCCCBB" w:sz="1" w:space="0"/>
              <w:left w:val="single" w:color="CCCCBB" w:sz="1" w:space="0"/>
              <w:bottom w:val="single" w:color="CCCCBB" w:sz="1" w:space="0"/>
              <w:right w:val="single" w:color="CCCCBB" w:sz="1" w:space="0"/>
            </w:tcBorders>
            <w:shd w:fill="EDE8D8" w:val="clear"/>
            <w:tcMar>
              <w:top w:type="dxa" w:w="80"/>
              <w:left w:type="dxa" w:w="160"/>
              <w:bottom w:type="dxa" w:w="80"/>
              <w:right w:type="dxa" w:w="160"/>
            </w:tcMar>
          </w:tcPr>
          <w:p>
            <w:r>
              <w:rPr>
                <w:rFonts w:ascii="Calibri" w:cs="Calibri" w:eastAsia="Calibri" w:hAnsi="Calibri"/>
                <w:b/>
                <w:bCs/>
                <w:color w:val="0C2340"/>
                <w:sz w:val="22"/>
                <w:szCs w:val="22"/>
              </w:rPr>
              <w:t xml:space="preserve">Government Equity</w:t>
            </w:r>
          </w:p>
        </w:tc>
        <w:tc>
          <w:tcPr>
            <w:tcW w:type="dxa" w:w="6400"/>
            <w:tcBorders>
              <w:top w:val="single" w:color="CCCCBB" w:sz="1" w:space="0"/>
              <w:left w:val="single" w:color="CCCCBB" w:sz="1" w:space="0"/>
              <w:bottom w:val="single" w:color="CCCCBB" w:sz="1" w:space="0"/>
              <w:right w:val="single" w:color="CCCCBB" w:sz="1" w:space="0"/>
            </w:tcBorders>
            <w:shd w:fill="FFFFFF" w:val="clear"/>
            <w:tcMar>
              <w:top w:type="dxa" w:w="80"/>
              <w:left w:type="dxa" w:w="160"/>
              <w:bottom w:type="dxa" w:w="80"/>
              <w:right w:type="dxa" w:w="160"/>
            </w:tcMar>
          </w:tcPr>
          <w:p>
            <w:r>
              <w:rPr>
                <w:rFonts w:ascii="Calibri" w:cs="Calibri" w:eastAsia="Calibri" w:hAnsi="Calibri"/>
                <w:color w:val="1E1E2E"/>
                <w:sz w:val="22"/>
                <w:szCs w:val="22"/>
              </w:rPr>
              <w:t xml:space="preserve">51% minimum (represented through SITA or newly established Digital Infrastructure Development Entity)</w:t>
            </w:r>
          </w:p>
        </w:tc>
      </w:tr>
      <w:tr>
        <w:tc>
          <w:tcPr>
            <w:tcW w:type="dxa" w:w="2600"/>
            <w:tcBorders>
              <w:top w:val="single" w:color="CCCCBB" w:sz="1" w:space="0"/>
              <w:left w:val="single" w:color="CCCCBB" w:sz="1" w:space="0"/>
              <w:bottom w:val="single" w:color="CCCCBB" w:sz="1" w:space="0"/>
              <w:right w:val="single" w:color="CCCCBB" w:sz="1" w:space="0"/>
            </w:tcBorders>
            <w:shd w:fill="F5F2EA" w:val="clear"/>
            <w:tcMar>
              <w:top w:type="dxa" w:w="80"/>
              <w:left w:type="dxa" w:w="160"/>
              <w:bottom w:type="dxa" w:w="80"/>
              <w:right w:type="dxa" w:w="160"/>
            </w:tcMar>
          </w:tcPr>
          <w:p>
            <w:r>
              <w:rPr>
                <w:rFonts w:ascii="Calibri" w:cs="Calibri" w:eastAsia="Calibri" w:hAnsi="Calibri"/>
                <w:b/>
                <w:bCs/>
                <w:color w:val="0C2340"/>
                <w:sz w:val="22"/>
                <w:szCs w:val="22"/>
              </w:rPr>
              <w:t xml:space="preserve">G.O.D.S Equity</w:t>
            </w:r>
          </w:p>
        </w:tc>
        <w:tc>
          <w:tcPr>
            <w:tcW w:type="dxa" w:w="6400"/>
            <w:tcBorders>
              <w:top w:val="single" w:color="CCCCBB" w:sz="1" w:space="0"/>
              <w:left w:val="single" w:color="CCCCBB" w:sz="1" w:space="0"/>
              <w:bottom w:val="single" w:color="CCCCBB" w:sz="1" w:space="0"/>
              <w:right w:val="single" w:color="CCCCBB" w:sz="1" w:space="0"/>
            </w:tcBorders>
            <w:shd w:fill="FAFAF5" w:val="clear"/>
            <w:tcMar>
              <w:top w:type="dxa" w:w="80"/>
              <w:left w:type="dxa" w:w="160"/>
              <w:bottom w:type="dxa" w:w="80"/>
              <w:right w:type="dxa" w:w="160"/>
            </w:tcMar>
          </w:tcPr>
          <w:p>
            <w:r>
              <w:rPr>
                <w:rFonts w:ascii="Calibri" w:cs="Calibri" w:eastAsia="Calibri" w:hAnsi="Calibri"/>
                <w:color w:val="1E1E2E"/>
                <w:sz w:val="22"/>
                <w:szCs w:val="22"/>
              </w:rPr>
              <w:t xml:space="preserve">49% maximum through G.O.D.S TS Holdings</w:t>
            </w:r>
          </w:p>
        </w:tc>
      </w:tr>
      <w:tr>
        <w:tc>
          <w:tcPr>
            <w:tcW w:type="dxa" w:w="2600"/>
            <w:tcBorders>
              <w:top w:val="single" w:color="CCCCBB" w:sz="1" w:space="0"/>
              <w:left w:val="single" w:color="CCCCBB" w:sz="1" w:space="0"/>
              <w:bottom w:val="single" w:color="CCCCBB" w:sz="1" w:space="0"/>
              <w:right w:val="single" w:color="CCCCBB" w:sz="1" w:space="0"/>
            </w:tcBorders>
            <w:shd w:fill="EDE8D8" w:val="clear"/>
            <w:tcMar>
              <w:top w:type="dxa" w:w="80"/>
              <w:left w:type="dxa" w:w="160"/>
              <w:bottom w:type="dxa" w:w="80"/>
              <w:right w:type="dxa" w:w="160"/>
            </w:tcMar>
          </w:tcPr>
          <w:p>
            <w:r>
              <w:rPr>
                <w:rFonts w:ascii="Calibri" w:cs="Calibri" w:eastAsia="Calibri" w:hAnsi="Calibri"/>
                <w:b/>
                <w:bCs/>
                <w:color w:val="0C2340"/>
                <w:sz w:val="22"/>
                <w:szCs w:val="22"/>
              </w:rPr>
              <w:t xml:space="preserve">PFMA Compliance</w:t>
            </w:r>
          </w:p>
        </w:tc>
        <w:tc>
          <w:tcPr>
            <w:tcW w:type="dxa" w:w="6400"/>
            <w:tcBorders>
              <w:top w:val="single" w:color="CCCCBB" w:sz="1" w:space="0"/>
              <w:left w:val="single" w:color="CCCCBB" w:sz="1" w:space="0"/>
              <w:bottom w:val="single" w:color="CCCCBB" w:sz="1" w:space="0"/>
              <w:right w:val="single" w:color="CCCCBB" w:sz="1" w:space="0"/>
            </w:tcBorders>
            <w:shd w:fill="FFFFFF" w:val="clear"/>
            <w:tcMar>
              <w:top w:type="dxa" w:w="80"/>
              <w:left w:type="dxa" w:w="160"/>
              <w:bottom w:type="dxa" w:w="80"/>
              <w:right w:type="dxa" w:w="160"/>
            </w:tcMar>
          </w:tcPr>
          <w:p>
            <w:r>
              <w:rPr>
                <w:rFonts w:ascii="Calibri" w:cs="Calibri" w:eastAsia="Calibri" w:hAnsi="Calibri"/>
                <w:color w:val="1E1E2E"/>
                <w:sz w:val="22"/>
                <w:szCs w:val="22"/>
              </w:rPr>
              <w:t xml:space="preserve">Full — ring-fenced from general fiscus; independent audit; Treasury-approved structure</w:t>
            </w:r>
          </w:p>
        </w:tc>
      </w:tr>
    </w:tbl>
    <w:p>
      <w:pPr>
        <w:spacing w:before="280" w:after="80"/>
      </w:pPr>
      <w:r>
        <w:rPr>
          <w:rFonts w:ascii="Georgia" w:cs="Georgia" w:eastAsia="Georgia" w:hAnsi="Georgia"/>
          <w:b/>
          <w:bCs/>
          <w:color w:val="0C2340"/>
          <w:sz w:val="24"/>
          <w:szCs w:val="24"/>
        </w:rPr>
        <w:t xml:space="preserve">I.2 Governance Provisions</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2600"/>
        <w:gridCol w:w="6400"/>
      </w:tblGrid>
      <w:tr>
        <w:tc>
          <w:tcPr>
            <w:tcW w:type="dxa" w:w="2600"/>
            <w:tcBorders>
              <w:top w:val="single" w:color="CCCCBB" w:sz="1" w:space="0"/>
              <w:left w:val="single" w:color="CCCCBB" w:sz="1" w:space="0"/>
              <w:bottom w:val="single" w:color="CCCCBB" w:sz="1" w:space="0"/>
              <w:right w:val="single" w:color="CCCCBB" w:sz="1" w:space="0"/>
            </w:tcBorders>
            <w:shd w:fill="EDE8D8" w:val="clear"/>
            <w:tcMar>
              <w:top w:type="dxa" w:w="80"/>
              <w:left w:type="dxa" w:w="160"/>
              <w:bottom w:type="dxa" w:w="80"/>
              <w:right w:type="dxa" w:w="160"/>
            </w:tcMar>
          </w:tcPr>
          <w:p>
            <w:r>
              <w:rPr>
                <w:rFonts w:ascii="Calibri" w:cs="Calibri" w:eastAsia="Calibri" w:hAnsi="Calibri"/>
                <w:b/>
                <w:bCs/>
                <w:color w:val="0C2340"/>
                <w:sz w:val="22"/>
                <w:szCs w:val="22"/>
              </w:rPr>
              <w:t xml:space="preserve">Board Composition</w:t>
            </w:r>
          </w:p>
        </w:tc>
        <w:tc>
          <w:tcPr>
            <w:tcW w:type="dxa" w:w="6400"/>
            <w:tcBorders>
              <w:top w:val="single" w:color="CCCCBB" w:sz="1" w:space="0"/>
              <w:left w:val="single" w:color="CCCCBB" w:sz="1" w:space="0"/>
              <w:bottom w:val="single" w:color="CCCCBB" w:sz="1" w:space="0"/>
              <w:right w:val="single" w:color="CCCCBB" w:sz="1" w:space="0"/>
            </w:tcBorders>
            <w:shd w:fill="FFFFFF" w:val="clear"/>
            <w:tcMar>
              <w:top w:type="dxa" w:w="80"/>
              <w:left w:type="dxa" w:w="160"/>
              <w:bottom w:type="dxa" w:w="80"/>
              <w:right w:type="dxa" w:w="160"/>
            </w:tcMar>
          </w:tcPr>
          <w:p>
            <w:r>
              <w:rPr>
                <w:rFonts w:ascii="Calibri" w:cs="Calibri" w:eastAsia="Calibri" w:hAnsi="Calibri"/>
                <w:color w:val="1E1E2E"/>
                <w:sz w:val="22"/>
                <w:szCs w:val="22"/>
              </w:rPr>
              <w:t xml:space="preserve">Majority government-appointed; independent non-executive chair jointly nominated; G.O.D.S technical director</w:t>
            </w:r>
          </w:p>
        </w:tc>
      </w:tr>
      <w:tr>
        <w:tc>
          <w:tcPr>
            <w:tcW w:type="dxa" w:w="2600"/>
            <w:tcBorders>
              <w:top w:val="single" w:color="CCCCBB" w:sz="1" w:space="0"/>
              <w:left w:val="single" w:color="CCCCBB" w:sz="1" w:space="0"/>
              <w:bottom w:val="single" w:color="CCCCBB" w:sz="1" w:space="0"/>
              <w:right w:val="single" w:color="CCCCBB" w:sz="1" w:space="0"/>
            </w:tcBorders>
            <w:shd w:fill="F5F2EA" w:val="clear"/>
            <w:tcMar>
              <w:top w:type="dxa" w:w="80"/>
              <w:left w:type="dxa" w:w="160"/>
              <w:bottom w:type="dxa" w:w="80"/>
              <w:right w:type="dxa" w:w="160"/>
            </w:tcMar>
          </w:tcPr>
          <w:p>
            <w:r>
              <w:rPr>
                <w:rFonts w:ascii="Calibri" w:cs="Calibri" w:eastAsia="Calibri" w:hAnsi="Calibri"/>
                <w:b/>
                <w:bCs/>
                <w:color w:val="0C2340"/>
                <w:sz w:val="22"/>
                <w:szCs w:val="22"/>
              </w:rPr>
              <w:t xml:space="preserve">Audit</w:t>
            </w:r>
          </w:p>
        </w:tc>
        <w:tc>
          <w:tcPr>
            <w:tcW w:type="dxa" w:w="6400"/>
            <w:tcBorders>
              <w:top w:val="single" w:color="CCCCBB" w:sz="1" w:space="0"/>
              <w:left w:val="single" w:color="CCCCBB" w:sz="1" w:space="0"/>
              <w:bottom w:val="single" w:color="CCCCBB" w:sz="1" w:space="0"/>
              <w:right w:val="single" w:color="CCCCBB" w:sz="1" w:space="0"/>
            </w:tcBorders>
            <w:shd w:fill="FAFAF5" w:val="clear"/>
            <w:tcMar>
              <w:top w:type="dxa" w:w="80"/>
              <w:left w:type="dxa" w:w="160"/>
              <w:bottom w:type="dxa" w:w="80"/>
              <w:right w:type="dxa" w:w="160"/>
            </w:tcMar>
          </w:tcPr>
          <w:p>
            <w:r>
              <w:rPr>
                <w:rFonts w:ascii="Calibri" w:cs="Calibri" w:eastAsia="Calibri" w:hAnsi="Calibri"/>
                <w:color w:val="1E1E2E"/>
                <w:sz w:val="22"/>
                <w:szCs w:val="22"/>
              </w:rPr>
              <w:t xml:space="preserve">Independent annual audit; South African Auditor-General access rights</w:t>
            </w:r>
          </w:p>
        </w:tc>
      </w:tr>
      <w:tr>
        <w:tc>
          <w:tcPr>
            <w:tcW w:type="dxa" w:w="2600"/>
            <w:tcBorders>
              <w:top w:val="single" w:color="CCCCBB" w:sz="1" w:space="0"/>
              <w:left w:val="single" w:color="CCCCBB" w:sz="1" w:space="0"/>
              <w:bottom w:val="single" w:color="CCCCBB" w:sz="1" w:space="0"/>
              <w:right w:val="single" w:color="CCCCBB" w:sz="1" w:space="0"/>
            </w:tcBorders>
            <w:shd w:fill="EDE8D8" w:val="clear"/>
            <w:tcMar>
              <w:top w:type="dxa" w:w="80"/>
              <w:left w:type="dxa" w:w="160"/>
              <w:bottom w:type="dxa" w:w="80"/>
              <w:right w:type="dxa" w:w="160"/>
            </w:tcMar>
          </w:tcPr>
          <w:p>
            <w:r>
              <w:rPr>
                <w:rFonts w:ascii="Calibri" w:cs="Calibri" w:eastAsia="Calibri" w:hAnsi="Calibri"/>
                <w:b/>
                <w:bCs/>
                <w:color w:val="0C2340"/>
                <w:sz w:val="22"/>
                <w:szCs w:val="22"/>
              </w:rPr>
              <w:t xml:space="preserve">Data Protection</w:t>
            </w:r>
          </w:p>
        </w:tc>
        <w:tc>
          <w:tcPr>
            <w:tcW w:type="dxa" w:w="6400"/>
            <w:tcBorders>
              <w:top w:val="single" w:color="CCCCBB" w:sz="1" w:space="0"/>
              <w:left w:val="single" w:color="CCCCBB" w:sz="1" w:space="0"/>
              <w:bottom w:val="single" w:color="CCCCBB" w:sz="1" w:space="0"/>
              <w:right w:val="single" w:color="CCCCBB" w:sz="1" w:space="0"/>
            </w:tcBorders>
            <w:shd w:fill="FFFFFF" w:val="clear"/>
            <w:tcMar>
              <w:top w:type="dxa" w:w="80"/>
              <w:left w:type="dxa" w:w="160"/>
              <w:bottom w:type="dxa" w:w="80"/>
              <w:right w:type="dxa" w:w="160"/>
            </w:tcMar>
          </w:tcPr>
          <w:p>
            <w:r>
              <w:rPr>
                <w:rFonts w:ascii="Calibri" w:cs="Calibri" w:eastAsia="Calibri" w:hAnsi="Calibri"/>
                <w:color w:val="1E1E2E"/>
                <w:sz w:val="22"/>
                <w:szCs w:val="22"/>
              </w:rPr>
              <w:t xml:space="preserve">SAHRC oversight provision for any system affecting citizen data; POPIA compliance embedded in architecture</w:t>
            </w:r>
          </w:p>
        </w:tc>
      </w:tr>
      <w:tr>
        <w:tc>
          <w:tcPr>
            <w:tcW w:type="dxa" w:w="2600"/>
            <w:tcBorders>
              <w:top w:val="single" w:color="CCCCBB" w:sz="1" w:space="0"/>
              <w:left w:val="single" w:color="CCCCBB" w:sz="1" w:space="0"/>
              <w:bottom w:val="single" w:color="CCCCBB" w:sz="1" w:space="0"/>
              <w:right w:val="single" w:color="CCCCBB" w:sz="1" w:space="0"/>
            </w:tcBorders>
            <w:shd w:fill="F5F2EA" w:val="clear"/>
            <w:tcMar>
              <w:top w:type="dxa" w:w="80"/>
              <w:left w:type="dxa" w:w="160"/>
              <w:bottom w:type="dxa" w:w="80"/>
              <w:right w:type="dxa" w:w="160"/>
            </w:tcMar>
          </w:tcPr>
          <w:p>
            <w:r>
              <w:rPr>
                <w:rFonts w:ascii="Calibri" w:cs="Calibri" w:eastAsia="Calibri" w:hAnsi="Calibri"/>
                <w:b/>
                <w:bCs/>
                <w:color w:val="0C2340"/>
                <w:sz w:val="22"/>
                <w:szCs w:val="22"/>
              </w:rPr>
              <w:t xml:space="preserve">Exit Provisions</w:t>
            </w:r>
          </w:p>
        </w:tc>
        <w:tc>
          <w:tcPr>
            <w:tcW w:type="dxa" w:w="6400"/>
            <w:tcBorders>
              <w:top w:val="single" w:color="CCCCBB" w:sz="1" w:space="0"/>
              <w:left w:val="single" w:color="CCCCBB" w:sz="1" w:space="0"/>
              <w:bottom w:val="single" w:color="CCCCBB" w:sz="1" w:space="0"/>
              <w:right w:val="single" w:color="CCCCBB" w:sz="1" w:space="0"/>
            </w:tcBorders>
            <w:shd w:fill="FAFAF5" w:val="clear"/>
            <w:tcMar>
              <w:top w:type="dxa" w:w="80"/>
              <w:left w:type="dxa" w:w="160"/>
              <w:bottom w:type="dxa" w:w="80"/>
              <w:right w:type="dxa" w:w="160"/>
            </w:tcMar>
          </w:tcPr>
          <w:p>
            <w:r>
              <w:rPr>
                <w:rFonts w:ascii="Calibri" w:cs="Calibri" w:eastAsia="Calibri" w:hAnsi="Calibri"/>
                <w:color w:val="1E1E2E"/>
                <w:sz w:val="22"/>
                <w:szCs w:val="22"/>
              </w:rPr>
              <w:t xml:space="preserve">Government retains full operational capability; 24-month notice; IP reverts to G.O.D.S IP Trust on exit</w:t>
            </w:r>
          </w:p>
        </w:tc>
      </w:tr>
    </w:tbl>
    <w:p>
      <w:pPr>
        <w:spacing w:before="280" w:after="80"/>
      </w:pPr>
      <w:r>
        <w:rPr>
          <w:rFonts w:ascii="Georgia" w:cs="Georgia" w:eastAsia="Georgia" w:hAnsi="Georgia"/>
          <w:b/>
          <w:bCs/>
          <w:color w:val="0C2340"/>
          <w:sz w:val="24"/>
          <w:szCs w:val="24"/>
        </w:rPr>
        <w:t xml:space="preserve">I.3 Revenue and Repayment Model</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2600"/>
        <w:gridCol w:w="6400"/>
      </w:tblGrid>
      <w:tr>
        <w:tc>
          <w:tcPr>
            <w:tcW w:type="dxa" w:w="2600"/>
            <w:tcBorders>
              <w:top w:val="single" w:color="CCCCBB" w:sz="1" w:space="0"/>
              <w:left w:val="single" w:color="CCCCBB" w:sz="1" w:space="0"/>
              <w:bottom w:val="single" w:color="CCCCBB" w:sz="1" w:space="0"/>
              <w:right w:val="single" w:color="CCCCBB" w:sz="1" w:space="0"/>
            </w:tcBorders>
            <w:shd w:fill="EDE8D8" w:val="clear"/>
            <w:tcMar>
              <w:top w:type="dxa" w:w="80"/>
              <w:left w:type="dxa" w:w="160"/>
              <w:bottom w:type="dxa" w:w="80"/>
              <w:right w:type="dxa" w:w="160"/>
            </w:tcMar>
          </w:tcPr>
          <w:p>
            <w:r>
              <w:rPr>
                <w:rFonts w:ascii="Calibri" w:cs="Calibri" w:eastAsia="Calibri" w:hAnsi="Calibri"/>
                <w:b/>
                <w:bCs/>
                <w:color w:val="0C2340"/>
                <w:sz w:val="22"/>
                <w:szCs w:val="22"/>
              </w:rPr>
              <w:t xml:space="preserve">Capital</w:t>
            </w:r>
          </w:p>
        </w:tc>
        <w:tc>
          <w:tcPr>
            <w:tcW w:type="dxa" w:w="6400"/>
            <w:tcBorders>
              <w:top w:val="single" w:color="CCCCBB" w:sz="1" w:space="0"/>
              <w:left w:val="single" w:color="CCCCBB" w:sz="1" w:space="0"/>
              <w:bottom w:val="single" w:color="CCCCBB" w:sz="1" w:space="0"/>
              <w:right w:val="single" w:color="CCCCBB" w:sz="1" w:space="0"/>
            </w:tcBorders>
            <w:shd w:fill="FFFFFF" w:val="clear"/>
            <w:tcMar>
              <w:top w:type="dxa" w:w="80"/>
              <w:left w:type="dxa" w:w="160"/>
              <w:bottom w:type="dxa" w:w="80"/>
              <w:right w:type="dxa" w:w="160"/>
            </w:tcMar>
          </w:tcPr>
          <w:p>
            <w:r>
              <w:rPr>
                <w:rFonts w:ascii="Calibri" w:cs="Calibri" w:eastAsia="Calibri" w:hAnsi="Calibri"/>
                <w:color w:val="1E1E2E"/>
                <w:sz w:val="22"/>
                <w:szCs w:val="22"/>
              </w:rPr>
              <w:t xml:space="preserve">R5B – R15B (scalable); Phase 1: R1B – R3B for initial deployment</w:t>
            </w:r>
          </w:p>
        </w:tc>
      </w:tr>
      <w:tr>
        <w:tc>
          <w:tcPr>
            <w:tcW w:type="dxa" w:w="2600"/>
            <w:tcBorders>
              <w:top w:val="single" w:color="CCCCBB" w:sz="1" w:space="0"/>
              <w:left w:val="single" w:color="CCCCBB" w:sz="1" w:space="0"/>
              <w:bottom w:val="single" w:color="CCCCBB" w:sz="1" w:space="0"/>
              <w:right w:val="single" w:color="CCCCBB" w:sz="1" w:space="0"/>
            </w:tcBorders>
            <w:shd w:fill="F5F2EA" w:val="clear"/>
            <w:tcMar>
              <w:top w:type="dxa" w:w="80"/>
              <w:left w:type="dxa" w:w="160"/>
              <w:bottom w:type="dxa" w:w="80"/>
              <w:right w:type="dxa" w:w="160"/>
            </w:tcMar>
          </w:tcPr>
          <w:p>
            <w:r>
              <w:rPr>
                <w:rFonts w:ascii="Calibri" w:cs="Calibri" w:eastAsia="Calibri" w:hAnsi="Calibri"/>
                <w:b/>
                <w:bCs/>
                <w:color w:val="0C2340"/>
                <w:sz w:val="22"/>
                <w:szCs w:val="22"/>
              </w:rPr>
              <w:t xml:space="preserve">Structure</w:t>
            </w:r>
          </w:p>
        </w:tc>
        <w:tc>
          <w:tcPr>
            <w:tcW w:type="dxa" w:w="6400"/>
            <w:tcBorders>
              <w:top w:val="single" w:color="CCCCBB" w:sz="1" w:space="0"/>
              <w:left w:val="single" w:color="CCCCBB" w:sz="1" w:space="0"/>
              <w:bottom w:val="single" w:color="CCCCBB" w:sz="1" w:space="0"/>
              <w:right w:val="single" w:color="CCCCBB" w:sz="1" w:space="0"/>
            </w:tcBorders>
            <w:shd w:fill="FAFAF5" w:val="clear"/>
            <w:tcMar>
              <w:top w:type="dxa" w:w="80"/>
              <w:left w:type="dxa" w:w="160"/>
              <w:bottom w:type="dxa" w:w="80"/>
              <w:right w:type="dxa" w:w="160"/>
            </w:tcMar>
          </w:tcPr>
          <w:p>
            <w:r>
              <w:rPr>
                <w:rFonts w:ascii="Calibri" w:cs="Calibri" w:eastAsia="Calibri" w:hAnsi="Calibri"/>
                <w:color w:val="1E1E2E"/>
                <w:sz w:val="22"/>
                <w:szCs w:val="22"/>
              </w:rPr>
              <w:t xml:space="preserve">Subordinated infrastructure loan — not sovereign debt; convertible into revenue participation</w:t>
            </w:r>
          </w:p>
        </w:tc>
      </w:tr>
      <w:tr>
        <w:tc>
          <w:tcPr>
            <w:tcW w:type="dxa" w:w="2600"/>
            <w:tcBorders>
              <w:top w:val="single" w:color="CCCCBB" w:sz="1" w:space="0"/>
              <w:left w:val="single" w:color="CCCCBB" w:sz="1" w:space="0"/>
              <w:bottom w:val="single" w:color="CCCCBB" w:sz="1" w:space="0"/>
              <w:right w:val="single" w:color="CCCCBB" w:sz="1" w:space="0"/>
            </w:tcBorders>
            <w:shd w:fill="EDE8D8" w:val="clear"/>
            <w:tcMar>
              <w:top w:type="dxa" w:w="80"/>
              <w:left w:type="dxa" w:w="160"/>
              <w:bottom w:type="dxa" w:w="80"/>
              <w:right w:type="dxa" w:w="160"/>
            </w:tcMar>
          </w:tcPr>
          <w:p>
            <w:r>
              <w:rPr>
                <w:rFonts w:ascii="Calibri" w:cs="Calibri" w:eastAsia="Calibri" w:hAnsi="Calibri"/>
                <w:b/>
                <w:bCs/>
                <w:color w:val="0C2340"/>
                <w:sz w:val="22"/>
                <w:szCs w:val="22"/>
              </w:rPr>
              <w:t xml:space="preserve">Revenue Streams</w:t>
            </w:r>
          </w:p>
        </w:tc>
        <w:tc>
          <w:tcPr>
            <w:tcW w:type="dxa" w:w="6400"/>
            <w:tcBorders>
              <w:top w:val="single" w:color="CCCCBB" w:sz="1" w:space="0"/>
              <w:left w:val="single" w:color="CCCCBB" w:sz="1" w:space="0"/>
              <w:bottom w:val="single" w:color="CCCCBB" w:sz="1" w:space="0"/>
              <w:right w:val="single" w:color="CCCCBB" w:sz="1" w:space="0"/>
            </w:tcBorders>
            <w:shd w:fill="FFFFFF" w:val="clear"/>
            <w:tcMar>
              <w:top w:type="dxa" w:w="80"/>
              <w:left w:type="dxa" w:w="160"/>
              <w:bottom w:type="dxa" w:w="80"/>
              <w:right w:type="dxa" w:w="160"/>
            </w:tcMar>
          </w:tcPr>
          <w:p>
            <w:r>
              <w:rPr>
                <w:rFonts w:ascii="Calibri" w:cs="Calibri" w:eastAsia="Calibri" w:hAnsi="Calibri"/>
                <w:color w:val="1E1E2E"/>
                <w:sz w:val="22"/>
                <w:szCs w:val="22"/>
              </w:rPr>
              <w:t xml:space="preserve">Digital compliance licensing; enterprise subscriptions; institutional API fees; cross-border verification; public sector efficiency savings</w:t>
            </w:r>
          </w:p>
        </w:tc>
      </w:tr>
      <w:tr>
        <w:tc>
          <w:tcPr>
            <w:tcW w:type="dxa" w:w="2600"/>
            <w:tcBorders>
              <w:top w:val="single" w:color="CCCCBB" w:sz="1" w:space="0"/>
              <w:left w:val="single" w:color="CCCCBB" w:sz="1" w:space="0"/>
              <w:bottom w:val="single" w:color="CCCCBB" w:sz="1" w:space="0"/>
              <w:right w:val="single" w:color="CCCCBB" w:sz="1" w:space="0"/>
            </w:tcBorders>
            <w:shd w:fill="F5F2EA" w:val="clear"/>
            <w:tcMar>
              <w:top w:type="dxa" w:w="80"/>
              <w:left w:type="dxa" w:w="160"/>
              <w:bottom w:type="dxa" w:w="80"/>
              <w:right w:type="dxa" w:w="160"/>
            </w:tcMar>
          </w:tcPr>
          <w:p>
            <w:r>
              <w:rPr>
                <w:rFonts w:ascii="Calibri" w:cs="Calibri" w:eastAsia="Calibri" w:hAnsi="Calibri"/>
                <w:b/>
                <w:bCs/>
                <w:color w:val="0C2340"/>
                <w:sz w:val="22"/>
                <w:szCs w:val="22"/>
              </w:rPr>
              <w:t xml:space="preserve">Break-Even</w:t>
            </w:r>
          </w:p>
        </w:tc>
        <w:tc>
          <w:tcPr>
            <w:tcW w:type="dxa" w:w="6400"/>
            <w:tcBorders>
              <w:top w:val="single" w:color="CCCCBB" w:sz="1" w:space="0"/>
              <w:left w:val="single" w:color="CCCCBB" w:sz="1" w:space="0"/>
              <w:bottom w:val="single" w:color="CCCCBB" w:sz="1" w:space="0"/>
              <w:right w:val="single" w:color="CCCCBB" w:sz="1" w:space="0"/>
            </w:tcBorders>
            <w:shd w:fill="FAFAF5" w:val="clear"/>
            <w:tcMar>
              <w:top w:type="dxa" w:w="80"/>
              <w:left w:type="dxa" w:w="160"/>
              <w:bottom w:type="dxa" w:w="80"/>
              <w:right w:type="dxa" w:w="160"/>
            </w:tcMar>
          </w:tcPr>
          <w:p>
            <w:r>
              <w:rPr>
                <w:rFonts w:ascii="Calibri" w:cs="Calibri" w:eastAsia="Calibri" w:hAnsi="Calibri"/>
                <w:color w:val="1E1E2E"/>
                <w:sz w:val="22"/>
                <w:szCs w:val="22"/>
              </w:rPr>
              <w:t xml:space="preserve">Year 5 (conservative) / Year 3 (accelerated)</w:t>
            </w:r>
          </w:p>
        </w:tc>
      </w:tr>
      <w:tr>
        <w:tc>
          <w:tcPr>
            <w:tcW w:type="dxa" w:w="2600"/>
            <w:tcBorders>
              <w:top w:val="single" w:color="CCCCBB" w:sz="1" w:space="0"/>
              <w:left w:val="single" w:color="CCCCBB" w:sz="1" w:space="0"/>
              <w:bottom w:val="single" w:color="CCCCBB" w:sz="1" w:space="0"/>
              <w:right w:val="single" w:color="CCCCBB" w:sz="1" w:space="0"/>
            </w:tcBorders>
            <w:shd w:fill="EDE8D8" w:val="clear"/>
            <w:tcMar>
              <w:top w:type="dxa" w:w="80"/>
              <w:left w:type="dxa" w:w="160"/>
              <w:bottom w:type="dxa" w:w="80"/>
              <w:right w:type="dxa" w:w="160"/>
            </w:tcMar>
          </w:tcPr>
          <w:p>
            <w:r>
              <w:rPr>
                <w:rFonts w:ascii="Calibri" w:cs="Calibri" w:eastAsia="Calibri" w:hAnsi="Calibri"/>
                <w:b/>
                <w:bCs/>
                <w:color w:val="0C2340"/>
                <w:sz w:val="22"/>
                <w:szCs w:val="22"/>
              </w:rPr>
              <w:t xml:space="preserve">Return Cap</w:t>
            </w:r>
          </w:p>
        </w:tc>
        <w:tc>
          <w:tcPr>
            <w:tcW w:type="dxa" w:w="6400"/>
            <w:tcBorders>
              <w:top w:val="single" w:color="CCCCBB" w:sz="1" w:space="0"/>
              <w:left w:val="single" w:color="CCCCBB" w:sz="1" w:space="0"/>
              <w:bottom w:val="single" w:color="CCCCBB" w:sz="1" w:space="0"/>
              <w:right w:val="single" w:color="CCCCBB" w:sz="1" w:space="0"/>
            </w:tcBorders>
            <w:shd w:fill="FFFFFF" w:val="clear"/>
            <w:tcMar>
              <w:top w:type="dxa" w:w="80"/>
              <w:left w:type="dxa" w:w="160"/>
              <w:bottom w:type="dxa" w:w="80"/>
              <w:right w:type="dxa" w:w="160"/>
            </w:tcMar>
          </w:tcPr>
          <w:p>
            <w:r>
              <w:rPr>
                <w:rFonts w:ascii="Calibri" w:cs="Calibri" w:eastAsia="Calibri" w:hAnsi="Calibri"/>
                <w:color w:val="1E1E2E"/>
                <w:sz w:val="22"/>
                <w:szCs w:val="22"/>
              </w:rPr>
              <w:t xml:space="preserve">Maximum 3× invested capital before equity buyback activates — prevents indefinite extraction; aligns with Pillar IV</w:t>
            </w:r>
          </w:p>
        </w:tc>
      </w:tr>
    </w:tbl>
    <w:p>
      <w:r>
        <w:br w:type="page"/>
      </w:r>
    </w:p>
    <w:p>
      <w:pPr>
        <w:pBdr>
          <w:bottom w:val="single" w:color="C9A84C" w:sz="8" w:space="4"/>
        </w:pBdr>
        <w:spacing w:before="440" w:after="120"/>
      </w:pPr>
      <w:r>
        <w:rPr>
          <w:rFonts w:ascii="Georgia" w:cs="Georgia" w:eastAsia="Georgia" w:hAnsi="Georgia"/>
          <w:b/>
          <w:bCs/>
          <w:color w:val="B8972A"/>
          <w:sz w:val="28"/>
          <w:szCs w:val="28"/>
        </w:rPr>
        <w:t xml:space="preserve">ANNEXURE J  </w:t>
      </w:r>
      <w:r>
        <w:rPr>
          <w:rFonts w:ascii="Georgia" w:cs="Georgia" w:eastAsia="Georgia" w:hAnsi="Georgia"/>
          <w:b/>
          <w:bCs/>
          <w:color w:val="0C2340"/>
          <w:sz w:val="28"/>
          <w:szCs w:val="28"/>
        </w:rPr>
        <w:t xml:space="preserve">AI Governance Charter</w:t>
      </w:r>
    </w:p>
    <w:p>
      <w:pPr>
        <w:pBdr>
          <w:left w:val="single" w:color="B8972A" w:sz="14" w:space="1"/>
        </w:pBdr>
        <w:shd w:fill="FBF7EE" w:val="clear"/>
        <w:spacing w:before="200" w:after="200"/>
        <w:ind w:left="480" w:right="480"/>
        <w:jc w:val="both"/>
      </w:pPr>
      <w:r>
        <w:rPr>
          <w:rFonts w:ascii="Georgia" w:cs="Georgia" w:eastAsia="Georgia" w:hAnsi="Georgia"/>
          <w:i/>
          <w:iCs/>
          <w:color w:val="1E1E2E"/>
          <w:sz w:val="22"/>
          <w:szCs w:val="22"/>
        </w:rPr>
        <w:t xml:space="preserve">This Charter is a constitutional document. It cannot be modified by executive authority. Any amendment requires COB supermajority and independent external ethical review.</w:t>
      </w:r>
    </w:p>
    <w:p>
      <w:pPr>
        <w:spacing w:before="280" w:after="80"/>
      </w:pPr>
      <w:r>
        <w:rPr>
          <w:rFonts w:ascii="Georgia" w:cs="Georgia" w:eastAsia="Georgia" w:hAnsi="Georgia"/>
          <w:b/>
          <w:bCs/>
          <w:color w:val="0C2340"/>
          <w:sz w:val="24"/>
          <w:szCs w:val="24"/>
        </w:rPr>
        <w:t xml:space="preserve">J.1 Prohibited AI Applications</w:t>
      </w:r>
    </w:p>
    <w:p>
      <w:pPr>
        <w:spacing w:before="80" w:after="80"/>
        <w:jc w:val="both"/>
      </w:pPr>
      <w:r>
        <w:rPr>
          <w:rFonts w:ascii="Calibri" w:cs="Calibri" w:eastAsia="Calibri" w:hAnsi="Calibri"/>
          <w:color w:val="1E1E2E"/>
          <w:sz w:val="22"/>
          <w:szCs w:val="22"/>
        </w:rPr>
        <w:t xml:space="preserve">No G.O.D.S entity may deploy, develop, invest in, or assist the deployment of: AI systems designed for indiscriminate mass surveillance of populations; AI systems with autonomous lethal decision authority; AI systems designed to generate political propaganda or manipulate democratic processes; deepfake content to deceive individuals without consent; or AI systems that deny access to essential public services based on protected characteristics.</w:t>
      </w:r>
    </w:p>
    <w:p>
      <w:pPr>
        <w:spacing w:before="280" w:after="80"/>
      </w:pPr>
      <w:r>
        <w:rPr>
          <w:rFonts w:ascii="Georgia" w:cs="Georgia" w:eastAsia="Georgia" w:hAnsi="Georgia"/>
          <w:b/>
          <w:bCs/>
          <w:color w:val="0C2340"/>
          <w:sz w:val="24"/>
          <w:szCs w:val="24"/>
        </w:rPr>
        <w:t xml:space="preserve">J.2 High-Risk AI System Requirements</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2600"/>
        <w:gridCol w:w="6400"/>
      </w:tblGrid>
      <w:tr>
        <w:tc>
          <w:tcPr>
            <w:tcW w:type="dxa" w:w="2600"/>
            <w:tcBorders>
              <w:top w:val="single" w:color="CCCCBB" w:sz="1" w:space="0"/>
              <w:left w:val="single" w:color="CCCCBB" w:sz="1" w:space="0"/>
              <w:bottom w:val="single" w:color="CCCCBB" w:sz="1" w:space="0"/>
              <w:right w:val="single" w:color="CCCCBB" w:sz="1" w:space="0"/>
            </w:tcBorders>
            <w:shd w:fill="EDE8D8" w:val="clear"/>
            <w:tcMar>
              <w:top w:type="dxa" w:w="80"/>
              <w:left w:type="dxa" w:w="160"/>
              <w:bottom w:type="dxa" w:w="80"/>
              <w:right w:type="dxa" w:w="160"/>
            </w:tcMar>
          </w:tcPr>
          <w:p>
            <w:r>
              <w:rPr>
                <w:rFonts w:ascii="Calibri" w:cs="Calibri" w:eastAsia="Calibri" w:hAnsi="Calibri"/>
                <w:b/>
                <w:bCs/>
                <w:color w:val="0C2340"/>
                <w:sz w:val="22"/>
                <w:szCs w:val="22"/>
              </w:rPr>
              <w:t xml:space="preserve">Technical Documentation</w:t>
            </w:r>
          </w:p>
        </w:tc>
        <w:tc>
          <w:tcPr>
            <w:tcW w:type="dxa" w:w="6400"/>
            <w:tcBorders>
              <w:top w:val="single" w:color="CCCCBB" w:sz="1" w:space="0"/>
              <w:left w:val="single" w:color="CCCCBB" w:sz="1" w:space="0"/>
              <w:bottom w:val="single" w:color="CCCCBB" w:sz="1" w:space="0"/>
              <w:right w:val="single" w:color="CCCCBB" w:sz="1" w:space="0"/>
            </w:tcBorders>
            <w:shd w:fill="FFFFFF" w:val="clear"/>
            <w:tcMar>
              <w:top w:type="dxa" w:w="80"/>
              <w:left w:type="dxa" w:w="160"/>
              <w:bottom w:type="dxa" w:w="80"/>
              <w:right w:type="dxa" w:w="160"/>
            </w:tcMar>
          </w:tcPr>
          <w:p>
            <w:r>
              <w:rPr>
                <w:rFonts w:ascii="Calibri" w:cs="Calibri" w:eastAsia="Calibri" w:hAnsi="Calibri"/>
                <w:color w:val="1E1E2E"/>
                <w:sz w:val="22"/>
                <w:szCs w:val="22"/>
              </w:rPr>
              <w:t xml:space="preserve">Training data provenance; architecture specifications; validation results; known limitations; human review pathway</w:t>
            </w:r>
          </w:p>
        </w:tc>
      </w:tr>
      <w:tr>
        <w:tc>
          <w:tcPr>
            <w:tcW w:type="dxa" w:w="2600"/>
            <w:tcBorders>
              <w:top w:val="single" w:color="CCCCBB" w:sz="1" w:space="0"/>
              <w:left w:val="single" w:color="CCCCBB" w:sz="1" w:space="0"/>
              <w:bottom w:val="single" w:color="CCCCBB" w:sz="1" w:space="0"/>
              <w:right w:val="single" w:color="CCCCBB" w:sz="1" w:space="0"/>
            </w:tcBorders>
            <w:shd w:fill="F5F2EA" w:val="clear"/>
            <w:tcMar>
              <w:top w:type="dxa" w:w="80"/>
              <w:left w:type="dxa" w:w="160"/>
              <w:bottom w:type="dxa" w:w="80"/>
              <w:right w:type="dxa" w:w="160"/>
            </w:tcMar>
          </w:tcPr>
          <w:p>
            <w:r>
              <w:rPr>
                <w:rFonts w:ascii="Calibri" w:cs="Calibri" w:eastAsia="Calibri" w:hAnsi="Calibri"/>
                <w:b/>
                <w:bCs/>
                <w:color w:val="0C2340"/>
                <w:sz w:val="22"/>
                <w:szCs w:val="22"/>
              </w:rPr>
              <w:t xml:space="preserve">Conformity Assessment</w:t>
            </w:r>
          </w:p>
        </w:tc>
        <w:tc>
          <w:tcPr>
            <w:tcW w:type="dxa" w:w="6400"/>
            <w:tcBorders>
              <w:top w:val="single" w:color="CCCCBB" w:sz="1" w:space="0"/>
              <w:left w:val="single" w:color="CCCCBB" w:sz="1" w:space="0"/>
              <w:bottom w:val="single" w:color="CCCCBB" w:sz="1" w:space="0"/>
              <w:right w:val="single" w:color="CCCCBB" w:sz="1" w:space="0"/>
            </w:tcBorders>
            <w:shd w:fill="FAFAF5" w:val="clear"/>
            <w:tcMar>
              <w:top w:type="dxa" w:w="80"/>
              <w:left w:type="dxa" w:w="160"/>
              <w:bottom w:type="dxa" w:w="80"/>
              <w:right w:type="dxa" w:w="160"/>
            </w:tcMar>
          </w:tcPr>
          <w:p>
            <w:r>
              <w:rPr>
                <w:rFonts w:ascii="Calibri" w:cs="Calibri" w:eastAsia="Calibri" w:hAnsi="Calibri"/>
                <w:color w:val="1E1E2E"/>
                <w:sz w:val="22"/>
                <w:szCs w:val="22"/>
              </w:rPr>
              <w:t xml:space="preserve">Pre-deployment assessment required and documented before any production use</w:t>
            </w:r>
          </w:p>
        </w:tc>
      </w:tr>
      <w:tr>
        <w:tc>
          <w:tcPr>
            <w:tcW w:type="dxa" w:w="2600"/>
            <w:tcBorders>
              <w:top w:val="single" w:color="CCCCBB" w:sz="1" w:space="0"/>
              <w:left w:val="single" w:color="CCCCBB" w:sz="1" w:space="0"/>
              <w:bottom w:val="single" w:color="CCCCBB" w:sz="1" w:space="0"/>
              <w:right w:val="single" w:color="CCCCBB" w:sz="1" w:space="0"/>
            </w:tcBorders>
            <w:shd w:fill="EDE8D8" w:val="clear"/>
            <w:tcMar>
              <w:top w:type="dxa" w:w="80"/>
              <w:left w:type="dxa" w:w="160"/>
              <w:bottom w:type="dxa" w:w="80"/>
              <w:right w:type="dxa" w:w="160"/>
            </w:tcMar>
          </w:tcPr>
          <w:p>
            <w:r>
              <w:rPr>
                <w:rFonts w:ascii="Calibri" w:cs="Calibri" w:eastAsia="Calibri" w:hAnsi="Calibri"/>
                <w:b/>
                <w:bCs/>
                <w:color w:val="0C2340"/>
                <w:sz w:val="22"/>
                <w:szCs w:val="22"/>
              </w:rPr>
              <w:t xml:space="preserve">Human Oversight</w:t>
            </w:r>
          </w:p>
        </w:tc>
        <w:tc>
          <w:tcPr>
            <w:tcW w:type="dxa" w:w="6400"/>
            <w:tcBorders>
              <w:top w:val="single" w:color="CCCCBB" w:sz="1" w:space="0"/>
              <w:left w:val="single" w:color="CCCCBB" w:sz="1" w:space="0"/>
              <w:bottom w:val="single" w:color="CCCCBB" w:sz="1" w:space="0"/>
              <w:right w:val="single" w:color="CCCCBB" w:sz="1" w:space="0"/>
            </w:tcBorders>
            <w:shd w:fill="FFFFFF" w:val="clear"/>
            <w:tcMar>
              <w:top w:type="dxa" w:w="80"/>
              <w:left w:type="dxa" w:w="160"/>
              <w:bottom w:type="dxa" w:w="80"/>
              <w:right w:type="dxa" w:w="160"/>
            </w:tcMar>
          </w:tcPr>
          <w:p>
            <w:r>
              <w:rPr>
                <w:rFonts w:ascii="Calibri" w:cs="Calibri" w:eastAsia="Calibri" w:hAnsi="Calibri"/>
                <w:color w:val="1E1E2E"/>
                <w:sz w:val="22"/>
                <w:szCs w:val="22"/>
              </w:rPr>
              <w:t xml:space="preserve">Defined human review pathway for all decisions affecting individual welfare; accessible within 48 hours</w:t>
            </w:r>
          </w:p>
        </w:tc>
      </w:tr>
      <w:tr>
        <w:tc>
          <w:tcPr>
            <w:tcW w:type="dxa" w:w="2600"/>
            <w:tcBorders>
              <w:top w:val="single" w:color="CCCCBB" w:sz="1" w:space="0"/>
              <w:left w:val="single" w:color="CCCCBB" w:sz="1" w:space="0"/>
              <w:bottom w:val="single" w:color="CCCCBB" w:sz="1" w:space="0"/>
              <w:right w:val="single" w:color="CCCCBB" w:sz="1" w:space="0"/>
            </w:tcBorders>
            <w:shd w:fill="F5F2EA" w:val="clear"/>
            <w:tcMar>
              <w:top w:type="dxa" w:w="80"/>
              <w:left w:type="dxa" w:w="160"/>
              <w:bottom w:type="dxa" w:w="80"/>
              <w:right w:type="dxa" w:w="160"/>
            </w:tcMar>
          </w:tcPr>
          <w:p>
            <w:r>
              <w:rPr>
                <w:rFonts w:ascii="Calibri" w:cs="Calibri" w:eastAsia="Calibri" w:hAnsi="Calibri"/>
                <w:b/>
                <w:bCs/>
                <w:color w:val="0C2340"/>
                <w:sz w:val="22"/>
                <w:szCs w:val="22"/>
              </w:rPr>
              <w:t xml:space="preserve">Logging</w:t>
            </w:r>
          </w:p>
        </w:tc>
        <w:tc>
          <w:tcPr>
            <w:tcW w:type="dxa" w:w="6400"/>
            <w:tcBorders>
              <w:top w:val="single" w:color="CCCCBB" w:sz="1" w:space="0"/>
              <w:left w:val="single" w:color="CCCCBB" w:sz="1" w:space="0"/>
              <w:bottom w:val="single" w:color="CCCCBB" w:sz="1" w:space="0"/>
              <w:right w:val="single" w:color="CCCCBB" w:sz="1" w:space="0"/>
            </w:tcBorders>
            <w:shd w:fill="FAFAF5" w:val="clear"/>
            <w:tcMar>
              <w:top w:type="dxa" w:w="80"/>
              <w:left w:type="dxa" w:w="160"/>
              <w:bottom w:type="dxa" w:w="80"/>
              <w:right w:type="dxa" w:w="160"/>
            </w:tcMar>
          </w:tcPr>
          <w:p>
            <w:r>
              <w:rPr>
                <w:rFonts w:ascii="Calibri" w:cs="Calibri" w:eastAsia="Calibri" w:hAnsi="Calibri"/>
                <w:color w:val="1E1E2E"/>
                <w:sz w:val="22"/>
                <w:szCs w:val="22"/>
              </w:rPr>
              <w:t xml:space="preserve">Decision-level logging for post-deployment audit; minimum 7-year retention</w:t>
            </w:r>
          </w:p>
        </w:tc>
      </w:tr>
      <w:tr>
        <w:tc>
          <w:tcPr>
            <w:tcW w:type="dxa" w:w="2600"/>
            <w:tcBorders>
              <w:top w:val="single" w:color="CCCCBB" w:sz="1" w:space="0"/>
              <w:left w:val="single" w:color="CCCCBB" w:sz="1" w:space="0"/>
              <w:bottom w:val="single" w:color="CCCCBB" w:sz="1" w:space="0"/>
              <w:right w:val="single" w:color="CCCCBB" w:sz="1" w:space="0"/>
            </w:tcBorders>
            <w:shd w:fill="EDE8D8" w:val="clear"/>
            <w:tcMar>
              <w:top w:type="dxa" w:w="80"/>
              <w:left w:type="dxa" w:w="160"/>
              <w:bottom w:type="dxa" w:w="80"/>
              <w:right w:type="dxa" w:w="160"/>
            </w:tcMar>
          </w:tcPr>
          <w:p>
            <w:r>
              <w:rPr>
                <w:rFonts w:ascii="Calibri" w:cs="Calibri" w:eastAsia="Calibri" w:hAnsi="Calibri"/>
                <w:b/>
                <w:bCs/>
                <w:color w:val="0C2340"/>
                <w:sz w:val="22"/>
                <w:szCs w:val="22"/>
              </w:rPr>
              <w:t xml:space="preserve">Bias Monitoring</w:t>
            </w:r>
          </w:p>
        </w:tc>
        <w:tc>
          <w:tcPr>
            <w:tcW w:type="dxa" w:w="6400"/>
            <w:tcBorders>
              <w:top w:val="single" w:color="CCCCBB" w:sz="1" w:space="0"/>
              <w:left w:val="single" w:color="CCCCBB" w:sz="1" w:space="0"/>
              <w:bottom w:val="single" w:color="CCCCBB" w:sz="1" w:space="0"/>
              <w:right w:val="single" w:color="CCCCBB" w:sz="1" w:space="0"/>
            </w:tcBorders>
            <w:shd w:fill="FFFFFF" w:val="clear"/>
            <w:tcMar>
              <w:top w:type="dxa" w:w="80"/>
              <w:left w:type="dxa" w:w="160"/>
              <w:bottom w:type="dxa" w:w="80"/>
              <w:right w:type="dxa" w:w="160"/>
            </w:tcMar>
          </w:tcPr>
          <w:p>
            <w:r>
              <w:rPr>
                <w:rFonts w:ascii="Calibri" w:cs="Calibri" w:eastAsia="Calibri" w:hAnsi="Calibri"/>
                <w:color w:val="1E1E2E"/>
                <w:sz w:val="22"/>
                <w:szCs w:val="22"/>
              </w:rPr>
              <w:t xml:space="preserve">Ongoing monitoring with defined fairness metrics; automatic escalation on threshold breach</w:t>
            </w:r>
          </w:p>
        </w:tc>
      </w:tr>
      <w:tr>
        <w:tc>
          <w:tcPr>
            <w:tcW w:type="dxa" w:w="2600"/>
            <w:tcBorders>
              <w:top w:val="single" w:color="CCCCBB" w:sz="1" w:space="0"/>
              <w:left w:val="single" w:color="CCCCBB" w:sz="1" w:space="0"/>
              <w:bottom w:val="single" w:color="CCCCBB" w:sz="1" w:space="0"/>
              <w:right w:val="single" w:color="CCCCBB" w:sz="1" w:space="0"/>
            </w:tcBorders>
            <w:shd w:fill="F5F2EA" w:val="clear"/>
            <w:tcMar>
              <w:top w:type="dxa" w:w="80"/>
              <w:left w:type="dxa" w:w="160"/>
              <w:bottom w:type="dxa" w:w="80"/>
              <w:right w:type="dxa" w:w="160"/>
            </w:tcMar>
          </w:tcPr>
          <w:p>
            <w:r>
              <w:rPr>
                <w:rFonts w:ascii="Calibri" w:cs="Calibri" w:eastAsia="Calibri" w:hAnsi="Calibri"/>
                <w:b/>
                <w:bCs/>
                <w:color w:val="0C2340"/>
                <w:sz w:val="22"/>
                <w:szCs w:val="22"/>
              </w:rPr>
              <w:t xml:space="preserve">Annual Ethics Audit</w:t>
            </w:r>
          </w:p>
        </w:tc>
        <w:tc>
          <w:tcPr>
            <w:tcW w:type="dxa" w:w="6400"/>
            <w:tcBorders>
              <w:top w:val="single" w:color="CCCCBB" w:sz="1" w:space="0"/>
              <w:left w:val="single" w:color="CCCCBB" w:sz="1" w:space="0"/>
              <w:bottom w:val="single" w:color="CCCCBB" w:sz="1" w:space="0"/>
              <w:right w:val="single" w:color="CCCCBB" w:sz="1" w:space="0"/>
            </w:tcBorders>
            <w:shd w:fill="FAFAF5" w:val="clear"/>
            <w:tcMar>
              <w:top w:type="dxa" w:w="80"/>
              <w:left w:type="dxa" w:w="160"/>
              <w:bottom w:type="dxa" w:w="80"/>
              <w:right w:type="dxa" w:w="160"/>
            </w:tcMar>
          </w:tcPr>
          <w:p>
            <w:r>
              <w:rPr>
                <w:rFonts w:ascii="Calibri" w:cs="Calibri" w:eastAsia="Calibri" w:hAnsi="Calibri"/>
                <w:color w:val="1E1E2E"/>
                <w:sz w:val="22"/>
                <w:szCs w:val="22"/>
              </w:rPr>
              <w:t xml:space="preserve">Independent external audit; results shared with COB and relevant government partners</w:t>
            </w:r>
          </w:p>
        </w:tc>
      </w:tr>
      <w:tr>
        <w:tc>
          <w:tcPr>
            <w:tcW w:type="dxa" w:w="2600"/>
            <w:tcBorders>
              <w:top w:val="single" w:color="CCCCBB" w:sz="1" w:space="0"/>
              <w:left w:val="single" w:color="CCCCBB" w:sz="1" w:space="0"/>
              <w:bottom w:val="single" w:color="CCCCBB" w:sz="1" w:space="0"/>
              <w:right w:val="single" w:color="CCCCBB" w:sz="1" w:space="0"/>
            </w:tcBorders>
            <w:shd w:fill="EDE8D8" w:val="clear"/>
            <w:tcMar>
              <w:top w:type="dxa" w:w="80"/>
              <w:left w:type="dxa" w:w="160"/>
              <w:bottom w:type="dxa" w:w="80"/>
              <w:right w:type="dxa" w:w="160"/>
            </w:tcMar>
          </w:tcPr>
          <w:p>
            <w:r>
              <w:rPr>
                <w:rFonts w:ascii="Calibri" w:cs="Calibri" w:eastAsia="Calibri" w:hAnsi="Calibri"/>
                <w:b/>
                <w:bCs/>
                <w:color w:val="0C2340"/>
                <w:sz w:val="22"/>
                <w:szCs w:val="22"/>
              </w:rPr>
              <w:t xml:space="preserve">Incident Response</w:t>
            </w:r>
          </w:p>
        </w:tc>
        <w:tc>
          <w:tcPr>
            <w:tcW w:type="dxa" w:w="6400"/>
            <w:tcBorders>
              <w:top w:val="single" w:color="CCCCBB" w:sz="1" w:space="0"/>
              <w:left w:val="single" w:color="CCCCBB" w:sz="1" w:space="0"/>
              <w:bottom w:val="single" w:color="CCCCBB" w:sz="1" w:space="0"/>
              <w:right w:val="single" w:color="CCCCBB" w:sz="1" w:space="0"/>
            </w:tcBorders>
            <w:shd w:fill="FFFFFF" w:val="clear"/>
            <w:tcMar>
              <w:top w:type="dxa" w:w="80"/>
              <w:left w:type="dxa" w:w="160"/>
              <w:bottom w:type="dxa" w:w="80"/>
              <w:right w:type="dxa" w:w="160"/>
            </w:tcMar>
          </w:tcPr>
          <w:p>
            <w:r>
              <w:rPr>
                <w:rFonts w:ascii="Calibri" w:cs="Calibri" w:eastAsia="Calibri" w:hAnsi="Calibri"/>
                <w:color w:val="1E1E2E"/>
                <w:sz w:val="22"/>
                <w:szCs w:val="22"/>
              </w:rPr>
              <w:t xml:space="preserve">COB reporting within 24 hours of significant failure; regulatory reporting per jurisdictional requirements</w:t>
            </w:r>
          </w:p>
        </w:tc>
      </w:tr>
    </w:tbl>
    <w:p>
      <w:pPr>
        <w:spacing w:before="280" w:after="80"/>
      </w:pPr>
      <w:r>
        <w:rPr>
          <w:rFonts w:ascii="Georgia" w:cs="Georgia" w:eastAsia="Georgia" w:hAnsi="Georgia"/>
          <w:b/>
          <w:bCs/>
          <w:color w:val="0C2340"/>
          <w:sz w:val="24"/>
          <w:szCs w:val="24"/>
        </w:rPr>
        <w:t xml:space="preserve">J.3 AI in S.E.T.H.S — Specific Provisions</w:t>
      </w:r>
    </w:p>
    <w:p>
      <w:pPr>
        <w:spacing w:before="80" w:after="80"/>
        <w:jc w:val="both"/>
      </w:pPr>
      <w:r>
        <w:rPr>
          <w:rFonts w:ascii="Calibri" w:cs="Calibri" w:eastAsia="Calibri" w:hAnsi="Calibri"/>
          <w:color w:val="1E1E2E"/>
          <w:sz w:val="22"/>
          <w:szCs w:val="22"/>
        </w:rPr>
        <w:t xml:space="preserve">All AI systems used in S.E.T.H.S behavioral assessment are High-Risk AI Systems under this Charter. Additional requirements: participant consent before any AI-assisted assessment; plain-language explanation of AI logic available on request; human counselor review required before any AI recommendation affects placement or program status; participant right to human-only assessment on request; assessment data cannot be shared with any third party without explicit documented consent.</w:t>
      </w:r>
    </w:p>
    <w:p>
      <w:pPr>
        <w:spacing w:before="280" w:after="80"/>
      </w:pPr>
      <w:r>
        <w:rPr>
          <w:rFonts w:ascii="Georgia" w:cs="Georgia" w:eastAsia="Georgia" w:hAnsi="Georgia"/>
          <w:b/>
          <w:bCs/>
          <w:color w:val="0C2340"/>
          <w:sz w:val="24"/>
          <w:szCs w:val="24"/>
        </w:rPr>
        <w:t xml:space="preserve">J.4 AI in UDOC — Specific Provisions</w:t>
      </w:r>
    </w:p>
    <w:p>
      <w:pPr>
        <w:spacing w:before="80" w:after="80"/>
        <w:jc w:val="both"/>
      </w:pPr>
      <w:r>
        <w:rPr>
          <w:rFonts w:ascii="Calibri" w:cs="Calibri" w:eastAsia="Calibri" w:hAnsi="Calibri"/>
          <w:color w:val="1E1E2E"/>
          <w:sz w:val="22"/>
          <w:szCs w:val="22"/>
        </w:rPr>
        <w:t xml:space="preserve">UDOC AI systems must comply with all client-specific regulatory requirements in addition to this Charter. Where client requirements are more stringent, client requirements prevail. UDOC must disclose to all clients which AI systems are in use, their risk classifications, and their human review pathways. UDOC cannot deploy AI systems in a client environment that the client has not explicitly approved in writing.</w:t>
      </w:r>
    </w:p>
    <w:p>
      <w:r>
        <w:br w:type="page"/>
      </w:r>
    </w:p>
    <w:p>
      <w:pPr>
        <w:pBdr>
          <w:bottom w:val="single" w:color="C9A84C" w:sz="8" w:space="4"/>
        </w:pBdr>
        <w:spacing w:before="440" w:after="120"/>
      </w:pPr>
      <w:r>
        <w:rPr>
          <w:rFonts w:ascii="Georgia" w:cs="Georgia" w:eastAsia="Georgia" w:hAnsi="Georgia"/>
          <w:b/>
          <w:bCs/>
          <w:color w:val="B8972A"/>
          <w:sz w:val="28"/>
          <w:szCs w:val="28"/>
        </w:rPr>
        <w:t xml:space="preserve">ANNEXURE K  </w:t>
      </w:r>
      <w:r>
        <w:rPr>
          <w:rFonts w:ascii="Georgia" w:cs="Georgia" w:eastAsia="Georgia" w:hAnsi="Georgia"/>
          <w:b/>
          <w:bCs/>
          <w:color w:val="0C2340"/>
          <w:sz w:val="28"/>
          <w:szCs w:val="28"/>
        </w:rPr>
        <w:t xml:space="preserve">The Twelve Constitutional Pillars — Full Text</w:t>
      </w:r>
    </w:p>
    <w:p>
      <w:pPr>
        <w:pBdr>
          <w:left w:val="single" w:color="B8972A" w:sz="14" w:space="1"/>
        </w:pBdr>
        <w:shd w:fill="FBF7EE" w:val="clear"/>
        <w:spacing w:before="200" w:after="200"/>
        <w:ind w:left="480" w:right="480"/>
        <w:jc w:val="both"/>
      </w:pPr>
      <w:r>
        <w:rPr>
          <w:rFonts w:ascii="Georgia" w:cs="Georgia" w:eastAsia="Georgia" w:hAnsi="Georgia"/>
          <w:i/>
          <w:iCs/>
          <w:color w:val="1E1E2E"/>
          <w:sz w:val="22"/>
          <w:szCs w:val="22"/>
        </w:rPr>
        <w:t xml:space="preserve">These Pillars are structural constraints, not aspirational statements. They govern every material operational decision. They cannot be overridden by executive authority, commercial pressure, or shareholder vote.</w:t>
      </w:r>
    </w:p>
    <w:p>
      <w:pPr>
        <w:spacing w:before="160" w:after="0"/>
      </w:pPr>
    </w:p>
    <w:p>
      <w:pPr>
        <w:pBdr>
          <w:left w:val="single" w:color="B8972A" w:sz="14" w:space="1"/>
        </w:pBdr>
        <w:shd w:fill="FBF7EE" w:val="clear"/>
        <w:spacing w:before="280" w:after="80"/>
        <w:ind w:left="320"/>
      </w:pPr>
      <w:r>
        <w:rPr>
          <w:rFonts w:ascii="Georgia" w:cs="Georgia" w:eastAsia="Georgia" w:hAnsi="Georgia"/>
          <w:b/>
          <w:bCs/>
          <w:color w:val="B8972A"/>
          <w:sz w:val="24"/>
          <w:szCs w:val="24"/>
        </w:rPr>
        <w:t xml:space="preserve">PILLAR I: </w:t>
      </w:r>
      <w:r>
        <w:rPr>
          <w:rFonts w:ascii="Georgia" w:cs="Georgia" w:eastAsia="Georgia" w:hAnsi="Georgia"/>
          <w:b/>
          <w:bCs/>
          <w:color w:val="0C2340"/>
          <w:sz w:val="24"/>
          <w:szCs w:val="24"/>
        </w:rPr>
        <w:t xml:space="preserve">Human Dignity as Baseline</w:t>
      </w:r>
    </w:p>
    <w:p>
      <w:pPr>
        <w:spacing w:before="60" w:after="180"/>
        <w:ind w:left="320"/>
        <w:jc w:val="both"/>
      </w:pPr>
      <w:r>
        <w:rPr>
          <w:rFonts w:ascii="Calibri" w:cs="Calibri" w:eastAsia="Calibri" w:hAnsi="Calibri"/>
          <w:color w:val="1E1E2E"/>
          <w:sz w:val="22"/>
          <w:szCs w:val="22"/>
        </w:rPr>
        <w:t xml:space="preserve">All operations, systems, programs, and commercial activities within G.O.D.S must preserve and actively elevate human dignity. Basic human needs — nutrition, shelter, healthcare, education, security, psychological safety — are not leverage points, withholding mechanisms, or conditions for participation. They must empower contribution, not create dependency. Failure to meet this standard in any operational context is a constitutional violation requiring immediate review and remediation by the COB.</w:t>
      </w:r>
    </w:p>
    <w:p>
      <w:pPr>
        <w:pBdr>
          <w:left w:val="single" w:color="B8972A" w:sz="14" w:space="1"/>
        </w:pBdr>
        <w:shd w:fill="FBF7EE" w:val="clear"/>
        <w:spacing w:before="280" w:after="80"/>
        <w:ind w:left="320"/>
      </w:pPr>
      <w:r>
        <w:rPr>
          <w:rFonts w:ascii="Georgia" w:cs="Georgia" w:eastAsia="Georgia" w:hAnsi="Georgia"/>
          <w:b/>
          <w:bCs/>
          <w:color w:val="B8972A"/>
          <w:sz w:val="24"/>
          <w:szCs w:val="24"/>
        </w:rPr>
        <w:t xml:space="preserve">PILLAR II: </w:t>
      </w:r>
      <w:r>
        <w:rPr>
          <w:rFonts w:ascii="Georgia" w:cs="Georgia" w:eastAsia="Georgia" w:hAnsi="Georgia"/>
          <w:b/>
          <w:bCs/>
          <w:color w:val="0C2340"/>
          <w:sz w:val="24"/>
          <w:szCs w:val="24"/>
        </w:rPr>
        <w:t xml:space="preserve">Contribution Over Extraction</w:t>
      </w:r>
    </w:p>
    <w:p>
      <w:pPr>
        <w:spacing w:before="60" w:after="180"/>
        <w:ind w:left="320"/>
        <w:jc w:val="both"/>
      </w:pPr>
      <w:r>
        <w:rPr>
          <w:rFonts w:ascii="Calibri" w:cs="Calibri" w:eastAsia="Calibri" w:hAnsi="Calibri"/>
          <w:color w:val="1E1E2E"/>
          <w:sz w:val="22"/>
          <w:szCs w:val="22"/>
        </w:rPr>
        <w:t xml:space="preserve">G.O.D.S systems reward meaningful contribution to civilization over speculative manipulation. Value creation takes precedence over value extraction. Revenue models must generate returns without requiring the degradation of human dignity, the extraction of sovereign resources without commensurate return, or the concentration of systemic risk in populations unable to absorb it. G.O.D.S does not enter a territory to extract without returning infrastructure of commensurate or greater value.</w:t>
      </w:r>
    </w:p>
    <w:p>
      <w:pPr>
        <w:pBdr>
          <w:left w:val="single" w:color="B8972A" w:sz="14" w:space="1"/>
        </w:pBdr>
        <w:shd w:fill="FBF7EE" w:val="clear"/>
        <w:spacing w:before="280" w:after="80"/>
        <w:ind w:left="320"/>
      </w:pPr>
      <w:r>
        <w:rPr>
          <w:rFonts w:ascii="Georgia" w:cs="Georgia" w:eastAsia="Georgia" w:hAnsi="Georgia"/>
          <w:b/>
          <w:bCs/>
          <w:color w:val="B8972A"/>
          <w:sz w:val="24"/>
          <w:szCs w:val="24"/>
        </w:rPr>
        <w:t xml:space="preserve">PILLAR III: </w:t>
      </w:r>
      <w:r>
        <w:rPr>
          <w:rFonts w:ascii="Georgia" w:cs="Georgia" w:eastAsia="Georgia" w:hAnsi="Georgia"/>
          <w:b/>
          <w:bCs/>
          <w:color w:val="0C2340"/>
          <w:sz w:val="24"/>
          <w:szCs w:val="24"/>
        </w:rPr>
        <w:t xml:space="preserve">Sovereign Respect</w:t>
      </w:r>
    </w:p>
    <w:p>
      <w:pPr>
        <w:spacing w:before="60" w:after="180"/>
        <w:ind w:left="320"/>
        <w:jc w:val="both"/>
      </w:pPr>
      <w:r>
        <w:rPr>
          <w:rFonts w:ascii="Calibri" w:cs="Calibri" w:eastAsia="Calibri" w:hAnsi="Calibri"/>
          <w:color w:val="1E1E2E"/>
          <w:sz w:val="22"/>
          <w:szCs w:val="22"/>
        </w:rPr>
        <w:t xml:space="preserve">G.O.D.S operates in partnership with sovereign nations. Alignment is voluntary — never coercive. No division may operate in a manner that undermines legitimate sovereign governance authority. All government partnerships include documented data sovereignty provisions, majority government equity control in all SPV structures, and defined exit provisions that ensure full operational continuity without G.O.D.S dependency.</w:t>
      </w:r>
    </w:p>
    <w:p>
      <w:pPr>
        <w:pBdr>
          <w:left w:val="single" w:color="B8972A" w:sz="14" w:space="1"/>
        </w:pBdr>
        <w:shd w:fill="FBF7EE" w:val="clear"/>
        <w:spacing w:before="280" w:after="80"/>
        <w:ind w:left="320"/>
      </w:pPr>
      <w:r>
        <w:rPr>
          <w:rFonts w:ascii="Georgia" w:cs="Georgia" w:eastAsia="Georgia" w:hAnsi="Georgia"/>
          <w:b/>
          <w:bCs/>
          <w:color w:val="B8972A"/>
          <w:sz w:val="24"/>
          <w:szCs w:val="24"/>
        </w:rPr>
        <w:t xml:space="preserve">PILLAR IV: </w:t>
      </w:r>
      <w:r>
        <w:rPr>
          <w:rFonts w:ascii="Georgia" w:cs="Georgia" w:eastAsia="Georgia" w:hAnsi="Georgia"/>
          <w:b/>
          <w:bCs/>
          <w:color w:val="0C2340"/>
          <w:sz w:val="24"/>
          <w:szCs w:val="24"/>
        </w:rPr>
        <w:t xml:space="preserve">Ethical Profitability</w:t>
      </w:r>
    </w:p>
    <w:p>
      <w:pPr>
        <w:spacing w:before="60" w:after="180"/>
        <w:ind w:left="320"/>
        <w:jc w:val="both"/>
      </w:pPr>
      <w:r>
        <w:rPr>
          <w:rFonts w:ascii="Calibri" w:cs="Calibri" w:eastAsia="Calibri" w:hAnsi="Calibri"/>
          <w:color w:val="1E1E2E"/>
          <w:sz w:val="22"/>
          <w:szCs w:val="22"/>
        </w:rPr>
        <w:t xml:space="preserve">Profit is required for institutional sustainability and is actively pursued. It shall never be pursued through destabilization or engineered scarcity. All revenue streams must pass a sustainability test: can this revenue be maintained without requiring the degradation of human dignity, manipulation of information systems, or concentration of systemic risk in vulnerable populations? Revenue streams that fail this test are prohibited regardless of financial scale.</w:t>
      </w:r>
    </w:p>
    <w:p>
      <w:pPr>
        <w:pBdr>
          <w:left w:val="single" w:color="B8972A" w:sz="14" w:space="1"/>
        </w:pBdr>
        <w:shd w:fill="FBF7EE" w:val="clear"/>
        <w:spacing w:before="280" w:after="80"/>
        <w:ind w:left="320"/>
      </w:pPr>
      <w:r>
        <w:rPr>
          <w:rFonts w:ascii="Georgia" w:cs="Georgia" w:eastAsia="Georgia" w:hAnsi="Georgia"/>
          <w:b/>
          <w:bCs/>
          <w:color w:val="B8972A"/>
          <w:sz w:val="24"/>
          <w:szCs w:val="24"/>
        </w:rPr>
        <w:t xml:space="preserve">PILLAR V: </w:t>
      </w:r>
      <w:r>
        <w:rPr>
          <w:rFonts w:ascii="Georgia" w:cs="Georgia" w:eastAsia="Georgia" w:hAnsi="Georgia"/>
          <w:b/>
          <w:bCs/>
          <w:color w:val="0C2340"/>
          <w:sz w:val="24"/>
          <w:szCs w:val="24"/>
        </w:rPr>
        <w:t xml:space="preserve">Governance Before Scale</w:t>
      </w:r>
    </w:p>
    <w:p>
      <w:pPr>
        <w:spacing w:before="60" w:after="180"/>
        <w:ind w:left="320"/>
        <w:jc w:val="both"/>
      </w:pPr>
      <w:r>
        <w:rPr>
          <w:rFonts w:ascii="Calibri" w:cs="Calibri" w:eastAsia="Calibri" w:hAnsi="Calibri"/>
          <w:color w:val="1E1E2E"/>
          <w:sz w:val="22"/>
          <w:szCs w:val="22"/>
        </w:rPr>
        <w:t xml:space="preserve">No expansion shall occur without governance capacity to manage it responsibly. Structure precedes scale. Before any new market, division, partnership, or acquisition is approved, the COB must confirm that governance, compliance, and ethical architecture are adequate to manage the proposed expansion. Growth velocity is limited by governance architecture capacity. This creates commercial friction. That friction is structural protection.</w:t>
      </w:r>
    </w:p>
    <w:p>
      <w:pPr>
        <w:pBdr>
          <w:left w:val="single" w:color="B8972A" w:sz="14" w:space="1"/>
        </w:pBdr>
        <w:shd w:fill="FBF7EE" w:val="clear"/>
        <w:spacing w:before="280" w:after="80"/>
        <w:ind w:left="320"/>
      </w:pPr>
      <w:r>
        <w:rPr>
          <w:rFonts w:ascii="Georgia" w:cs="Georgia" w:eastAsia="Georgia" w:hAnsi="Georgia"/>
          <w:b/>
          <w:bCs/>
          <w:color w:val="B8972A"/>
          <w:sz w:val="24"/>
          <w:szCs w:val="24"/>
        </w:rPr>
        <w:t xml:space="preserve">PILLAR VI: </w:t>
      </w:r>
      <w:r>
        <w:rPr>
          <w:rFonts w:ascii="Georgia" w:cs="Georgia" w:eastAsia="Georgia" w:hAnsi="Georgia"/>
          <w:b/>
          <w:bCs/>
          <w:color w:val="0C2340"/>
          <w:sz w:val="24"/>
          <w:szCs w:val="24"/>
        </w:rPr>
        <w:t xml:space="preserve">Transparency and Accountability</w:t>
      </w:r>
    </w:p>
    <w:p>
      <w:pPr>
        <w:spacing w:before="60" w:after="180"/>
        <w:ind w:left="320"/>
        <w:jc w:val="both"/>
      </w:pPr>
      <w:r>
        <w:rPr>
          <w:rFonts w:ascii="Calibri" w:cs="Calibri" w:eastAsia="Calibri" w:hAnsi="Calibri"/>
          <w:color w:val="1E1E2E"/>
          <w:sz w:val="22"/>
          <w:szCs w:val="22"/>
        </w:rPr>
        <w:t xml:space="preserve">Financial operations, governance decisions, and technology systems within G.O.D.S must remain independently auditable. G.O.D.S maintains independently audited financial reporting at all levels of the holding structure. Outcome data is published through accessible dashboards. The COB has permanent audit rights across all divisions. Interference with an audit is a constitutional violation triggering automatic founder review proceedings.</w:t>
      </w:r>
    </w:p>
    <w:p>
      <w:pPr>
        <w:pBdr>
          <w:left w:val="single" w:color="B8972A" w:sz="14" w:space="1"/>
        </w:pBdr>
        <w:shd w:fill="FBF7EE" w:val="clear"/>
        <w:spacing w:before="280" w:after="80"/>
        <w:ind w:left="320"/>
      </w:pPr>
      <w:r>
        <w:rPr>
          <w:rFonts w:ascii="Georgia" w:cs="Georgia" w:eastAsia="Georgia" w:hAnsi="Georgia"/>
          <w:b/>
          <w:bCs/>
          <w:color w:val="B8972A"/>
          <w:sz w:val="24"/>
          <w:szCs w:val="24"/>
        </w:rPr>
        <w:t xml:space="preserve">PILLAR VII: </w:t>
      </w:r>
      <w:r>
        <w:rPr>
          <w:rFonts w:ascii="Georgia" w:cs="Georgia" w:eastAsia="Georgia" w:hAnsi="Georgia"/>
          <w:b/>
          <w:bCs/>
          <w:color w:val="0C2340"/>
          <w:sz w:val="24"/>
          <w:szCs w:val="24"/>
        </w:rPr>
        <w:t xml:space="preserve">Founder Constraint</w:t>
      </w:r>
    </w:p>
    <w:p>
      <w:pPr>
        <w:spacing w:before="60" w:after="180"/>
        <w:ind w:left="320"/>
        <w:jc w:val="both"/>
      </w:pPr>
      <w:r>
        <w:rPr>
          <w:rFonts w:ascii="Calibri" w:cs="Calibri" w:eastAsia="Calibri" w:hAnsi="Calibri"/>
          <w:color w:val="1E1E2E"/>
          <w:sz w:val="22"/>
          <w:szCs w:val="22"/>
        </w:rPr>
        <w:t xml:space="preserve">The Founder's authority is constitutionally limited. No individual shall supersede the institution. The Founder operates with specific, documented, constitutionally bounded authority — limited by the Twelve Pillars, by COB oversight, and by explicitly documented removal mechanisms. The Founder may not prevent legitimate audit activity; may not enter transactions that benefit personal interests at institutional cost; and may not override decisions validated by the oversight process. The institution must be designed to survive any individual — including the person who built it.</w:t>
      </w:r>
    </w:p>
    <w:p>
      <w:pPr>
        <w:pBdr>
          <w:left w:val="single" w:color="B8972A" w:sz="14" w:space="1"/>
        </w:pBdr>
        <w:shd w:fill="FBF7EE" w:val="clear"/>
        <w:spacing w:before="280" w:after="80"/>
        <w:ind w:left="320"/>
      </w:pPr>
      <w:r>
        <w:rPr>
          <w:rFonts w:ascii="Georgia" w:cs="Georgia" w:eastAsia="Georgia" w:hAnsi="Georgia"/>
          <w:b/>
          <w:bCs/>
          <w:color w:val="B8972A"/>
          <w:sz w:val="24"/>
          <w:szCs w:val="24"/>
        </w:rPr>
        <w:t xml:space="preserve">PILLAR VIII: </w:t>
      </w:r>
      <w:r>
        <w:rPr>
          <w:rFonts w:ascii="Georgia" w:cs="Georgia" w:eastAsia="Georgia" w:hAnsi="Georgia"/>
          <w:b/>
          <w:bCs/>
          <w:color w:val="0C2340"/>
          <w:sz w:val="24"/>
          <w:szCs w:val="24"/>
        </w:rPr>
        <w:t xml:space="preserve">Technological Human Primacy</w:t>
      </w:r>
    </w:p>
    <w:p>
      <w:pPr>
        <w:spacing w:before="60" w:after="180"/>
        <w:ind w:left="320"/>
        <w:jc w:val="both"/>
      </w:pPr>
      <w:r>
        <w:rPr>
          <w:rFonts w:ascii="Calibri" w:cs="Calibri" w:eastAsia="Calibri" w:hAnsi="Calibri"/>
          <w:color w:val="1E1E2E"/>
          <w:sz w:val="22"/>
          <w:szCs w:val="22"/>
        </w:rPr>
        <w:t xml:space="preserve">Technology, including artificial intelligence, must serve human wellbeing first. No AI system deployed within G.O.D.S may make final decisions affecting individual human welfare without a defined human review pathway. AI may triage, recommend, assess, and model. It may not determine without oversight. No G.O.D.S division may deploy surveillance or predictive behavioral technology without explicit participant consent and independent ethical oversight.</w:t>
      </w:r>
    </w:p>
    <w:p>
      <w:pPr>
        <w:pBdr>
          <w:left w:val="single" w:color="B8972A" w:sz="14" w:space="1"/>
        </w:pBdr>
        <w:shd w:fill="FBF7EE" w:val="clear"/>
        <w:spacing w:before="280" w:after="80"/>
        <w:ind w:left="320"/>
      </w:pPr>
      <w:r>
        <w:rPr>
          <w:rFonts w:ascii="Georgia" w:cs="Georgia" w:eastAsia="Georgia" w:hAnsi="Georgia"/>
          <w:b/>
          <w:bCs/>
          <w:color w:val="B8972A"/>
          <w:sz w:val="24"/>
          <w:szCs w:val="24"/>
        </w:rPr>
        <w:t xml:space="preserve">PILLAR IX: </w:t>
      </w:r>
      <w:r>
        <w:rPr>
          <w:rFonts w:ascii="Georgia" w:cs="Georgia" w:eastAsia="Georgia" w:hAnsi="Georgia"/>
          <w:b/>
          <w:bCs/>
          <w:color w:val="0C2340"/>
          <w:sz w:val="24"/>
          <w:szCs w:val="24"/>
        </w:rPr>
        <w:t xml:space="preserve">Reintegration Over Exclusion</w:t>
      </w:r>
    </w:p>
    <w:p>
      <w:pPr>
        <w:spacing w:before="60" w:after="180"/>
        <w:ind w:left="320"/>
        <w:jc w:val="both"/>
      </w:pPr>
      <w:r>
        <w:rPr>
          <w:rFonts w:ascii="Calibri" w:cs="Calibri" w:eastAsia="Calibri" w:hAnsi="Calibri"/>
          <w:color w:val="1E1E2E"/>
          <w:sz w:val="22"/>
          <w:szCs w:val="22"/>
        </w:rPr>
        <w:t xml:space="preserve">Failure does not permanently disqualify participation. Structured pathways for recovery must remain operational. The permanent exclusion of individuals who have failed — through addiction, criminal record, financial collapse, or behavioral history — from economic participation is both a moral failure and an economic inefficiency of enormous scale. No G.O.D.S program may categorically exclude participation based on criminal history alone. All exclusion criteria must be risk-based, evidence-based, and subject to regular review.</w:t>
      </w:r>
    </w:p>
    <w:p>
      <w:pPr>
        <w:pBdr>
          <w:left w:val="single" w:color="B8972A" w:sz="14" w:space="1"/>
        </w:pBdr>
        <w:shd w:fill="FBF7EE" w:val="clear"/>
        <w:spacing w:before="280" w:after="80"/>
        <w:ind w:left="320"/>
      </w:pPr>
      <w:r>
        <w:rPr>
          <w:rFonts w:ascii="Georgia" w:cs="Georgia" w:eastAsia="Georgia" w:hAnsi="Georgia"/>
          <w:b/>
          <w:bCs/>
          <w:color w:val="B8972A"/>
          <w:sz w:val="24"/>
          <w:szCs w:val="24"/>
        </w:rPr>
        <w:t xml:space="preserve">PILLAR X: </w:t>
      </w:r>
      <w:r>
        <w:rPr>
          <w:rFonts w:ascii="Georgia" w:cs="Georgia" w:eastAsia="Georgia" w:hAnsi="Georgia"/>
          <w:b/>
          <w:bCs/>
          <w:color w:val="0C2340"/>
          <w:sz w:val="24"/>
          <w:szCs w:val="24"/>
        </w:rPr>
        <w:t xml:space="preserve">Long-Horizon Discipline</w:t>
      </w:r>
    </w:p>
    <w:p>
      <w:pPr>
        <w:spacing w:before="60" w:after="180"/>
        <w:ind w:left="320"/>
        <w:jc w:val="both"/>
      </w:pPr>
      <w:r>
        <w:rPr>
          <w:rFonts w:ascii="Calibri" w:cs="Calibri" w:eastAsia="Calibri" w:hAnsi="Calibri"/>
          <w:color w:val="1E1E2E"/>
          <w:sz w:val="22"/>
          <w:szCs w:val="22"/>
        </w:rPr>
        <w:t xml:space="preserve">Decisions are evaluated for generational impact, not only quarterly gain. Short-term acceleration must not compromise long-term stability. Leadership compensation is weighted toward long-term institutional performance. Capital allocation decisions are evaluated across 5-year, 25-year, and 100-year planning horizons simultaneously. When short-term commercial pressures conflict with long-horizon institutional integrity, long-horizon integrity prevails.</w:t>
      </w:r>
    </w:p>
    <w:p>
      <w:pPr>
        <w:pBdr>
          <w:left w:val="single" w:color="B8972A" w:sz="14" w:space="1"/>
        </w:pBdr>
        <w:shd w:fill="FBF7EE" w:val="clear"/>
        <w:spacing w:before="280" w:after="80"/>
        <w:ind w:left="320"/>
      </w:pPr>
      <w:r>
        <w:rPr>
          <w:rFonts w:ascii="Georgia" w:cs="Georgia" w:eastAsia="Georgia" w:hAnsi="Georgia"/>
          <w:b/>
          <w:bCs/>
          <w:color w:val="B8972A"/>
          <w:sz w:val="24"/>
          <w:szCs w:val="24"/>
        </w:rPr>
        <w:t xml:space="preserve">PILLAR XI: </w:t>
      </w:r>
      <w:r>
        <w:rPr>
          <w:rFonts w:ascii="Georgia" w:cs="Georgia" w:eastAsia="Georgia" w:hAnsi="Georgia"/>
          <w:b/>
          <w:bCs/>
          <w:color w:val="0C2340"/>
          <w:sz w:val="24"/>
          <w:szCs w:val="24"/>
        </w:rPr>
        <w:t xml:space="preserve">Anti-Corruption Architecture</w:t>
      </w:r>
    </w:p>
    <w:p>
      <w:pPr>
        <w:spacing w:before="60" w:after="180"/>
        <w:ind w:left="320"/>
        <w:jc w:val="both"/>
      </w:pPr>
      <w:r>
        <w:rPr>
          <w:rFonts w:ascii="Calibri" w:cs="Calibri" w:eastAsia="Calibri" w:hAnsi="Calibri"/>
          <w:color w:val="1E1E2E"/>
          <w:sz w:val="22"/>
          <w:szCs w:val="22"/>
        </w:rPr>
        <w:t xml:space="preserve">Structural safeguards prevent capture by political, financial, or familial interests. These mechanisms are embedded: separation of executive authority from capital custody; mandatory external annual audit; prohibition of related-party transactions without independent board approval; whistleblower protection with anonymous reporting channels; automatic review triggers for transactions involving individuals with personal relationships to executive leadership; mandatory cooling-off periods for departing executives with commercial conflicts.</w:t>
      </w:r>
    </w:p>
    <w:p>
      <w:pPr>
        <w:pBdr>
          <w:left w:val="single" w:color="B8972A" w:sz="14" w:space="1"/>
        </w:pBdr>
        <w:shd w:fill="FBF7EE" w:val="clear"/>
        <w:spacing w:before="280" w:after="80"/>
        <w:ind w:left="320"/>
      </w:pPr>
      <w:r>
        <w:rPr>
          <w:rFonts w:ascii="Georgia" w:cs="Georgia" w:eastAsia="Georgia" w:hAnsi="Georgia"/>
          <w:b/>
          <w:bCs/>
          <w:color w:val="B8972A"/>
          <w:sz w:val="24"/>
          <w:szCs w:val="24"/>
        </w:rPr>
        <w:t xml:space="preserve">PILLAR XII: </w:t>
      </w:r>
      <w:r>
        <w:rPr>
          <w:rFonts w:ascii="Georgia" w:cs="Georgia" w:eastAsia="Georgia" w:hAnsi="Georgia"/>
          <w:b/>
          <w:bCs/>
          <w:color w:val="0C2340"/>
          <w:sz w:val="24"/>
          <w:szCs w:val="24"/>
        </w:rPr>
        <w:t xml:space="preserve">Evolution Through Evidence</w:t>
      </w:r>
    </w:p>
    <w:p>
      <w:pPr>
        <w:spacing w:before="60" w:after="180"/>
        <w:ind w:left="320"/>
        <w:jc w:val="both"/>
      </w:pPr>
      <w:r>
        <w:rPr>
          <w:rFonts w:ascii="Calibri" w:cs="Calibri" w:eastAsia="Calibri" w:hAnsi="Calibri"/>
          <w:color w:val="1E1E2E"/>
          <w:sz w:val="22"/>
          <w:szCs w:val="22"/>
        </w:rPr>
        <w:t xml:space="preserve">G.O.D.S adapts based on measurable outcomes. Ideology shall not override demonstrable reality. G.O.D.S maintains formal evidence review cycles for all major programs. If evidence demonstrates that a program is not producing its intended outcomes, that program is redesigned — regardless of how central it is to the founding vision or how much institutional investment has been made. Independent external evaluations are commissioned at defined intervals and published. Where they reveal underperformance, remediation plans are required within 90 days.</w:t>
      </w:r>
    </w:p>
    <w:p>
      <w:pPr>
        <w:spacing w:before="200" w:after="0"/>
      </w:pPr>
    </w:p>
    <w:p>
      <w:pPr>
        <w:pBdr>
          <w:bottom w:val="single" w:color="C9A84C" w:sz="4" w:space="1"/>
        </w:pBdr>
        <w:spacing w:before="200" w:after="200"/>
      </w:pPr>
    </w:p>
    <w:p>
      <w:pPr>
        <w:spacing w:before="120" w:after="80"/>
        <w:jc w:val="center"/>
      </w:pPr>
      <w:r>
        <w:rPr>
          <w:rFonts w:ascii="Georgia" w:cs="Georgia" w:eastAsia="Georgia" w:hAnsi="Georgia"/>
          <w:b/>
          <w:bCs/>
          <w:color w:val="0C2340"/>
          <w:sz w:val="26"/>
          <w:szCs w:val="26"/>
        </w:rPr>
        <w:t xml:space="preserve">G.O.D.S — Good Orderly Directional Systems</w:t>
      </w:r>
    </w:p>
    <w:p>
      <w:pPr>
        <w:spacing w:before="0" w:after="80"/>
        <w:jc w:val="center"/>
      </w:pPr>
      <w:r>
        <w:rPr>
          <w:rFonts w:ascii="Calibri" w:cs="Calibri" w:eastAsia="Calibri" w:hAnsi="Calibri"/>
          <w:i/>
          <w:iCs/>
          <w:color w:val="5A5A72"/>
          <w:sz w:val="20"/>
          <w:szCs w:val="20"/>
        </w:rPr>
        <w:t xml:space="preserve">Global Systems Company  |  Sashin J. Singh, Founder</w:t>
      </w:r>
    </w:p>
    <w:p>
      <w:pPr>
        <w:spacing w:before="0" w:after="0"/>
        <w:jc w:val="center"/>
      </w:pPr>
      <w:r>
        <w:rPr>
          <w:rFonts w:ascii="Calibri" w:cs="Calibri" w:eastAsia="Calibri" w:hAnsi="Calibri"/>
          <w:color w:val="5A5A72"/>
          <w:sz w:val="18"/>
          <w:szCs w:val="18"/>
        </w:rPr>
        <w:t xml:space="preserve">© G.O.D.S Holdings (Pty) Ltd  |  Johannesburg, South Africa  |  2026</w:t>
      </w:r>
    </w:p>
    <w:sectPr>
      <w:headerReference w:type="default" r:id="rId6"/>
      <w:footerReference w:type="default" r:id="rId7"/>
      <w:pgSz w:w="12240" w:h="15840" w:orient="portrait"/>
      <w:pgMar w:top="1260" w:right="1260" w:bottom="126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A84C" w:sz="4" w:space="1"/>
      </w:pBdr>
      <w:spacing w:before="80" w:after="0"/>
      <w:jc w:val="center"/>
    </w:pPr>
    <w:r>
      <w:rPr>
        <w:rFonts w:ascii="Calibri" w:cs="Calibri" w:eastAsia="Calibri" w:hAnsi="Calibri"/>
        <w:color w:val="5A5A72"/>
        <w:sz w:val="16"/>
        <w:szCs w:val="16"/>
      </w:rPr>
      <w:t xml:space="preserve">Page </w:t>
    </w:r>
    <w:r>
      <w:rPr>
        <w:rFonts w:ascii="Calibri" w:cs="Calibri" w:eastAsia="Calibri" w:hAnsi="Calibri"/>
        <w:color w:val="5A5A72"/>
        <w:sz w:val="16"/>
        <w:szCs w:val="16"/>
      </w:rPr>
      <w:fldChar w:fldCharType="begin"/>
      <w:instrText xml:space="preserve">PAGE</w:instrText>
      <w:fldChar w:fldCharType="separate"/>
      <w:fldChar w:fldCharType="end"/>
    </w:r>
    <w:r>
      <w:rPr>
        <w:rFonts w:ascii="Calibri" w:cs="Calibri" w:eastAsia="Calibri" w:hAnsi="Calibri"/>
        <w:color w:val="5A5A72"/>
        <w:sz w:val="16"/>
        <w:szCs w:val="16"/>
      </w:rPr>
      <w:t xml:space="preserve">    |    Sashin J. Singh — Founder    |    © G.O.D.S 2026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A84C" w:sz="4" w:space="1"/>
      </w:pBdr>
      <w:spacing w:before="0" w:after="80"/>
    </w:pPr>
    <w:r>
      <w:rPr>
        <w:rFonts w:ascii="Calibri" w:cs="Calibri" w:eastAsia="Calibri" w:hAnsi="Calibri"/>
        <w:b/>
        <w:bCs/>
        <w:color w:val="0C2340"/>
        <w:sz w:val="16"/>
        <w:szCs w:val="16"/>
      </w:rPr>
      <w:t xml:space="preserve">G.O.D.S  —  GOOD ORDERLY DIRECTIONAL SYSTEMS</w:t>
    </w:r>
    <w:r>
      <w:rPr>
        <w:rFonts w:ascii="Calibri" w:cs="Calibri" w:eastAsia="Calibri" w:hAnsi="Calibri"/>
        <w:color w:val="5A5A72"/>
        <w:sz w:val="16"/>
        <w:szCs w:val="16"/>
      </w:rPr>
      <w:t xml:space="preserve">    |    INSTITUTIONAL MANIFESTO    |    CONFIDENTIAL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E1E2E"/>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fontTable" Target="fontTable.xml"/></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2026-03-09T12:35:15.481Z</dcterms:created>
  <dcterms:modified xsi:type="dcterms:W3CDTF">2026-03-09T12:35:15.483Z</dcterms:modified>
</cp:coreProperties>
</file>

<file path=docProps/custom.xml><?xml version="1.0" encoding="utf-8"?>
<Properties xmlns="http://schemas.openxmlformats.org/officeDocument/2006/custom-properties" xmlns:vt="http://schemas.openxmlformats.org/officeDocument/2006/docPropsVTypes"/>
</file>