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880" w:after="200"/>
      </w:pPr>
    </w:p>
    <w:p>
      <w:pPr>
        <w:spacing w:before="0" w:after="60"/>
        <w:jc w:val="center"/>
      </w:pPr>
      <w:r>
        <w:rPr>
          <w:rFonts w:ascii="Georgia" w:cs="Georgia" w:eastAsia="Georgia" w:hAnsi="Georgia"/>
          <w:b/>
          <w:bCs/>
          <w:color w:val="060E1C"/>
          <w:sz w:val="96"/>
          <w:szCs w:val="96"/>
        </w:rPr>
        <w:t xml:space="preserve">G . O . D . S</w:t>
      </w:r>
    </w:p>
    <w:p>
      <w:pPr>
        <w:spacing w:before="0" w:after="80"/>
        <w:jc w:val="center"/>
      </w:pPr>
      <w:r>
        <w:rPr>
          <w:rFonts w:ascii="Calibri" w:cs="Calibri" w:eastAsia="Calibri" w:hAnsi="Calibri"/>
          <w:color w:val="C9A84C"/>
          <w:spacing w:val="200"/>
          <w:sz w:val="22"/>
          <w:szCs w:val="22"/>
        </w:rPr>
        <w:t xml:space="preserve">GOOD ORDERLY DIRECTIONAL SYSTEMS</w:t>
      </w:r>
    </w:p>
    <w:p>
      <w:pPr>
        <w:pBdr>
          <w:bottom w:val="single" w:color="C9A84C" w:sz="4" w:space="1"/>
        </w:pBdr>
        <w:spacing w:before="80" w:after="80"/>
      </w:pPr>
    </w:p>
    <w:p>
      <w:pPr>
        <w:spacing w:before="120" w:after="120"/>
      </w:pPr>
    </w:p>
    <w:p>
      <w:pPr>
        <w:spacing w:before="0" w:after="120"/>
        <w:jc w:val="center"/>
      </w:pPr>
      <w:r>
        <w:rPr>
          <w:rFonts w:ascii="Georgia" w:cs="Georgia" w:eastAsia="Georgia" w:hAnsi="Georgia"/>
          <w:b w:val="false"/>
          <w:bCs w:val="false"/>
          <w:color w:val="3A3A3A"/>
          <w:spacing w:val="80"/>
          <w:sz w:val="36"/>
          <w:szCs w:val="36"/>
        </w:rPr>
        <w:t xml:space="preserve">INSTITUTIONAL MANIFESTO BRIEF</w:t>
      </w:r>
    </w:p>
    <w:p>
      <w:pPr>
        <w:spacing w:before="0" w:after="60"/>
        <w:jc w:val="center"/>
      </w:pPr>
      <w:r>
        <w:rPr>
          <w:rFonts w:ascii="Calibri" w:cs="Calibri" w:eastAsia="Calibri" w:hAnsi="Calibri"/>
          <w:color w:val="8B8B8B"/>
          <w:sz w:val="20"/>
          <w:szCs w:val="20"/>
        </w:rPr>
        <w:t xml:space="preserve">Version 6.0  ·  March 2026  ·  Confidential</w:t>
      </w:r>
    </w:p>
    <w:p>
      <w:pPr>
        <w:spacing w:before="400" w:after="400"/>
      </w:pPr>
    </w:p>
    <w:p>
      <w:pPr>
        <w:spacing w:before="0" w:after="60"/>
        <w:jc w:val="center"/>
      </w:pPr>
      <w:r>
        <w:rPr>
          <w:rFonts w:ascii="Calibri" w:cs="Calibri" w:eastAsia="Calibri" w:hAnsi="Calibri"/>
          <w:b/>
          <w:bCs/>
          <w:color w:val="060E1C"/>
          <w:sz w:val="24"/>
          <w:szCs w:val="24"/>
        </w:rPr>
        <w:t xml:space="preserve">Sashin J. Singh</w:t>
      </w:r>
    </w:p>
    <w:p>
      <w:pPr>
        <w:spacing w:before="0" w:after="40"/>
        <w:jc w:val="center"/>
      </w:pPr>
      <w:r>
        <w:rPr>
          <w:rFonts w:ascii="Calibri" w:cs="Calibri" w:eastAsia="Calibri" w:hAnsi="Calibri"/>
          <w:color w:val="8B8B8B"/>
          <w:sz w:val="20"/>
          <w:szCs w:val="20"/>
        </w:rPr>
        <w:t xml:space="preserve">Founder &amp; Systems Architect</w:t>
      </w:r>
    </w:p>
    <w:p>
      <w:pPr>
        <w:spacing w:before="0" w:after="40"/>
        <w:jc w:val="center"/>
      </w:pPr>
      <w:r>
        <w:rPr>
          <w:rFonts w:ascii="Calibri" w:cs="Calibri" w:eastAsia="Calibri" w:hAnsi="Calibri"/>
          <w:color w:val="8B8B8B"/>
          <w:sz w:val="20"/>
          <w:szCs w:val="20"/>
        </w:rPr>
        <w:t xml:space="preserve">G.O.D.S Holdings (Pty) Ltd  ·  Johannesburg, South Africa</w:t>
      </w:r>
    </w:p>
    <w:p>
      <w:pPr>
        <w:spacing w:before="600" w:after="200"/>
      </w:pPr>
    </w:p>
    <w:p>
      <w:pPr>
        <w:spacing w:before="0" w:after="120"/>
        <w:jc w:val="center"/>
      </w:pPr>
      <w:r>
        <w:rPr>
          <w:rFonts w:ascii="Georgia" w:cs="Georgia" w:eastAsia="Georgia" w:hAnsi="Georgia"/>
          <w:i/>
          <w:iCs/>
          <w:color w:val="060E1C"/>
          <w:sz w:val="24"/>
          <w:szCs w:val="24"/>
        </w:rPr>
        <w:t xml:space="preserve">"The world does not lack technology. It lacks systems that integrate technology with human society."</w:t>
      </w:r>
    </w:p>
    <w:p>
      <w:r>
        <w:br w:type="page"/>
      </w:r>
    </w:p>
    <w:p>
      <w:pPr>
        <w:pStyle w:val="Heading1"/>
        <w:spacing w:before="400" w:after="120"/>
      </w:pPr>
      <w:r>
        <w:rPr>
          <w:rFonts w:ascii="Georgia" w:cs="Georgia" w:eastAsia="Georgia" w:hAnsi="Georgia"/>
          <w:b/>
          <w:bCs/>
          <w:color w:val="060E1C"/>
          <w:sz w:val="40"/>
          <w:szCs w:val="40"/>
        </w:rPr>
        <w:t xml:space="preserve">01  Executive Summary</w:t>
      </w:r>
    </w:p>
    <w:p>
      <w:pPr>
        <w:pBdr>
          <w:bottom w:val="single" w:color="C9A84C" w:sz="6" w:space="1"/>
        </w:pBdr>
        <w:spacing w:before="80" w:after="80"/>
      </w:pP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line="380"/>
            </w:pPr>
            <w:r>
              <w:rPr>
                <w:rFonts w:ascii="Calibri" w:cs="Calibri" w:eastAsia="Calibri" w:hAnsi="Calibri"/>
                <w:color w:val="1A1A1A"/>
                <w:sz w:val="22"/>
                <w:szCs w:val="22"/>
              </w:rPr>
              <w:t xml:space="preserve">G.O.D.S (Good Orderly Directional Systems) is a South African-headquartered systems infrastructure company purpose-built to address the structural gap between exponential technological advancement and the human systems required to absorb, govern, and benefit from that advancement. It is not a technology company. It is an integration architecture — the connective tissue between AI-era disruption and the communities, governments, and economies it is transforming.</w:t>
            </w:r>
          </w:p>
        </w:tc>
      </w:tr>
    </w:tbl>
    <w:p>
      <w:pPr>
        <w:spacing w:before="120" w:after="80"/>
      </w:pPr>
    </w:p>
    <w:p>
      <w:pPr>
        <w:spacing w:before="80" w:after="120" w:line="360"/>
      </w:pPr>
      <w:r>
        <w:rPr>
          <w:rFonts w:ascii="Calibri" w:cs="Calibri" w:eastAsia="Calibri" w:hAnsi="Calibri"/>
          <w:b w:val="false"/>
          <w:bCs w:val="false"/>
          <w:i w:val="false"/>
          <w:iCs w:val="false"/>
          <w:color w:val="2C2C2C"/>
          <w:sz w:val="22"/>
          <w:szCs w:val="22"/>
        </w:rPr>
        <w:t xml:space="preserve">As of March 2026, the following structural forces are simultaneously active and accelerating:</w:t>
      </w:r>
    </w:p>
    <w:p>
      <w:pPr>
        <w:spacing w:before="60" w:after="60"/>
      </w:pPr>
    </w:p>
    <w:p>
      <w:pPr>
        <w:pStyle w:val="ListParagraph"/>
        <w:numPr>
          <w:ilvl w:val="0"/>
          <w:numId w:val="2"/>
        </w:numPr>
        <w:spacing w:before="60" w:after="60" w:line="320"/>
      </w:pPr>
      <w:r>
        <w:rPr>
          <w:rFonts w:ascii="Calibri" w:cs="Calibri" w:eastAsia="Calibri" w:hAnsi="Calibri"/>
          <w:color w:val="3A3A3A"/>
          <w:sz w:val="21"/>
          <w:szCs w:val="21"/>
        </w:rPr>
        <w:t xml:space="preserve">Sovereign AI investment has become a top-tier national security and economic competitiveness priority across every major developing economy — from India's AI Impact Summit to EU sovereignty mandates.</w:t>
      </w:r>
    </w:p>
    <w:p>
      <w:pPr>
        <w:pStyle w:val="ListParagraph"/>
        <w:numPr>
          <w:ilvl w:val="0"/>
          <w:numId w:val="2"/>
        </w:numPr>
        <w:spacing w:before="60" w:after="60" w:line="320"/>
      </w:pPr>
      <w:r>
        <w:rPr>
          <w:rFonts w:ascii="Calibri" w:cs="Calibri" w:eastAsia="Calibri" w:hAnsi="Calibri"/>
          <w:color w:val="3A3A3A"/>
          <w:sz w:val="21"/>
          <w:szCs w:val="21"/>
        </w:rPr>
        <w:t xml:space="preserve">Workforce automation pressure is eliminating traditional employment pathways faster than replacement infrastructure can be built.</w:t>
      </w:r>
    </w:p>
    <w:p>
      <w:pPr>
        <w:pStyle w:val="ListParagraph"/>
        <w:numPr>
          <w:ilvl w:val="0"/>
          <w:numId w:val="2"/>
        </w:numPr>
        <w:spacing w:before="60" w:after="60" w:line="320"/>
      </w:pPr>
      <w:r>
        <w:rPr>
          <w:rFonts w:ascii="Calibri" w:cs="Calibri" w:eastAsia="Calibri" w:hAnsi="Calibri"/>
          <w:color w:val="3A3A3A"/>
          <w:sz w:val="21"/>
          <w:szCs w:val="21"/>
        </w:rPr>
        <w:t xml:space="preserve">65–70% of global public cloud infrastructure remains under the operational control of three US-headquartered corporations — creating legal sovereignty vulnerabilities for every government relying on them.</w:t>
      </w:r>
    </w:p>
    <w:p>
      <w:pPr>
        <w:pStyle w:val="ListParagraph"/>
        <w:numPr>
          <w:ilvl w:val="0"/>
          <w:numId w:val="2"/>
        </w:numPr>
        <w:spacing w:before="60" w:after="60" w:line="320"/>
      </w:pPr>
      <w:r>
        <w:rPr>
          <w:rFonts w:ascii="Calibri" w:cs="Calibri" w:eastAsia="Calibri" w:hAnsi="Calibri"/>
          <w:color w:val="3A3A3A"/>
          <w:sz w:val="21"/>
          <w:szCs w:val="21"/>
        </w:rPr>
        <w:t xml:space="preserve">Institutional trust in governance systems is at generational lows across SADC, Sub-Saharan Africa, and emerging markets broadly.</w:t>
      </w:r>
    </w:p>
    <w:p>
      <w:pPr>
        <w:pStyle w:val="ListParagraph"/>
        <w:numPr>
          <w:ilvl w:val="0"/>
          <w:numId w:val="2"/>
        </w:numPr>
        <w:spacing w:before="60" w:after="60" w:line="320"/>
      </w:pPr>
      <w:r>
        <w:rPr>
          <w:rFonts w:ascii="Calibri" w:cs="Calibri" w:eastAsia="Calibri" w:hAnsi="Calibri"/>
          <w:color w:val="3A3A3A"/>
          <w:sz w:val="21"/>
          <w:szCs w:val="21"/>
        </w:rPr>
        <w:t xml:space="preserve">The AI governance framework market is estimated to grow to $43B globally by 2030, with no dominant African-built solution.</w:t>
      </w:r>
    </w:p>
    <w:p>
      <w:pPr>
        <w:spacing w:before="120" w:after="80"/>
      </w:pPr>
    </w:p>
    <w:p>
      <w:pPr>
        <w:spacing w:before="80" w:after="120" w:line="360"/>
      </w:pPr>
      <w:r>
        <w:rPr>
          <w:rFonts w:ascii="Calibri" w:cs="Calibri" w:eastAsia="Calibri" w:hAnsi="Calibri"/>
          <w:b w:val="false"/>
          <w:bCs w:val="false"/>
          <w:i w:val="false"/>
          <w:iCs w:val="false"/>
          <w:color w:val="2C2C2C"/>
          <w:sz w:val="22"/>
          <w:szCs w:val="22"/>
        </w:rPr>
        <w:t xml:space="preserve">G.O.D.S is designed to address all five forces through one integrated, compounding architecture — not as separate products, but as a single reinforcing system.</w:t>
      </w:r>
    </w:p>
    <w:p>
      <w:pPr>
        <w:spacing w:before="200" w:after="80"/>
      </w:pPr>
    </w:p>
    <w:p>
      <w:pPr>
        <w:pStyle w:val="Heading1"/>
        <w:spacing w:before="400" w:after="120"/>
      </w:pPr>
      <w:r>
        <w:rPr>
          <w:rFonts w:ascii="Georgia" w:cs="Georgia" w:eastAsia="Georgia" w:hAnsi="Georgia"/>
          <w:b/>
          <w:bCs/>
          <w:color w:val="060E1C"/>
          <w:sz w:val="40"/>
          <w:szCs w:val="40"/>
        </w:rPr>
        <w:t xml:space="preserve">02  The Architecture: Four Integrated Engines</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G.O.D.S operates through four interdependent divisions, each feeding into the next in a closed compounding loop. No individual division can be replicated by a competitor without the others — this is the core structural moat.</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40"/>
        <w:gridCol w:w="5520"/>
      </w:tblGrid>
      <w:tr>
        <w:tc>
          <w:tcPr>
            <w:tcW w:type="dxa" w:w="2400"/>
            <w:tcBorders>
              <w:top w:val="single" w:color="DDDDDD" w:sz="1"/>
              <w:left w:val="single" w:color="DDDDDD" w:sz="1"/>
              <w:bottom w:val="single" w:color="DDDDDD" w:sz="1"/>
              <w:right w:val="single" w:color="DDDDDD" w:sz="1"/>
            </w:tcBorders>
            <w:shd w:fill="060E1C" w:val="clear"/>
            <w:tcMar>
              <w:top w:type="dxa" w:w="120"/>
              <w:left w:type="dxa" w:w="160"/>
              <w:bottom w:type="dxa" w:w="120"/>
              <w:right w:type="dxa" w:w="160"/>
            </w:tcMar>
          </w:tcPr>
          <w:p>
            <w:r>
              <w:rPr>
                <w:rFonts w:ascii="Calibri" w:cs="Calibri" w:eastAsia="Calibri" w:hAnsi="Calibri"/>
                <w:b/>
                <w:bCs/>
                <w:color w:val="FFFFFF"/>
                <w:sz w:val="20"/>
                <w:szCs w:val="20"/>
              </w:rPr>
              <w:t xml:space="preserve">Division</w:t>
            </w:r>
          </w:p>
        </w:tc>
        <w:tc>
          <w:tcPr>
            <w:tcW w:type="dxa" w:w="1440"/>
            <w:tcBorders>
              <w:top w:val="single" w:color="DDDDDD" w:sz="1"/>
              <w:left w:val="single" w:color="DDDDDD" w:sz="1"/>
              <w:bottom w:val="single" w:color="DDDDDD" w:sz="1"/>
              <w:right w:val="single" w:color="DDDDDD" w:sz="1"/>
            </w:tcBorders>
            <w:shd w:fill="060E1C" w:val="clear"/>
            <w:tcMar>
              <w:top w:type="dxa" w:w="120"/>
              <w:left w:type="dxa" w:w="160"/>
              <w:bottom w:type="dxa" w:w="120"/>
              <w:right w:type="dxa" w:w="160"/>
            </w:tcMar>
          </w:tcPr>
          <w:p>
            <w:r>
              <w:rPr>
                <w:rFonts w:ascii="Calibri" w:cs="Calibri" w:eastAsia="Calibri" w:hAnsi="Calibri"/>
                <w:b/>
                <w:bCs/>
                <w:color w:val="FFFFFF"/>
                <w:sz w:val="20"/>
                <w:szCs w:val="20"/>
              </w:rPr>
              <w:t xml:space="preserve">Stage</w:t>
            </w:r>
          </w:p>
        </w:tc>
        <w:tc>
          <w:tcPr>
            <w:tcW w:type="dxa" w:w="5520"/>
            <w:tcBorders>
              <w:top w:val="single" w:color="DDDDDD" w:sz="1"/>
              <w:left w:val="single" w:color="DDDDDD" w:sz="1"/>
              <w:bottom w:val="single" w:color="DDDDDD" w:sz="1"/>
              <w:right w:val="single" w:color="DDDDDD" w:sz="1"/>
            </w:tcBorders>
            <w:shd w:fill="060E1C" w:val="clear"/>
            <w:tcMar>
              <w:top w:type="dxa" w:w="120"/>
              <w:left w:type="dxa" w:w="160"/>
              <w:bottom w:type="dxa" w:w="120"/>
              <w:right w:type="dxa" w:w="160"/>
            </w:tcMar>
          </w:tcPr>
          <w:p>
            <w:r>
              <w:rPr>
                <w:rFonts w:ascii="Calibri" w:cs="Calibri" w:eastAsia="Calibri" w:hAnsi="Calibri"/>
                <w:b/>
                <w:bCs/>
                <w:color w:val="FFFFFF"/>
                <w:sz w:val="20"/>
                <w:szCs w:val="20"/>
              </w:rPr>
              <w:t xml:space="preserve">Function</w:t>
            </w:r>
          </w:p>
        </w:tc>
      </w:tr>
      <w:tr>
        <w:tc>
          <w:tcPr>
            <w:tcW w:type="dxa" w:w="240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b/>
                <w:bCs/>
                <w:color w:val="060E1C"/>
                <w:sz w:val="21"/>
                <w:szCs w:val="21"/>
              </w:rPr>
              <w:t xml:space="preserve">S.E.T.H.S.</w:t>
            </w:r>
          </w:p>
        </w:tc>
        <w:tc>
          <w:tcPr>
            <w:tcW w:type="dxa" w:w="144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b/>
                <w:bCs/>
                <w:color w:val="C9A84C"/>
                <w:sz w:val="21"/>
                <w:szCs w:val="21"/>
              </w:rPr>
              <w:t xml:space="preserve">Stage 1</w:t>
            </w:r>
          </w:p>
        </w:tc>
        <w:tc>
          <w:tcPr>
            <w:tcW w:type="dxa" w:w="552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color w:val="3A3A3A"/>
                <w:sz w:val="21"/>
                <w:szCs w:val="21"/>
              </w:rPr>
              <w:t xml:space="preserve">Workforce reintegration and human capital development engine. The credibility anchor and first operational proof of the system.</w:t>
            </w:r>
          </w:p>
        </w:tc>
      </w:tr>
      <w:tr>
        <w:tc>
          <w:tcPr>
            <w:tcW w:type="dxa" w:w="240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b/>
                <w:bCs/>
                <w:color w:val="060E1C"/>
                <w:sz w:val="21"/>
                <w:szCs w:val="21"/>
              </w:rPr>
              <w:t xml:space="preserve">T.S. (Transition Systems)</w:t>
            </w:r>
          </w:p>
        </w:tc>
        <w:tc>
          <w:tcPr>
            <w:tcW w:type="dxa" w:w="144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b/>
                <w:bCs/>
                <w:color w:val="C9A84C"/>
                <w:sz w:val="21"/>
                <w:szCs w:val="21"/>
              </w:rPr>
              <w:t xml:space="preserve">Stage 2</w:t>
            </w:r>
          </w:p>
        </w:tc>
        <w:tc>
          <w:tcPr>
            <w:tcW w:type="dxa" w:w="552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color w:val="3A3A3A"/>
                <w:sz w:val="21"/>
                <w:szCs w:val="21"/>
              </w:rPr>
              <w:t xml:space="preserve">Infrastructure deployment division. Solar energy, vertical farming, water infrastructure, and affordable housing built using S.E.T.H.S.-trained workforce.</w:t>
            </w:r>
          </w:p>
        </w:tc>
      </w:tr>
      <w:tr>
        <w:tc>
          <w:tcPr>
            <w:tcW w:type="dxa" w:w="240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b/>
                <w:bCs/>
                <w:color w:val="060E1C"/>
                <w:sz w:val="21"/>
                <w:szCs w:val="21"/>
              </w:rPr>
              <w:t xml:space="preserve">UDOC</w:t>
            </w:r>
          </w:p>
        </w:tc>
        <w:tc>
          <w:tcPr>
            <w:tcW w:type="dxa" w:w="144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b/>
                <w:bCs/>
                <w:color w:val="C9A84C"/>
                <w:sz w:val="21"/>
                <w:szCs w:val="21"/>
              </w:rPr>
              <w:t xml:space="preserve">Stage 3</w:t>
            </w:r>
          </w:p>
        </w:tc>
        <w:tc>
          <w:tcPr>
            <w:tcW w:type="dxa" w:w="5520"/>
            <w:tcBorders>
              <w:top w:val="single" w:color="DDDDDD" w:sz="1"/>
              <w:left w:val="single" w:color="DDDDDD" w:sz="1"/>
              <w:bottom w:val="single" w:color="DDDDDD" w:sz="1"/>
              <w:right w:val="single" w:color="DDDDDD" w:sz="1"/>
            </w:tcBorders>
            <w:shd w:fill="F7F3E8" w:val="clear"/>
            <w:tcMar>
              <w:top w:type="dxa" w:w="120"/>
              <w:left w:type="dxa" w:w="160"/>
              <w:bottom w:type="dxa" w:w="120"/>
              <w:right w:type="dxa" w:w="160"/>
            </w:tcMar>
          </w:tcPr>
          <w:p>
            <w:r>
              <w:rPr>
                <w:rFonts w:ascii="Calibri" w:cs="Calibri" w:eastAsia="Calibri" w:hAnsi="Calibri"/>
                <w:color w:val="3A3A3A"/>
                <w:sz w:val="21"/>
                <w:szCs w:val="21"/>
              </w:rPr>
              <w:t xml:space="preserve">Sovereign digital governance infrastructure. AI registry, audit trail, data sovereignty compliance and quantum-ready encryption for governments and regulated enterprises.</w:t>
            </w:r>
          </w:p>
        </w:tc>
      </w:tr>
      <w:tr>
        <w:tc>
          <w:tcPr>
            <w:tcW w:type="dxa" w:w="240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b/>
                <w:bCs/>
                <w:color w:val="060E1C"/>
                <w:sz w:val="21"/>
                <w:szCs w:val="21"/>
              </w:rPr>
              <w:t xml:space="preserve">M.A.D.I.B.A.</w:t>
            </w:r>
          </w:p>
        </w:tc>
        <w:tc>
          <w:tcPr>
            <w:tcW w:type="dxa" w:w="144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b/>
                <w:bCs/>
                <w:color w:val="C9A84C"/>
                <w:sz w:val="21"/>
                <w:szCs w:val="21"/>
              </w:rPr>
              <w:t xml:space="preserve">Stage 4</w:t>
            </w:r>
          </w:p>
        </w:tc>
        <w:tc>
          <w:tcPr>
            <w:tcW w:type="dxa" w:w="5520"/>
            <w:tcBorders>
              <w:top w:val="single" w:color="DDDDDD" w:sz="1"/>
              <w:left w:val="single" w:color="DDDDDD" w:sz="1"/>
              <w:bottom w:val="single" w:color="DDDDDD" w:sz="1"/>
              <w:right w:val="single" w:color="DDDDDD" w:sz="1"/>
            </w:tcBorders>
            <w:shd w:fill="FFFFFF" w:val="clear"/>
            <w:tcMar>
              <w:top w:type="dxa" w:w="120"/>
              <w:left w:type="dxa" w:w="160"/>
              <w:bottom w:type="dxa" w:w="120"/>
              <w:right w:type="dxa" w:w="160"/>
            </w:tcMar>
          </w:tcPr>
          <w:p>
            <w:r>
              <w:rPr>
                <w:rFonts w:ascii="Calibri" w:cs="Calibri" w:eastAsia="Calibri" w:hAnsi="Calibri"/>
                <w:color w:val="3A3A3A"/>
                <w:sz w:val="21"/>
                <w:szCs w:val="21"/>
              </w:rPr>
              <w:t xml:space="preserve">Capital and sovereign partnerships platform. Connects proven G.O.D.S infrastructure to DFIs, sovereign funds, and strategic institutional investors.</w:t>
            </w:r>
          </w:p>
        </w:tc>
      </w:tr>
    </w:tbl>
    <w:p>
      <w:pPr>
        <w:spacing w:before="200" w:after="80"/>
      </w:pPr>
    </w:p>
    <w:p>
      <w:pPr>
        <w:spacing w:before="240" w:after="80"/>
      </w:pPr>
      <w:r>
        <w:rPr>
          <w:rFonts w:ascii="Calibri" w:cs="Calibri" w:eastAsia="Calibri" w:hAnsi="Calibri"/>
          <w:b/>
          <w:bCs/>
          <w:color w:val="2C2C2C"/>
          <w:sz w:val="24"/>
          <w:szCs w:val="24"/>
        </w:rPr>
        <w:t xml:space="preserve">The Compounding Loop</w:t>
      </w:r>
    </w:p>
    <w:p>
      <w:pPr>
        <w:spacing w:before="80" w:after="120" w:line="360"/>
      </w:pPr>
      <w:r>
        <w:rPr>
          <w:rFonts w:ascii="Calibri" w:cs="Calibri" w:eastAsia="Calibri" w:hAnsi="Calibri"/>
          <w:b w:val="false"/>
          <w:bCs w:val="false"/>
          <w:i w:val="false"/>
          <w:iCs w:val="false"/>
          <w:color w:val="2C2C2C"/>
          <w:sz w:val="22"/>
          <w:szCs w:val="22"/>
        </w:rPr>
        <w:t xml:space="preserve">The architecture self-reinforces through a closed loop that competitors cannot replicate without building all four engines simultaneously:</w:t>
      </w: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jc w:val="center"/>
            </w:pPr>
            <w:r>
              <w:rPr>
                <w:rFonts w:ascii="Calibri" w:cs="Calibri" w:eastAsia="Calibri" w:hAnsi="Calibri"/>
                <w:b/>
                <w:bCs/>
                <w:color w:val="060E1C"/>
                <w:sz w:val="22"/>
                <w:szCs w:val="22"/>
              </w:rPr>
              <w:t xml:space="preserve">S.E.T.H.S. (Human Capital)  →  T.S. (Infrastructure)  →  UDOC (Governance Data)  →  M.A.D.I.B.A. (Capital)  →  Back to S.E.T.H.S.</w:t>
            </w:r>
          </w:p>
        </w:tc>
      </w:tr>
    </w:tbl>
    <w:p>
      <w:r>
        <w:br w:type="page"/>
      </w:r>
    </w:p>
    <w:p>
      <w:pPr>
        <w:pStyle w:val="Heading1"/>
        <w:spacing w:before="400" w:after="120"/>
      </w:pPr>
      <w:r>
        <w:rPr>
          <w:rFonts w:ascii="Georgia" w:cs="Georgia" w:eastAsia="Georgia" w:hAnsi="Georgia"/>
          <w:b/>
          <w:bCs/>
          <w:color w:val="060E1C"/>
          <w:sz w:val="40"/>
          <w:szCs w:val="40"/>
        </w:rPr>
        <w:t xml:space="preserve">03  Global Context — Why Now</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G.O.D.S is not theoretical. It is a direct response to five structural forces that are simultaneously active and intensifying in 2026. Each force creates specific demand for one or more G.O.D.S divisions.</w:t>
      </w:r>
    </w:p>
    <w:p>
      <w:pPr>
        <w:spacing w:before="120" w:after="80"/>
      </w:pPr>
    </w:p>
    <w:p>
      <w:pPr>
        <w:spacing w:before="200" w:after="60"/>
      </w:pPr>
      <w:r>
        <w:rPr>
          <w:rFonts w:ascii="Calibri" w:cs="Calibri" w:eastAsia="Calibri" w:hAnsi="Calibri"/>
          <w:b/>
          <w:bCs/>
          <w:color w:val="C9A84C"/>
          <w:spacing w:val="120"/>
          <w:sz w:val="18"/>
          <w:szCs w:val="18"/>
        </w:rPr>
        <w:t xml:space="preserve">FORCE 1 — SOVEREIGN AI INFRASTRUCTURE</w:t>
      </w:r>
    </w:p>
    <w:p>
      <w:pPr>
        <w:spacing w:before="80" w:after="120" w:line="360"/>
      </w:pPr>
      <w:r>
        <w:rPr>
          <w:rFonts w:ascii="Calibri" w:cs="Calibri" w:eastAsia="Calibri" w:hAnsi="Calibri"/>
          <w:b w:val="false"/>
          <w:bCs w:val="false"/>
          <w:i w:val="false"/>
          <w:iCs w:val="false"/>
          <w:color w:val="2C2C2C"/>
          <w:sz w:val="22"/>
          <w:szCs w:val="22"/>
        </w:rPr>
        <w:t xml:space="preserve">As of 2026, digital sovereignty has become a top-tier national security investment priority. Sovereign cloud and AI services are entering a critical implementation phase, with IDC data projecting that 60% of organisations with digital sovereignty requirements will have migrated sensitive workloads to new cloud environments by 2028. Mid-sized economies are forming Compute Alliances to build regional GPU clusters. Countries that remain 'AI clients' risk a state of digital neo-colonialism — paying perpetual rent to foreign intelligence engine owners.</w:t>
      </w:r>
    </w:p>
    <w:p>
      <w:pPr>
        <w:spacing w:before="80" w:after="120" w:line="360"/>
      </w:pPr>
      <w:r>
        <w:rPr>
          <w:rFonts w:ascii="Calibri" w:cs="Calibri" w:eastAsia="Calibri" w:hAnsi="Calibri"/>
          <w:b w:val="false"/>
          <w:bCs w:val="false"/>
          <w:i w:val="false"/>
          <w:iCs w:val="false"/>
          <w:color w:val="2C2C2C"/>
          <w:sz w:val="22"/>
          <w:szCs w:val="22"/>
        </w:rPr>
        <w:t xml:space="preserve">UDOC addresses this directly: a sovereign-first, government-deployable AI governance platform with zero foreign cloud dependency.</w:t>
      </w:r>
    </w:p>
    <w:p>
      <w:pPr>
        <w:spacing w:before="80" w:after="80"/>
      </w:pPr>
    </w:p>
    <w:p>
      <w:pPr>
        <w:spacing w:before="200" w:after="60"/>
      </w:pPr>
      <w:r>
        <w:rPr>
          <w:rFonts w:ascii="Calibri" w:cs="Calibri" w:eastAsia="Calibri" w:hAnsi="Calibri"/>
          <w:b/>
          <w:bCs/>
          <w:color w:val="C9A84C"/>
          <w:spacing w:val="120"/>
          <w:sz w:val="18"/>
          <w:szCs w:val="18"/>
        </w:rPr>
        <w:t xml:space="preserve">FORCE 2 — WORKFORCE DISRUPTION</w:t>
      </w:r>
    </w:p>
    <w:p>
      <w:pPr>
        <w:spacing w:before="80" w:after="120" w:line="360"/>
      </w:pPr>
      <w:r>
        <w:rPr>
          <w:rFonts w:ascii="Calibri" w:cs="Calibri" w:eastAsia="Calibri" w:hAnsi="Calibri"/>
          <w:b w:val="false"/>
          <w:bCs w:val="false"/>
          <w:i w:val="false"/>
          <w:iCs w:val="false"/>
          <w:color w:val="2C2C2C"/>
          <w:sz w:val="22"/>
          <w:szCs w:val="22"/>
        </w:rPr>
        <w:t xml:space="preserve">AI automation is eliminating traditional employment pathways at a rate faster than reskilling infrastructure can be built. At AI Summit 2026 in India, leading experts warned of significant job displacement across digital knowledge work — a sector estimated at $30 trillion globally. Governments face the dual pressure of deploying AI for productivity gains while managing structural unemployment at scale.</w:t>
      </w:r>
    </w:p>
    <w:p>
      <w:pPr>
        <w:spacing w:before="80" w:after="120" w:line="360"/>
      </w:pPr>
      <w:r>
        <w:rPr>
          <w:rFonts w:ascii="Calibri" w:cs="Calibri" w:eastAsia="Calibri" w:hAnsi="Calibri"/>
          <w:b w:val="false"/>
          <w:bCs w:val="false"/>
          <w:i w:val="false"/>
          <w:iCs w:val="false"/>
          <w:color w:val="2C2C2C"/>
          <w:sz w:val="22"/>
          <w:szCs w:val="22"/>
        </w:rPr>
        <w:t xml:space="preserve">S.E.T.H.S. is the workforce transition infrastructure — converting displaced workers into AI-era productive citizens through structured reintegration and skills development.</w:t>
      </w:r>
    </w:p>
    <w:p>
      <w:pPr>
        <w:spacing w:before="80" w:after="80"/>
      </w:pPr>
    </w:p>
    <w:p>
      <w:pPr>
        <w:spacing w:before="200" w:after="60"/>
      </w:pPr>
      <w:r>
        <w:rPr>
          <w:rFonts w:ascii="Calibri" w:cs="Calibri" w:eastAsia="Calibri" w:hAnsi="Calibri"/>
          <w:b/>
          <w:bCs/>
          <w:color w:val="C9A84C"/>
          <w:spacing w:val="120"/>
          <w:sz w:val="18"/>
          <w:szCs w:val="18"/>
        </w:rPr>
        <w:t xml:space="preserve">FORCE 3 — INFRASTRUCTURE DEFICIT IN EMERGING MARKETS</w:t>
      </w:r>
    </w:p>
    <w:p>
      <w:pPr>
        <w:spacing w:before="80" w:after="120" w:line="360"/>
      </w:pPr>
      <w:r>
        <w:rPr>
          <w:rFonts w:ascii="Calibri" w:cs="Calibri" w:eastAsia="Calibri" w:hAnsi="Calibri"/>
          <w:b w:val="false"/>
          <w:bCs w:val="false"/>
          <w:i w:val="false"/>
          <w:iCs w:val="false"/>
          <w:color w:val="2C2C2C"/>
          <w:sz w:val="22"/>
          <w:szCs w:val="22"/>
        </w:rPr>
        <w:t xml:space="preserve">South Africa and the SADC region face compounding infrastructure deficits: energy insecurity, food sovereignty gaps, water scarcity, and housing shortfalls. These are not new problems — but they are now intersecting with AI-era capital availability and an urgent need for infrastructure solutions that create employment rather than eliminate it.</w:t>
      </w:r>
    </w:p>
    <w:p>
      <w:pPr>
        <w:spacing w:before="80" w:after="120" w:line="360"/>
      </w:pPr>
      <w:r>
        <w:rPr>
          <w:rFonts w:ascii="Calibri" w:cs="Calibri" w:eastAsia="Calibri" w:hAnsi="Calibri"/>
          <w:b w:val="false"/>
          <w:bCs w:val="false"/>
          <w:i w:val="false"/>
          <w:iCs w:val="false"/>
          <w:color w:val="2C2C2C"/>
          <w:sz w:val="22"/>
          <w:szCs w:val="22"/>
        </w:rPr>
        <w:t xml:space="preserve">T.S. (Transition Systems) closes this gap — deploying solar energy, vertical farming, water infrastructure, and construction using the trained workforce produced by S.E.T.H.S.</w:t>
      </w:r>
    </w:p>
    <w:p>
      <w:pPr>
        <w:spacing w:before="80" w:after="80"/>
      </w:pPr>
    </w:p>
    <w:p>
      <w:pPr>
        <w:spacing w:before="200" w:after="60"/>
      </w:pPr>
      <w:r>
        <w:rPr>
          <w:rFonts w:ascii="Calibri" w:cs="Calibri" w:eastAsia="Calibri" w:hAnsi="Calibri"/>
          <w:b/>
          <w:bCs/>
          <w:color w:val="C9A84C"/>
          <w:spacing w:val="120"/>
          <w:sz w:val="18"/>
          <w:szCs w:val="18"/>
        </w:rPr>
        <w:t xml:space="preserve">FORCE 4 — INSTITUTIONAL TRUST COLLAPSE</w:t>
      </w:r>
    </w:p>
    <w:p>
      <w:pPr>
        <w:spacing w:before="80" w:after="120" w:line="360"/>
      </w:pPr>
      <w:r>
        <w:rPr>
          <w:rFonts w:ascii="Calibri" w:cs="Calibri" w:eastAsia="Calibri" w:hAnsi="Calibri"/>
          <w:b w:val="false"/>
          <w:bCs w:val="false"/>
          <w:i w:val="false"/>
          <w:iCs w:val="false"/>
          <w:color w:val="2C2C2C"/>
          <w:sz w:val="22"/>
          <w:szCs w:val="22"/>
        </w:rPr>
        <w:t xml:space="preserve">Across emerging markets, trust in governance institutions is at generational lows. Citizens distrust governments. Investors distrust local institutions. AI systems making consequential decisions in welfare, justice, and public administration currently operate without audit trails, explainability frameworks, or independent oversight.</w:t>
      </w:r>
    </w:p>
    <w:p>
      <w:pPr>
        <w:spacing w:before="80" w:after="120" w:line="360"/>
      </w:pPr>
      <w:r>
        <w:rPr>
          <w:rFonts w:ascii="Calibri" w:cs="Calibri" w:eastAsia="Calibri" w:hAnsi="Calibri"/>
          <w:b w:val="false"/>
          <w:bCs w:val="false"/>
          <w:i w:val="false"/>
          <w:iCs w:val="false"/>
          <w:color w:val="2C2C2C"/>
          <w:sz w:val="22"/>
          <w:szCs w:val="22"/>
        </w:rPr>
        <w:t xml:space="preserve">UDOC rebuilds the governance layer — providing cryptographically verified, tamper-evident audit trails for every AI decision event, and establishing independent oversight architecture.</w:t>
      </w:r>
    </w:p>
    <w:p>
      <w:pPr>
        <w:spacing w:before="80" w:after="80"/>
      </w:pPr>
    </w:p>
    <w:p>
      <w:pPr>
        <w:spacing w:before="200" w:after="60"/>
      </w:pPr>
      <w:r>
        <w:rPr>
          <w:rFonts w:ascii="Calibri" w:cs="Calibri" w:eastAsia="Calibri" w:hAnsi="Calibri"/>
          <w:b/>
          <w:bCs/>
          <w:color w:val="C9A84C"/>
          <w:spacing w:val="120"/>
          <w:sz w:val="18"/>
          <w:szCs w:val="18"/>
        </w:rPr>
        <w:t xml:space="preserve">FORCE 5 — CAPITAL AVAILABILITY WITHOUT DEPLOYMENT VEHICLES</w:t>
      </w:r>
    </w:p>
    <w:p>
      <w:pPr>
        <w:spacing w:before="80" w:after="120" w:line="360"/>
      </w:pPr>
      <w:r>
        <w:rPr>
          <w:rFonts w:ascii="Calibri" w:cs="Calibri" w:eastAsia="Calibri" w:hAnsi="Calibri"/>
          <w:b w:val="false"/>
          <w:bCs w:val="false"/>
          <w:i w:val="false"/>
          <w:iCs w:val="false"/>
          <w:color w:val="2C2C2C"/>
          <w:sz w:val="22"/>
          <w:szCs w:val="22"/>
        </w:rPr>
        <w:t xml:space="preserve">DFIs, sovereign wealth funds, and impact investors collectively hold trillions in capital earmarked for emerging market infrastructure, workforce development, and governance modernisation. The bottleneck is not capital — it is credible, integrated deployment vehicles that can absorb, deploy, and return capital at scale.</w:t>
      </w:r>
    </w:p>
    <w:p>
      <w:pPr>
        <w:spacing w:before="80" w:after="120" w:line="360"/>
      </w:pPr>
      <w:r>
        <w:rPr>
          <w:rFonts w:ascii="Calibri" w:cs="Calibri" w:eastAsia="Calibri" w:hAnsi="Calibri"/>
          <w:b w:val="false"/>
          <w:bCs w:val="false"/>
          <w:i w:val="false"/>
          <w:iCs w:val="false"/>
          <w:color w:val="2C2C2C"/>
          <w:sz w:val="22"/>
          <w:szCs w:val="22"/>
        </w:rPr>
        <w:t xml:space="preserve">M.A.D.I.B.A. is the capital architecture layer — connecting proven G.O.D.S infrastructure to sovereign and institutional capital at scale.</w:t>
      </w:r>
    </w:p>
    <w:p>
      <w:r>
        <w:br w:type="page"/>
      </w:r>
    </w:p>
    <w:p>
      <w:pPr>
        <w:pStyle w:val="Heading1"/>
        <w:spacing w:before="400" w:after="120"/>
      </w:pPr>
      <w:r>
        <w:rPr>
          <w:rFonts w:ascii="Georgia" w:cs="Georgia" w:eastAsia="Georgia" w:hAnsi="Georgia"/>
          <w:b/>
          <w:bCs/>
          <w:color w:val="060E1C"/>
          <w:sz w:val="40"/>
          <w:szCs w:val="40"/>
        </w:rPr>
        <w:t xml:space="preserve">04  Execution Sequence — Starting Small, Building Right</w:t>
      </w:r>
    </w:p>
    <w:p>
      <w:pPr>
        <w:pBdr>
          <w:bottom w:val="single" w:color="C9A84C" w:sz="6" w:space="1"/>
        </w:pBdr>
        <w:spacing w:before="80" w:after="80"/>
      </w:pP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pPr>
            <w:r>
              <w:rPr>
                <w:rFonts w:ascii="Calibri" w:cs="Calibri" w:eastAsia="Calibri" w:hAnsi="Calibri"/>
                <w:b w:val="false"/>
                <w:bCs w:val="false"/>
                <w:i/>
                <w:iCs/>
                <w:color w:val="1A1A1A"/>
                <w:sz w:val="22"/>
                <w:szCs w:val="22"/>
              </w:rPr>
              <w:t xml:space="preserve">Critical Note for Institutional Readers: G.O.D.S begins as a focused workforce reintegration and infrastructure development company in South Africa. The larger architecture is built incrementally on operational proof. The sequence below is not aspirational — it is the implementation plan.</w:t>
            </w:r>
          </w:p>
        </w:tc>
      </w:tr>
    </w:tbl>
    <w:p>
      <w:pPr>
        <w:spacing w:before="120" w:after="80"/>
      </w:pPr>
    </w:p>
    <w:p>
      <w:pPr>
        <w:spacing w:before="240" w:after="80"/>
      </w:pPr>
      <w:r>
        <w:rPr>
          <w:rFonts w:ascii="Calibri" w:cs="Calibri" w:eastAsia="Calibri" w:hAnsi="Calibri"/>
          <w:b/>
          <w:bCs/>
          <w:color w:val="2C2C2C"/>
          <w:sz w:val="24"/>
          <w:szCs w:val="24"/>
        </w:rPr>
        <w:t xml:space="preserve">Phase 1: Months 1–18 — S.E.T.H.S. Pilot (South Africa)</w:t>
      </w:r>
    </w:p>
    <w:p>
      <w:pPr>
        <w:pStyle w:val="ListParagraph"/>
        <w:numPr>
          <w:ilvl w:val="0"/>
          <w:numId w:val="2"/>
        </w:numPr>
        <w:spacing w:before="60" w:after="60" w:line="320"/>
      </w:pPr>
      <w:r>
        <w:rPr>
          <w:rFonts w:ascii="Calibri" w:cs="Calibri" w:eastAsia="Calibri" w:hAnsi="Calibri"/>
          <w:color w:val="3A3A3A"/>
          <w:sz w:val="21"/>
          <w:szCs w:val="21"/>
        </w:rPr>
        <w:t xml:space="preserve">50-participant cohort, Gauteng province</w:t>
      </w:r>
    </w:p>
    <w:p>
      <w:pPr>
        <w:pStyle w:val="ListParagraph"/>
        <w:numPr>
          <w:ilvl w:val="0"/>
          <w:numId w:val="2"/>
        </w:numPr>
        <w:spacing w:before="60" w:after="60" w:line="320"/>
      </w:pPr>
      <w:r>
        <w:rPr>
          <w:rFonts w:ascii="Calibri" w:cs="Calibri" w:eastAsia="Calibri" w:hAnsi="Calibri"/>
          <w:color w:val="3A3A3A"/>
          <w:sz w:val="21"/>
          <w:szCs w:val="21"/>
        </w:rPr>
        <w:t xml:space="preserve">Full S.E.T.H.S. program deployment: intake, assessment, skills training, placement</w:t>
      </w:r>
    </w:p>
    <w:p>
      <w:pPr>
        <w:pStyle w:val="ListParagraph"/>
        <w:numPr>
          <w:ilvl w:val="0"/>
          <w:numId w:val="2"/>
        </w:numPr>
        <w:spacing w:before="60" w:after="60" w:line="320"/>
      </w:pPr>
      <w:r>
        <w:rPr>
          <w:rFonts w:ascii="Calibri" w:cs="Calibri" w:eastAsia="Calibri" w:hAnsi="Calibri"/>
          <w:color w:val="3A3A3A"/>
          <w:sz w:val="21"/>
          <w:szCs w:val="21"/>
        </w:rPr>
        <w:t xml:space="preserve">Secure government MOU and first employer partnerships</w:t>
      </w:r>
    </w:p>
    <w:p>
      <w:pPr>
        <w:pStyle w:val="ListParagraph"/>
        <w:numPr>
          <w:ilvl w:val="0"/>
          <w:numId w:val="2"/>
        </w:numPr>
        <w:spacing w:before="60" w:after="60" w:line="320"/>
      </w:pPr>
      <w:r>
        <w:rPr>
          <w:rFonts w:ascii="Calibri" w:cs="Calibri" w:eastAsia="Calibri" w:hAnsi="Calibri"/>
          <w:color w:val="3A3A3A"/>
          <w:sz w:val="21"/>
          <w:szCs w:val="21"/>
        </w:rPr>
        <w:t xml:space="preserve">Establish Constitutional Oversight Board</w:t>
      </w:r>
    </w:p>
    <w:p>
      <w:pPr>
        <w:pStyle w:val="ListParagraph"/>
        <w:numPr>
          <w:ilvl w:val="0"/>
          <w:numId w:val="2"/>
        </w:numPr>
        <w:spacing w:before="60" w:after="60" w:line="320"/>
      </w:pPr>
      <w:r>
        <w:rPr>
          <w:rFonts w:ascii="Calibri" w:cs="Calibri" w:eastAsia="Calibri" w:hAnsi="Calibri"/>
          <w:color w:val="3A3A3A"/>
          <w:sz w:val="21"/>
          <w:szCs w:val="21"/>
        </w:rPr>
        <w:t xml:space="preserve">Build credibility data: employment outcomes, participant transformation metrics</w:t>
      </w:r>
    </w:p>
    <w:p>
      <w:pPr>
        <w:pStyle w:val="ListParagraph"/>
        <w:numPr>
          <w:ilvl w:val="0"/>
          <w:numId w:val="2"/>
        </w:numPr>
        <w:spacing w:before="60" w:after="60" w:line="320"/>
      </w:pPr>
      <w:r>
        <w:rPr>
          <w:rFonts w:ascii="Calibri" w:cs="Calibri" w:eastAsia="Calibri" w:hAnsi="Calibri"/>
          <w:color w:val="3A3A3A"/>
          <w:sz w:val="21"/>
          <w:szCs w:val="21"/>
        </w:rPr>
        <w:t xml:space="preserve">Funding requirement: R12–18M (seed/grant/DFI combination)</w:t>
      </w:r>
    </w:p>
    <w:p>
      <w:pPr>
        <w:spacing w:before="80" w:after="80"/>
      </w:pPr>
    </w:p>
    <w:p>
      <w:pPr>
        <w:spacing w:before="240" w:after="80"/>
      </w:pPr>
      <w:r>
        <w:rPr>
          <w:rFonts w:ascii="Calibri" w:cs="Calibri" w:eastAsia="Calibri" w:hAnsi="Calibri"/>
          <w:b/>
          <w:bCs/>
          <w:color w:val="2C2C2C"/>
          <w:sz w:val="24"/>
          <w:szCs w:val="24"/>
        </w:rPr>
        <w:t xml:space="preserve">Phase 2: Months 18–36 — T.S. Infrastructure Activation</w:t>
      </w:r>
    </w:p>
    <w:p>
      <w:pPr>
        <w:pStyle w:val="ListParagraph"/>
        <w:numPr>
          <w:ilvl w:val="0"/>
          <w:numId w:val="2"/>
        </w:numPr>
        <w:spacing w:before="60" w:after="60" w:line="320"/>
      </w:pPr>
      <w:r>
        <w:rPr>
          <w:rFonts w:ascii="Calibri" w:cs="Calibri" w:eastAsia="Calibri" w:hAnsi="Calibri"/>
          <w:color w:val="3A3A3A"/>
          <w:sz w:val="21"/>
          <w:szCs w:val="21"/>
        </w:rPr>
        <w:t xml:space="preserve">First T.S. project using S.E.T.H.S.-trained workforce (solar installation or vertical farming pilot)</w:t>
      </w:r>
    </w:p>
    <w:p>
      <w:pPr>
        <w:pStyle w:val="ListParagraph"/>
        <w:numPr>
          <w:ilvl w:val="0"/>
          <w:numId w:val="2"/>
        </w:numPr>
        <w:spacing w:before="60" w:after="60" w:line="320"/>
      </w:pPr>
      <w:r>
        <w:rPr>
          <w:rFonts w:ascii="Calibri" w:cs="Calibri" w:eastAsia="Calibri" w:hAnsi="Calibri"/>
          <w:color w:val="3A3A3A"/>
          <w:sz w:val="21"/>
          <w:szCs w:val="21"/>
        </w:rPr>
        <w:t xml:space="preserve">S.E.T.H.S. scale to 200+ participants</w:t>
      </w:r>
    </w:p>
    <w:p>
      <w:pPr>
        <w:pStyle w:val="ListParagraph"/>
        <w:numPr>
          <w:ilvl w:val="0"/>
          <w:numId w:val="2"/>
        </w:numPr>
        <w:spacing w:before="60" w:after="60" w:line="320"/>
      </w:pPr>
      <w:r>
        <w:rPr>
          <w:rFonts w:ascii="Calibri" w:cs="Calibri" w:eastAsia="Calibri" w:hAnsi="Calibri"/>
          <w:color w:val="3A3A3A"/>
          <w:sz w:val="21"/>
          <w:szCs w:val="21"/>
        </w:rPr>
        <w:t xml:space="preserve">Formalise employer and government partnerships</w:t>
      </w:r>
    </w:p>
    <w:p>
      <w:pPr>
        <w:pStyle w:val="ListParagraph"/>
        <w:numPr>
          <w:ilvl w:val="0"/>
          <w:numId w:val="2"/>
        </w:numPr>
        <w:spacing w:before="60" w:after="60" w:line="320"/>
      </w:pPr>
      <w:r>
        <w:rPr>
          <w:rFonts w:ascii="Calibri" w:cs="Calibri" w:eastAsia="Calibri" w:hAnsi="Calibri"/>
          <w:color w:val="3A3A3A"/>
          <w:sz w:val="21"/>
          <w:szCs w:val="21"/>
        </w:rPr>
        <w:t xml:space="preserve">Begin UDOC enterprise SaaS development (Phase 2A: private sector compliance tool)</w:t>
      </w:r>
    </w:p>
    <w:p>
      <w:pPr>
        <w:pStyle w:val="ListParagraph"/>
        <w:numPr>
          <w:ilvl w:val="0"/>
          <w:numId w:val="2"/>
        </w:numPr>
        <w:spacing w:before="60" w:after="60" w:line="320"/>
      </w:pPr>
      <w:r>
        <w:rPr>
          <w:rFonts w:ascii="Calibri" w:cs="Calibri" w:eastAsia="Calibri" w:hAnsi="Calibri"/>
          <w:color w:val="3A3A3A"/>
          <w:sz w:val="21"/>
          <w:szCs w:val="21"/>
        </w:rPr>
        <w:t xml:space="preserve">Funding requirement: R45–80M (DFI + impact investment)</w:t>
      </w:r>
    </w:p>
    <w:p>
      <w:pPr>
        <w:spacing w:before="80" w:after="80"/>
      </w:pPr>
    </w:p>
    <w:p>
      <w:pPr>
        <w:spacing w:before="240" w:after="80"/>
      </w:pPr>
      <w:r>
        <w:rPr>
          <w:rFonts w:ascii="Calibri" w:cs="Calibri" w:eastAsia="Calibri" w:hAnsi="Calibri"/>
          <w:b/>
          <w:bCs/>
          <w:color w:val="2C2C2C"/>
          <w:sz w:val="24"/>
          <w:szCs w:val="24"/>
        </w:rPr>
        <w:t xml:space="preserve">Phase 3: Months 36–60 — UDOC Government Deployment</w:t>
      </w:r>
    </w:p>
    <w:p>
      <w:pPr>
        <w:pStyle w:val="ListParagraph"/>
        <w:numPr>
          <w:ilvl w:val="0"/>
          <w:numId w:val="2"/>
        </w:numPr>
        <w:spacing w:before="60" w:after="60" w:line="320"/>
      </w:pPr>
      <w:r>
        <w:rPr>
          <w:rFonts w:ascii="Calibri" w:cs="Calibri" w:eastAsia="Calibri" w:hAnsi="Calibri"/>
          <w:color w:val="3A3A3A"/>
          <w:sz w:val="21"/>
          <w:szCs w:val="21"/>
        </w:rPr>
        <w:t xml:space="preserve">UDOC Phase 2B: government pilot (SA DPSA, SARS, or equivalent)</w:t>
      </w:r>
    </w:p>
    <w:p>
      <w:pPr>
        <w:pStyle w:val="ListParagraph"/>
        <w:numPr>
          <w:ilvl w:val="0"/>
          <w:numId w:val="2"/>
        </w:numPr>
        <w:spacing w:before="60" w:after="60" w:line="320"/>
      </w:pPr>
      <w:r>
        <w:rPr>
          <w:rFonts w:ascii="Calibri" w:cs="Calibri" w:eastAsia="Calibri" w:hAnsi="Calibri"/>
          <w:color w:val="3A3A3A"/>
          <w:sz w:val="21"/>
          <w:szCs w:val="21"/>
        </w:rPr>
        <w:t xml:space="preserve">T.S. scale to multiple infrastructure projects across SADC</w:t>
      </w:r>
    </w:p>
    <w:p>
      <w:pPr>
        <w:pStyle w:val="ListParagraph"/>
        <w:numPr>
          <w:ilvl w:val="0"/>
          <w:numId w:val="2"/>
        </w:numPr>
        <w:spacing w:before="60" w:after="60" w:line="320"/>
      </w:pPr>
      <w:r>
        <w:rPr>
          <w:rFonts w:ascii="Calibri" w:cs="Calibri" w:eastAsia="Calibri" w:hAnsi="Calibri"/>
          <w:color w:val="3A3A3A"/>
          <w:sz w:val="21"/>
          <w:szCs w:val="21"/>
        </w:rPr>
        <w:t xml:space="preserve">S.E.T.H.S. regional replication: 1,000+ participants</w:t>
      </w:r>
    </w:p>
    <w:p>
      <w:pPr>
        <w:pStyle w:val="ListParagraph"/>
        <w:numPr>
          <w:ilvl w:val="0"/>
          <w:numId w:val="2"/>
        </w:numPr>
        <w:spacing w:before="60" w:after="60" w:line="320"/>
      </w:pPr>
      <w:r>
        <w:rPr>
          <w:rFonts w:ascii="Calibri" w:cs="Calibri" w:eastAsia="Calibri" w:hAnsi="Calibri"/>
          <w:color w:val="3A3A3A"/>
          <w:sz w:val="21"/>
          <w:szCs w:val="21"/>
        </w:rPr>
        <w:t xml:space="preserve">M.A.D.I.B.A. capital vehicle formalised for sovereign fund engagement</w:t>
      </w:r>
    </w:p>
    <w:p>
      <w:pPr>
        <w:pStyle w:val="ListParagraph"/>
        <w:numPr>
          <w:ilvl w:val="0"/>
          <w:numId w:val="2"/>
        </w:numPr>
        <w:spacing w:before="60" w:after="60" w:line="320"/>
      </w:pPr>
      <w:r>
        <w:rPr>
          <w:rFonts w:ascii="Calibri" w:cs="Calibri" w:eastAsia="Calibri" w:hAnsi="Calibri"/>
          <w:color w:val="3A3A3A"/>
          <w:sz w:val="21"/>
          <w:szCs w:val="21"/>
        </w:rPr>
        <w:t xml:space="preserve">Funding requirement: R200M+ (sovereign / strategic investment)</w:t>
      </w:r>
    </w:p>
    <w:p>
      <w:pPr>
        <w:spacing w:before="80" w:after="80"/>
      </w:pPr>
    </w:p>
    <w:p>
      <w:pPr>
        <w:spacing w:before="240" w:after="80"/>
      </w:pPr>
      <w:r>
        <w:rPr>
          <w:rFonts w:ascii="Calibri" w:cs="Calibri" w:eastAsia="Calibri" w:hAnsi="Calibri"/>
          <w:b/>
          <w:bCs/>
          <w:color w:val="2C2C2C"/>
          <w:sz w:val="24"/>
          <w:szCs w:val="24"/>
        </w:rPr>
        <w:t xml:space="preserve">Phase 4: Years 5–10 — Regional Architecture</w:t>
      </w:r>
    </w:p>
    <w:p>
      <w:pPr>
        <w:pStyle w:val="ListParagraph"/>
        <w:numPr>
          <w:ilvl w:val="0"/>
          <w:numId w:val="2"/>
        </w:numPr>
        <w:spacing w:before="60" w:after="60" w:line="320"/>
      </w:pPr>
      <w:r>
        <w:rPr>
          <w:rFonts w:ascii="Calibri" w:cs="Calibri" w:eastAsia="Calibri" w:hAnsi="Calibri"/>
          <w:color w:val="3A3A3A"/>
          <w:sz w:val="21"/>
          <w:szCs w:val="21"/>
        </w:rPr>
        <w:t xml:space="preserve">SADC expansion: replication of full four-engine system in 3–5 target countries</w:t>
      </w:r>
    </w:p>
    <w:p>
      <w:pPr>
        <w:pStyle w:val="ListParagraph"/>
        <w:numPr>
          <w:ilvl w:val="0"/>
          <w:numId w:val="2"/>
        </w:numPr>
        <w:spacing w:before="60" w:after="60" w:line="320"/>
      </w:pPr>
      <w:r>
        <w:rPr>
          <w:rFonts w:ascii="Calibri" w:cs="Calibri" w:eastAsia="Calibri" w:hAnsi="Calibri"/>
          <w:color w:val="3A3A3A"/>
          <w:sz w:val="21"/>
          <w:szCs w:val="21"/>
        </w:rPr>
        <w:t xml:space="preserve">UDOC as national digital backbone in at least one partner government</w:t>
      </w:r>
    </w:p>
    <w:p>
      <w:pPr>
        <w:pStyle w:val="ListParagraph"/>
        <w:numPr>
          <w:ilvl w:val="0"/>
          <w:numId w:val="2"/>
        </w:numPr>
        <w:spacing w:before="60" w:after="60" w:line="320"/>
      </w:pPr>
      <w:r>
        <w:rPr>
          <w:rFonts w:ascii="Calibri" w:cs="Calibri" w:eastAsia="Calibri" w:hAnsi="Calibri"/>
          <w:color w:val="3A3A3A"/>
          <w:sz w:val="21"/>
          <w:szCs w:val="21"/>
        </w:rPr>
        <w:t xml:space="preserve">T.S. as primary infrastructure contractor for SADC development finance projects</w:t>
      </w:r>
    </w:p>
    <w:p>
      <w:pPr>
        <w:pStyle w:val="ListParagraph"/>
        <w:numPr>
          <w:ilvl w:val="0"/>
          <w:numId w:val="2"/>
        </w:numPr>
        <w:spacing w:before="60" w:after="60" w:line="320"/>
      </w:pPr>
      <w:r>
        <w:rPr>
          <w:rFonts w:ascii="Calibri" w:cs="Calibri" w:eastAsia="Calibri" w:hAnsi="Calibri"/>
          <w:color w:val="3A3A3A"/>
          <w:sz w:val="21"/>
          <w:szCs w:val="21"/>
        </w:rPr>
        <w:t xml:space="preserve">M.A.D.I.B.A. operating as a sovereign-partnered capital platform</w:t>
      </w:r>
    </w:p>
    <w:p>
      <w:r>
        <w:br w:type="page"/>
      </w:r>
    </w:p>
    <w:p>
      <w:pPr>
        <w:pStyle w:val="Heading1"/>
        <w:spacing w:before="400" w:after="120"/>
      </w:pPr>
      <w:r>
        <w:rPr>
          <w:rFonts w:ascii="Georgia" w:cs="Georgia" w:eastAsia="Georgia" w:hAnsi="Georgia"/>
          <w:b/>
          <w:bCs/>
          <w:color w:val="060E1C"/>
          <w:sz w:val="40"/>
          <w:szCs w:val="40"/>
        </w:rPr>
        <w:t xml:space="preserve">05  Institutional Governance Structure</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A central concern for institutional partners is how G.O.D.S itself is governed. The following three-layer structure is designed to ensure that the system cannot be captured, sold, or redirected away from its founding mandate.</w:t>
      </w:r>
    </w:p>
    <w:p>
      <w:pPr>
        <w:spacing w:before="120" w:after="80"/>
      </w:pPr>
    </w:p>
    <w:p>
      <w:pPr>
        <w:spacing w:before="240" w:after="80"/>
      </w:pPr>
      <w:r>
        <w:rPr>
          <w:rFonts w:ascii="Calibri" w:cs="Calibri" w:eastAsia="Calibri" w:hAnsi="Calibri"/>
          <w:b/>
          <w:bCs/>
          <w:color w:val="2C2C2C"/>
          <w:sz w:val="24"/>
          <w:szCs w:val="24"/>
        </w:rPr>
        <w:t xml:space="preserve">Layer 1: IP Trust</w:t>
      </w:r>
    </w:p>
    <w:p>
      <w:pPr>
        <w:spacing w:before="80" w:after="120" w:line="360"/>
      </w:pPr>
      <w:r>
        <w:rPr>
          <w:rFonts w:ascii="Calibri" w:cs="Calibri" w:eastAsia="Calibri" w:hAnsi="Calibri"/>
          <w:b w:val="false"/>
          <w:bCs w:val="false"/>
          <w:i w:val="false"/>
          <w:iCs w:val="false"/>
          <w:color w:val="2C2C2C"/>
          <w:sz w:val="22"/>
          <w:szCs w:val="22"/>
        </w:rPr>
        <w:t xml:space="preserve">The core intellectual property, system architecture, and constitutional design of G.O.D.S is held in trust. The core system cannot be sold, acquired, or transferred to any party — public or private — without triggering full trust dissolution provisions. This prevents the company from being absorbed by a larger entity that could redirect its mandate.</w:t>
      </w:r>
    </w:p>
    <w:p>
      <w:pPr>
        <w:spacing w:before="80" w:after="80"/>
      </w:pPr>
    </w:p>
    <w:p>
      <w:pPr>
        <w:spacing w:before="240" w:after="80"/>
      </w:pPr>
      <w:r>
        <w:rPr>
          <w:rFonts w:ascii="Calibri" w:cs="Calibri" w:eastAsia="Calibri" w:hAnsi="Calibri"/>
          <w:b/>
          <w:bCs/>
          <w:color w:val="2C2C2C"/>
          <w:sz w:val="24"/>
          <w:szCs w:val="24"/>
        </w:rPr>
        <w:t xml:space="preserve">Layer 2: Constitutional Oversight Board</w:t>
      </w:r>
    </w:p>
    <w:p>
      <w:pPr>
        <w:spacing w:before="80" w:after="120" w:line="360"/>
      </w:pPr>
      <w:r>
        <w:rPr>
          <w:rFonts w:ascii="Calibri" w:cs="Calibri" w:eastAsia="Calibri" w:hAnsi="Calibri"/>
          <w:b w:val="false"/>
          <w:bCs w:val="false"/>
          <w:i w:val="false"/>
          <w:iCs w:val="false"/>
          <w:color w:val="2C2C2C"/>
          <w:sz w:val="22"/>
          <w:szCs w:val="22"/>
        </w:rPr>
        <w:t xml:space="preserve">An independent Constitutional Oversight Board (COB) — comprised of sector experts in law, governance, infrastructure, and human rights — reviews all material strategic decisions. The COB cannot be overruled by the executive on matters of constitutional mandate compliance. Board composition is drawn from independent civil society, academic institutions, and international governance bodies.</w:t>
      </w:r>
    </w:p>
    <w:p>
      <w:pPr>
        <w:spacing w:before="80" w:after="80"/>
      </w:pPr>
    </w:p>
    <w:p>
      <w:pPr>
        <w:spacing w:before="240" w:after="80"/>
      </w:pPr>
      <w:r>
        <w:rPr>
          <w:rFonts w:ascii="Calibri" w:cs="Calibri" w:eastAsia="Calibri" w:hAnsi="Calibri"/>
          <w:b/>
          <w:bCs/>
          <w:color w:val="2C2C2C"/>
          <w:sz w:val="24"/>
          <w:szCs w:val="24"/>
        </w:rPr>
        <w:t xml:space="preserve">Layer 3: Government SPV Model</w:t>
      </w:r>
    </w:p>
    <w:p>
      <w:pPr>
        <w:spacing w:before="80" w:after="120" w:line="360"/>
      </w:pPr>
      <w:r>
        <w:rPr>
          <w:rFonts w:ascii="Calibri" w:cs="Calibri" w:eastAsia="Calibri" w:hAnsi="Calibri"/>
          <w:b w:val="false"/>
          <w:bCs w:val="false"/>
          <w:i w:val="false"/>
          <w:iCs w:val="false"/>
          <w:color w:val="2C2C2C"/>
          <w:sz w:val="22"/>
          <w:szCs w:val="22"/>
        </w:rPr>
        <w:t xml:space="preserve">All project-level deployments — particularly UDOC and T.S. infrastructure — are structured through dedicated Special Purpose Vehicles (SPVs) that include government co-ownership where public mandates are involved. This ensures that public infrastructure remains under public co-control, and that G.O.D.S cannot operate in the public interest sphere without formal governmental partnership.</w:t>
      </w:r>
    </w:p>
    <w:p>
      <w:pPr>
        <w:spacing w:before="120" w:after="80"/>
      </w:pPr>
    </w:p>
    <w:p>
      <w:pPr>
        <w:spacing w:before="240" w:after="80"/>
      </w:pPr>
      <w:r>
        <w:rPr>
          <w:rFonts w:ascii="Calibri" w:cs="Calibri" w:eastAsia="Calibri" w:hAnsi="Calibri"/>
          <w:b/>
          <w:bCs/>
          <w:color w:val="2C2C2C"/>
          <w:sz w:val="24"/>
          <w:szCs w:val="24"/>
        </w:rPr>
        <w:t xml:space="preserve">The 12 Constitutional Pillars</w:t>
      </w:r>
    </w:p>
    <w:p>
      <w:pPr>
        <w:spacing w:before="80" w:after="120" w:line="360"/>
      </w:pPr>
      <w:r>
        <w:rPr>
          <w:rFonts w:ascii="Calibri" w:cs="Calibri" w:eastAsia="Calibri" w:hAnsi="Calibri"/>
          <w:b w:val="false"/>
          <w:bCs w:val="false"/>
          <w:i w:val="false"/>
          <w:iCs w:val="false"/>
          <w:color w:val="2C2C2C"/>
          <w:sz w:val="22"/>
          <w:szCs w:val="22"/>
        </w:rPr>
        <w:t xml:space="preserve">G.O.D.S operates under 12 Constitutional Pillars that govern the conduct of all divisions and represent inviolable operating principles. These cannot be amended by any executive decision and require supermajority COB approval for any modification:</w:t>
      </w:r>
    </w:p>
    <w:p>
      <w:pPr>
        <w:spacing w:before="80" w:after="80"/>
      </w:pPr>
    </w:p>
    <w:p>
      <w:pPr>
        <w:pStyle w:val="ListParagraph"/>
        <w:numPr>
          <w:ilvl w:val="0"/>
          <w:numId w:val="3"/>
        </w:numPr>
        <w:spacing w:before="60" w:after="60" w:line="320"/>
      </w:pPr>
      <w:r>
        <w:rPr>
          <w:rFonts w:ascii="Calibri" w:cs="Calibri" w:eastAsia="Calibri" w:hAnsi="Calibri"/>
          <w:b/>
          <w:bCs/>
          <w:color w:val="1A1A1A"/>
          <w:sz w:val="21"/>
          <w:szCs w:val="21"/>
        </w:rPr>
        <w:t xml:space="preserve">Human Dignity </w:t>
      </w:r>
      <w:r>
        <w:rPr>
          <w:rFonts w:ascii="Calibri" w:cs="Calibri" w:eastAsia="Calibri" w:hAnsi="Calibri"/>
          <w:color w:val="3A3A3A"/>
          <w:sz w:val="21"/>
          <w:szCs w:val="21"/>
        </w:rPr>
        <w:t xml:space="preserve">Every program and system must demonstrably advance human dignity, not merely economic efficiency.</w:t>
      </w:r>
    </w:p>
    <w:p>
      <w:pPr>
        <w:pStyle w:val="ListParagraph"/>
        <w:numPr>
          <w:ilvl w:val="0"/>
          <w:numId w:val="3"/>
        </w:numPr>
        <w:spacing w:before="60" w:after="60" w:line="320"/>
      </w:pPr>
      <w:r>
        <w:rPr>
          <w:rFonts w:ascii="Calibri" w:cs="Calibri" w:eastAsia="Calibri" w:hAnsi="Calibri"/>
          <w:b/>
          <w:bCs/>
          <w:color w:val="1A1A1A"/>
          <w:sz w:val="21"/>
          <w:szCs w:val="21"/>
        </w:rPr>
        <w:t xml:space="preserve">Data Sovereignty </w:t>
      </w:r>
      <w:r>
        <w:rPr>
          <w:rFonts w:ascii="Calibri" w:cs="Calibri" w:eastAsia="Calibri" w:hAnsi="Calibri"/>
          <w:color w:val="3A3A3A"/>
          <w:sz w:val="21"/>
          <w:szCs w:val="21"/>
        </w:rPr>
        <w:t xml:space="preserve">No citizen or government data may be held under foreign jurisdiction or transferred to foreign entities.</w:t>
      </w:r>
    </w:p>
    <w:p>
      <w:pPr>
        <w:pStyle w:val="ListParagraph"/>
        <w:numPr>
          <w:ilvl w:val="0"/>
          <w:numId w:val="3"/>
        </w:numPr>
        <w:spacing w:before="60" w:after="60" w:line="320"/>
      </w:pPr>
      <w:r>
        <w:rPr>
          <w:rFonts w:ascii="Calibri" w:cs="Calibri" w:eastAsia="Calibri" w:hAnsi="Calibri"/>
          <w:b/>
          <w:bCs/>
          <w:color w:val="1A1A1A"/>
          <w:sz w:val="21"/>
          <w:szCs w:val="21"/>
        </w:rPr>
        <w:t xml:space="preserve">Transparency </w:t>
      </w:r>
      <w:r>
        <w:rPr>
          <w:rFonts w:ascii="Calibri" w:cs="Calibri" w:eastAsia="Calibri" w:hAnsi="Calibri"/>
          <w:color w:val="3A3A3A"/>
          <w:sz w:val="21"/>
          <w:szCs w:val="21"/>
        </w:rPr>
        <w:t xml:space="preserve">All AI systems operated by G.O.D.S must produce explainable, auditable outputs accessible to oversight bodies.</w:t>
      </w:r>
    </w:p>
    <w:p>
      <w:pPr>
        <w:pStyle w:val="ListParagraph"/>
        <w:numPr>
          <w:ilvl w:val="0"/>
          <w:numId w:val="3"/>
        </w:numPr>
        <w:spacing w:before="60" w:after="60" w:line="320"/>
      </w:pPr>
      <w:r>
        <w:rPr>
          <w:rFonts w:ascii="Calibri" w:cs="Calibri" w:eastAsia="Calibri" w:hAnsi="Calibri"/>
          <w:b/>
          <w:bCs/>
          <w:color w:val="1A1A1A"/>
          <w:sz w:val="21"/>
          <w:szCs w:val="21"/>
        </w:rPr>
        <w:t xml:space="preserve">Equity of Access </w:t>
      </w:r>
      <w:r>
        <w:rPr>
          <w:rFonts w:ascii="Calibri" w:cs="Calibri" w:eastAsia="Calibri" w:hAnsi="Calibri"/>
          <w:color w:val="3A3A3A"/>
          <w:sz w:val="21"/>
          <w:szCs w:val="21"/>
        </w:rPr>
        <w:t xml:space="preserve">System benefits must be designed to reach the most marginalised populations first.</w:t>
      </w:r>
    </w:p>
    <w:p>
      <w:pPr>
        <w:pStyle w:val="ListParagraph"/>
        <w:numPr>
          <w:ilvl w:val="0"/>
          <w:numId w:val="3"/>
        </w:numPr>
        <w:spacing w:before="60" w:after="60" w:line="320"/>
      </w:pPr>
      <w:r>
        <w:rPr>
          <w:rFonts w:ascii="Calibri" w:cs="Calibri" w:eastAsia="Calibri" w:hAnsi="Calibri"/>
          <w:b/>
          <w:bCs/>
          <w:color w:val="1A1A1A"/>
          <w:sz w:val="21"/>
          <w:szCs w:val="21"/>
        </w:rPr>
        <w:t xml:space="preserve">Environmental Integrity </w:t>
      </w:r>
      <w:r>
        <w:rPr>
          <w:rFonts w:ascii="Calibri" w:cs="Calibri" w:eastAsia="Calibri" w:hAnsi="Calibri"/>
          <w:color w:val="3A3A3A"/>
          <w:sz w:val="21"/>
          <w:szCs w:val="21"/>
        </w:rPr>
        <w:t xml:space="preserve">All infrastructure projects must meet or exceed internationally recognised environmental standards.</w:t>
      </w:r>
    </w:p>
    <w:p>
      <w:pPr>
        <w:pStyle w:val="ListParagraph"/>
        <w:numPr>
          <w:ilvl w:val="0"/>
          <w:numId w:val="3"/>
        </w:numPr>
        <w:spacing w:before="60" w:after="60" w:line="320"/>
      </w:pPr>
      <w:r>
        <w:rPr>
          <w:rFonts w:ascii="Calibri" w:cs="Calibri" w:eastAsia="Calibri" w:hAnsi="Calibri"/>
          <w:b/>
          <w:bCs/>
          <w:color w:val="1A1A1A"/>
          <w:sz w:val="21"/>
          <w:szCs w:val="21"/>
        </w:rPr>
        <w:t xml:space="preserve">Anti-Capture </w:t>
      </w:r>
      <w:r>
        <w:rPr>
          <w:rFonts w:ascii="Calibri" w:cs="Calibri" w:eastAsia="Calibri" w:hAnsi="Calibri"/>
          <w:color w:val="3A3A3A"/>
          <w:sz w:val="21"/>
          <w:szCs w:val="21"/>
        </w:rPr>
        <w:t xml:space="preserve">No single investor, government, or entity may acquire controlling influence over system architecture.</w:t>
      </w:r>
    </w:p>
    <w:p>
      <w:pPr>
        <w:pStyle w:val="ListParagraph"/>
        <w:numPr>
          <w:ilvl w:val="0"/>
          <w:numId w:val="3"/>
        </w:numPr>
        <w:spacing w:before="60" w:after="60" w:line="320"/>
      </w:pPr>
      <w:r>
        <w:rPr>
          <w:rFonts w:ascii="Calibri" w:cs="Calibri" w:eastAsia="Calibri" w:hAnsi="Calibri"/>
          <w:b/>
          <w:bCs/>
          <w:color w:val="1A1A1A"/>
          <w:sz w:val="21"/>
          <w:szCs w:val="21"/>
        </w:rPr>
        <w:t xml:space="preserve">Indigenous Knowledge Protection </w:t>
      </w:r>
      <w:r>
        <w:rPr>
          <w:rFonts w:ascii="Calibri" w:cs="Calibri" w:eastAsia="Calibri" w:hAnsi="Calibri"/>
          <w:color w:val="3A3A3A"/>
          <w:sz w:val="21"/>
          <w:szCs w:val="21"/>
        </w:rPr>
        <w:t xml:space="preserve">Programs operating in local communities must actively protect and integrate indigenous knowledge systems.</w:t>
      </w:r>
    </w:p>
    <w:p>
      <w:pPr>
        <w:pStyle w:val="ListParagraph"/>
        <w:numPr>
          <w:ilvl w:val="0"/>
          <w:numId w:val="3"/>
        </w:numPr>
        <w:spacing w:before="60" w:after="60" w:line="320"/>
      </w:pPr>
      <w:r>
        <w:rPr>
          <w:rFonts w:ascii="Calibri" w:cs="Calibri" w:eastAsia="Calibri" w:hAnsi="Calibri"/>
          <w:b/>
          <w:bCs/>
          <w:color w:val="1A1A1A"/>
          <w:sz w:val="21"/>
          <w:szCs w:val="21"/>
        </w:rPr>
        <w:t xml:space="preserve">Intergenerational Mandate </w:t>
      </w:r>
      <w:r>
        <w:rPr>
          <w:rFonts w:ascii="Calibri" w:cs="Calibri" w:eastAsia="Calibri" w:hAnsi="Calibri"/>
          <w:color w:val="3A3A3A"/>
          <w:sz w:val="21"/>
          <w:szCs w:val="21"/>
        </w:rPr>
        <w:t xml:space="preserve">All system design must consider consequences across a minimum 50-year horizon.</w:t>
      </w:r>
    </w:p>
    <w:p>
      <w:pPr>
        <w:pStyle w:val="ListParagraph"/>
        <w:numPr>
          <w:ilvl w:val="0"/>
          <w:numId w:val="3"/>
        </w:numPr>
        <w:spacing w:before="60" w:after="60" w:line="320"/>
      </w:pPr>
      <w:r>
        <w:rPr>
          <w:rFonts w:ascii="Calibri" w:cs="Calibri" w:eastAsia="Calibri" w:hAnsi="Calibri"/>
          <w:b/>
          <w:bCs/>
          <w:color w:val="1A1A1A"/>
          <w:sz w:val="21"/>
          <w:szCs w:val="21"/>
        </w:rPr>
        <w:t xml:space="preserve">Accountability </w:t>
      </w:r>
      <w:r>
        <w:rPr>
          <w:rFonts w:ascii="Calibri" w:cs="Calibri" w:eastAsia="Calibri" w:hAnsi="Calibri"/>
          <w:color w:val="3A3A3A"/>
          <w:sz w:val="21"/>
          <w:szCs w:val="21"/>
        </w:rPr>
        <w:t xml:space="preserve">All executive decisions are recorded, disclosed to the COB, and archived immutably.</w:t>
      </w:r>
    </w:p>
    <w:p>
      <w:pPr>
        <w:pStyle w:val="ListParagraph"/>
        <w:numPr>
          <w:ilvl w:val="0"/>
          <w:numId w:val="3"/>
        </w:numPr>
        <w:spacing w:before="60" w:after="60" w:line="320"/>
      </w:pPr>
      <w:r>
        <w:rPr>
          <w:rFonts w:ascii="Calibri" w:cs="Calibri" w:eastAsia="Calibri" w:hAnsi="Calibri"/>
          <w:b/>
          <w:bCs/>
          <w:color w:val="1A1A1A"/>
          <w:sz w:val="21"/>
          <w:szCs w:val="21"/>
        </w:rPr>
        <w:t xml:space="preserve">No Weaponisation </w:t>
      </w:r>
      <w:r>
        <w:rPr>
          <w:rFonts w:ascii="Calibri" w:cs="Calibri" w:eastAsia="Calibri" w:hAnsi="Calibri"/>
          <w:color w:val="3A3A3A"/>
          <w:sz w:val="21"/>
          <w:szCs w:val="21"/>
        </w:rPr>
        <w:t xml:space="preserve">G.O.D.S systems may not be deployed for military, surveillance, or political suppression purposes.</w:t>
      </w:r>
    </w:p>
    <w:p>
      <w:pPr>
        <w:pStyle w:val="ListParagraph"/>
        <w:numPr>
          <w:ilvl w:val="0"/>
          <w:numId w:val="3"/>
        </w:numPr>
        <w:spacing w:before="60" w:after="60" w:line="320"/>
      </w:pPr>
      <w:r>
        <w:rPr>
          <w:rFonts w:ascii="Calibri" w:cs="Calibri" w:eastAsia="Calibri" w:hAnsi="Calibri"/>
          <w:b/>
          <w:bCs/>
          <w:color w:val="1A1A1A"/>
          <w:sz w:val="21"/>
          <w:szCs w:val="21"/>
        </w:rPr>
        <w:t xml:space="preserve">Participatory Design </w:t>
      </w:r>
      <w:r>
        <w:rPr>
          <w:rFonts w:ascii="Calibri" w:cs="Calibri" w:eastAsia="Calibri" w:hAnsi="Calibri"/>
          <w:color w:val="3A3A3A"/>
          <w:sz w:val="21"/>
          <w:szCs w:val="21"/>
        </w:rPr>
        <w:t xml:space="preserve">Affected communities have formal input rights in program design and deployment.</w:t>
      </w:r>
    </w:p>
    <w:p>
      <w:pPr>
        <w:pStyle w:val="ListParagraph"/>
        <w:numPr>
          <w:ilvl w:val="0"/>
          <w:numId w:val="3"/>
        </w:numPr>
        <w:spacing w:before="60" w:after="60" w:line="320"/>
      </w:pPr>
      <w:r>
        <w:rPr>
          <w:rFonts w:ascii="Calibri" w:cs="Calibri" w:eastAsia="Calibri" w:hAnsi="Calibri"/>
          <w:b/>
          <w:bCs/>
          <w:color w:val="1A1A1A"/>
          <w:sz w:val="21"/>
          <w:szCs w:val="21"/>
        </w:rPr>
        <w:t xml:space="preserve">Financial Integrity </w:t>
      </w:r>
      <w:r>
        <w:rPr>
          <w:rFonts w:ascii="Calibri" w:cs="Calibri" w:eastAsia="Calibri" w:hAnsi="Calibri"/>
          <w:color w:val="3A3A3A"/>
          <w:sz w:val="21"/>
          <w:szCs w:val="21"/>
        </w:rPr>
        <w:t xml:space="preserve">No division may prioritise returns at the expense of constitutional mandate compliance.</w:t>
      </w:r>
    </w:p>
    <w:p>
      <w:r>
        <w:br w:type="page"/>
      </w:r>
    </w:p>
    <w:p>
      <w:pPr>
        <w:pStyle w:val="Heading1"/>
        <w:spacing w:before="400" w:after="120"/>
      </w:pPr>
      <w:r>
        <w:rPr>
          <w:rFonts w:ascii="Georgia" w:cs="Georgia" w:eastAsia="Georgia" w:hAnsi="Georgia"/>
          <w:b/>
          <w:bCs/>
          <w:color w:val="060E1C"/>
          <w:sz w:val="40"/>
          <w:szCs w:val="40"/>
        </w:rPr>
        <w:t xml:space="preserve">06  South Africa as Global Proof of Concept</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South Africa is not chosen as the starting location by default. It is the strategic choice. No country in the world provides a more comprehensive stress-test environment for the G.O.D.S system:</w:t>
      </w:r>
    </w:p>
    <w:p>
      <w:pPr>
        <w:spacing w:before="80" w:after="80"/>
      </w:pPr>
    </w:p>
    <w:p>
      <w:pPr>
        <w:pStyle w:val="ListParagraph"/>
        <w:numPr>
          <w:ilvl w:val="0"/>
          <w:numId w:val="2"/>
        </w:numPr>
        <w:spacing w:before="60" w:after="60" w:line="320"/>
      </w:pPr>
      <w:r>
        <w:rPr>
          <w:rFonts w:ascii="Calibri" w:cs="Calibri" w:eastAsia="Calibri" w:hAnsi="Calibri"/>
          <w:color w:val="3A3A3A"/>
          <w:sz w:val="21"/>
          <w:szCs w:val="21"/>
        </w:rPr>
        <w:t xml:space="preserve">Unemployment rate exceeding 33% — the highest sustained unemployment among major economies globally.</w:t>
      </w:r>
    </w:p>
    <w:p>
      <w:pPr>
        <w:pStyle w:val="ListParagraph"/>
        <w:numPr>
          <w:ilvl w:val="0"/>
          <w:numId w:val="2"/>
        </w:numPr>
        <w:spacing w:before="60" w:after="60" w:line="320"/>
      </w:pPr>
      <w:r>
        <w:rPr>
          <w:rFonts w:ascii="Calibri" w:cs="Calibri" w:eastAsia="Calibri" w:hAnsi="Calibri"/>
          <w:color w:val="3A3A3A"/>
          <w:sz w:val="21"/>
          <w:szCs w:val="21"/>
        </w:rPr>
        <w:t xml:space="preserve">Advanced infrastructure base (grid, roads, ports) combined with severe infrastructure gaps (load-shedding, water scarcity, housing deficit).</w:t>
      </w:r>
    </w:p>
    <w:p>
      <w:pPr>
        <w:pStyle w:val="ListParagraph"/>
        <w:numPr>
          <w:ilvl w:val="0"/>
          <w:numId w:val="2"/>
        </w:numPr>
        <w:spacing w:before="60" w:after="60" w:line="320"/>
      </w:pPr>
      <w:r>
        <w:rPr>
          <w:rFonts w:ascii="Calibri" w:cs="Calibri" w:eastAsia="Calibri" w:hAnsi="Calibri"/>
          <w:color w:val="3A3A3A"/>
          <w:sz w:val="21"/>
          <w:szCs w:val="21"/>
        </w:rPr>
        <w:t xml:space="preserve">Functioning constitutional democracy with independent judiciary — enabling genuine governance innovation.</w:t>
      </w:r>
    </w:p>
    <w:p>
      <w:pPr>
        <w:pStyle w:val="ListParagraph"/>
        <w:numPr>
          <w:ilvl w:val="0"/>
          <w:numId w:val="2"/>
        </w:numPr>
        <w:spacing w:before="60" w:after="60" w:line="320"/>
      </w:pPr>
      <w:r>
        <w:rPr>
          <w:rFonts w:ascii="Calibri" w:cs="Calibri" w:eastAsia="Calibri" w:hAnsi="Calibri"/>
          <w:color w:val="3A3A3A"/>
          <w:sz w:val="21"/>
          <w:szCs w:val="21"/>
        </w:rPr>
        <w:t xml:space="preserve">BRICS membership and SADC leadership — providing institutional gateway to 16 SADC member states and broader African Union influence.</w:t>
      </w:r>
    </w:p>
    <w:p>
      <w:pPr>
        <w:pStyle w:val="ListParagraph"/>
        <w:numPr>
          <w:ilvl w:val="0"/>
          <w:numId w:val="2"/>
        </w:numPr>
        <w:spacing w:before="60" w:after="60" w:line="320"/>
      </w:pPr>
      <w:r>
        <w:rPr>
          <w:rFonts w:ascii="Calibri" w:cs="Calibri" w:eastAsia="Calibri" w:hAnsi="Calibri"/>
          <w:color w:val="3A3A3A"/>
          <w:sz w:val="21"/>
          <w:szCs w:val="21"/>
        </w:rPr>
        <w:t xml:space="preserve">Established DFI presence: DBSA, IDC, NEF — providing accessible funding infrastructure.</w:t>
      </w:r>
    </w:p>
    <w:p>
      <w:pPr>
        <w:pStyle w:val="ListParagraph"/>
        <w:numPr>
          <w:ilvl w:val="0"/>
          <w:numId w:val="2"/>
        </w:numPr>
        <w:spacing w:before="60" w:after="60" w:line="320"/>
      </w:pPr>
      <w:r>
        <w:rPr>
          <w:rFonts w:ascii="Calibri" w:cs="Calibri" w:eastAsia="Calibri" w:hAnsi="Calibri"/>
          <w:color w:val="3A3A3A"/>
          <w:sz w:val="21"/>
          <w:szCs w:val="21"/>
        </w:rPr>
        <w:t xml:space="preserve">Sophisticated financial sector capable of structuring complex SPV and trust arrangements.</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pPr>
            <w:r>
              <w:rPr>
                <w:rFonts w:ascii="Calibri" w:cs="Calibri" w:eastAsia="Calibri" w:hAnsi="Calibri"/>
                <w:b w:val="false"/>
                <w:bCs w:val="false"/>
                <w:i/>
                <w:iCs/>
                <w:color w:val="1A1A1A"/>
                <w:sz w:val="22"/>
                <w:szCs w:val="22"/>
              </w:rPr>
              <w:t xml:space="preserve">If the G.O.D.S compounding loop works in South Africa's conditions — high unemployment, infrastructure deficit, institutional trust gaps, and emerging market capital constraints — it works anywhere. South Africa is the proof of concept. Every subsequent market is a replication.</w:t>
            </w:r>
          </w:p>
        </w:tc>
      </w:tr>
    </w:tbl>
    <w:p>
      <w:r>
        <w:br w:type="page"/>
      </w:r>
    </w:p>
    <w:p>
      <w:pPr>
        <w:pStyle w:val="Heading1"/>
        <w:spacing w:before="400" w:after="120"/>
      </w:pPr>
      <w:r>
        <w:rPr>
          <w:rFonts w:ascii="Georgia" w:cs="Georgia" w:eastAsia="Georgia" w:hAnsi="Georgia"/>
          <w:b/>
          <w:bCs/>
          <w:color w:val="060E1C"/>
          <w:sz w:val="40"/>
          <w:szCs w:val="40"/>
        </w:rPr>
        <w:t xml:space="preserve">07  Competitive Positioning</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G.O.D.S occupies a unique structural position in the market. The closest comparisons are Palantir (data governance infrastructure), BlackRock (institutional capital deployment), IFC (development finance), and a workforce reintegration engine. But no existing organisation combines all four functions in a single compounding architecture. This is not a coincidence — it is structurally difficult to build, which is why it has not been done.</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Dimension</w:t>
            </w:r>
          </w:p>
        </w:tc>
        <w:tc>
          <w:tcPr>
            <w:tcW w:type="dxa" w:w="338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Existing Organisations</w:t>
            </w:r>
          </w:p>
        </w:tc>
        <w:tc>
          <w:tcPr>
            <w:tcW w:type="dxa" w:w="338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20"/>
                <w:szCs w:val="20"/>
              </w:rPr>
              <w:t xml:space="preserve">G.O.D.S</w:t>
            </w:r>
          </w:p>
        </w:tc>
      </w:tr>
      <w:tr>
        <w:tc>
          <w:tcPr>
            <w:tcW w:type="dxa" w:w="260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060E1C"/>
                <w:sz w:val="20"/>
                <w:szCs w:val="20"/>
              </w:rPr>
              <w:t xml:space="preserve">Workforce reintegration</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color w:val="555555"/>
                <w:sz w:val="20"/>
                <w:szCs w:val="20"/>
              </w:rPr>
              <w:t xml:space="preserve">NGOs, government programs (siloed)</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1A5C1A"/>
                <w:sz w:val="20"/>
                <w:szCs w:val="20"/>
              </w:rPr>
              <w:t xml:space="preserve">Integrated into capital-generating loop</w:t>
            </w:r>
          </w:p>
        </w:tc>
      </w:tr>
      <w:tr>
        <w:tc>
          <w:tcPr>
            <w:tcW w:type="dxa" w:w="26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bCs/>
                <w:color w:val="060E1C"/>
                <w:sz w:val="20"/>
                <w:szCs w:val="20"/>
              </w:rPr>
              <w:t xml:space="preserve">Infrastructure build</w:t>
            </w:r>
          </w:p>
        </w:tc>
        <w:tc>
          <w:tcPr>
            <w:tcW w:type="dxa" w:w="33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color w:val="555555"/>
                <w:sz w:val="20"/>
                <w:szCs w:val="20"/>
              </w:rPr>
              <w:t xml:space="preserve">Contractors (no workforce link)</w:t>
            </w:r>
          </w:p>
        </w:tc>
        <w:tc>
          <w:tcPr>
            <w:tcW w:type="dxa" w:w="33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bCs/>
                <w:color w:val="1A5C1A"/>
                <w:sz w:val="20"/>
                <w:szCs w:val="20"/>
              </w:rPr>
              <w:t xml:space="preserve">Built by trained workforce; compounding</w:t>
            </w:r>
          </w:p>
        </w:tc>
      </w:tr>
      <w:tr>
        <w:tc>
          <w:tcPr>
            <w:tcW w:type="dxa" w:w="260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060E1C"/>
                <w:sz w:val="20"/>
                <w:szCs w:val="20"/>
              </w:rPr>
              <w:t xml:space="preserve">AI governance</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color w:val="555555"/>
                <w:sz w:val="20"/>
                <w:szCs w:val="20"/>
              </w:rPr>
              <w:t xml:space="preserve">Palantir, US/EU SaaS tools</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1A5C1A"/>
                <w:sz w:val="20"/>
                <w:szCs w:val="20"/>
              </w:rPr>
              <w:t xml:space="preserve">Sovereign-first, African-built, government-deployable</w:t>
            </w:r>
          </w:p>
        </w:tc>
      </w:tr>
      <w:tr>
        <w:tc>
          <w:tcPr>
            <w:tcW w:type="dxa" w:w="260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bCs/>
                <w:color w:val="060E1C"/>
                <w:sz w:val="20"/>
                <w:szCs w:val="20"/>
              </w:rPr>
              <w:t xml:space="preserve">Capital deployment</w:t>
            </w:r>
          </w:p>
        </w:tc>
        <w:tc>
          <w:tcPr>
            <w:tcW w:type="dxa" w:w="33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color w:val="555555"/>
                <w:sz w:val="20"/>
                <w:szCs w:val="20"/>
              </w:rPr>
              <w:t xml:space="preserve">BlackRock, DFIs (external)</w:t>
            </w:r>
          </w:p>
        </w:tc>
        <w:tc>
          <w:tcPr>
            <w:tcW w:type="dxa" w:w="3380"/>
            <w:tcBorders>
              <w:top w:val="single" w:color="DDDDDD" w:sz="1"/>
              <w:left w:val="single" w:color="DDDDDD" w:sz="1"/>
              <w:bottom w:val="single" w:color="DDDDDD" w:sz="1"/>
              <w:right w:val="single" w:color="DDDDDD" w:sz="1"/>
            </w:tcBorders>
            <w:shd w:fill="FAFAFA" w:val="clear"/>
            <w:tcMar>
              <w:top w:type="dxa" w:w="100"/>
              <w:left w:type="dxa" w:w="140"/>
              <w:bottom w:type="dxa" w:w="100"/>
              <w:right w:type="dxa" w:w="140"/>
            </w:tcMar>
          </w:tcPr>
          <w:p>
            <w:r>
              <w:rPr>
                <w:rFonts w:ascii="Calibri" w:cs="Calibri" w:eastAsia="Calibri" w:hAnsi="Calibri"/>
                <w:b/>
                <w:bCs/>
                <w:color w:val="1A5C1A"/>
                <w:sz w:val="20"/>
                <w:szCs w:val="20"/>
              </w:rPr>
              <w:t xml:space="preserve">Internal capital architecture with SPV structure</w:t>
            </w:r>
          </w:p>
        </w:tc>
      </w:tr>
      <w:tr>
        <w:tc>
          <w:tcPr>
            <w:tcW w:type="dxa" w:w="260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060E1C"/>
                <w:sz w:val="20"/>
                <w:szCs w:val="20"/>
              </w:rPr>
              <w:t xml:space="preserve">System integration</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color w:val="555555"/>
                <w:sz w:val="20"/>
                <w:szCs w:val="20"/>
              </w:rPr>
              <w:t xml:space="preserve">None — each function separate</w:t>
            </w:r>
          </w:p>
        </w:tc>
        <w:tc>
          <w:tcPr>
            <w:tcW w:type="dxa" w:w="3380"/>
            <w:tcBorders>
              <w:top w:val="single" w:color="DDDDDD" w:sz="1"/>
              <w:left w:val="single" w:color="DDDDDD" w:sz="1"/>
              <w:bottom w:val="single" w:color="DDDDDD" w:sz="1"/>
              <w:right w:val="single" w:color="DDDDDD" w:sz="1"/>
            </w:tcBorders>
            <w:shd w:fill="F0EDE6" w:val="clear"/>
            <w:tcMar>
              <w:top w:type="dxa" w:w="100"/>
              <w:left w:type="dxa" w:w="140"/>
              <w:bottom w:type="dxa" w:w="100"/>
              <w:right w:type="dxa" w:w="140"/>
            </w:tcMar>
          </w:tcPr>
          <w:p>
            <w:r>
              <w:rPr>
                <w:rFonts w:ascii="Calibri" w:cs="Calibri" w:eastAsia="Calibri" w:hAnsi="Calibri"/>
                <w:b/>
                <w:bCs/>
                <w:color w:val="1A5C1A"/>
                <w:sz w:val="20"/>
                <w:szCs w:val="20"/>
              </w:rPr>
              <w:t xml:space="preserve">Single closed compounding loop</w:t>
            </w:r>
          </w:p>
        </w:tc>
      </w:tr>
    </w:tbl>
    <w:p>
      <w:pPr>
        <w:spacing w:before="200" w:after="80"/>
      </w:pPr>
    </w:p>
    <w:p>
      <w:r>
        <w:br w:type="page"/>
      </w:r>
    </w:p>
    <w:p>
      <w:pPr>
        <w:pStyle w:val="Heading1"/>
        <w:spacing w:before="400" w:after="120"/>
      </w:pPr>
      <w:r>
        <w:rPr>
          <w:rFonts w:ascii="Georgia" w:cs="Georgia" w:eastAsia="Georgia" w:hAnsi="Georgia"/>
          <w:b/>
          <w:bCs/>
          <w:color w:val="060E1C"/>
          <w:sz w:val="40"/>
          <w:szCs w:val="40"/>
        </w:rPr>
        <w:t xml:space="preserve">08  Funding Architecture</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G.O.D.S does not approach funding as a single capital raise. Each stage has a distinct funding profile matched to the capital type most appropriate for its risk and impact characteristics.</w:t>
      </w:r>
    </w:p>
    <w:p>
      <w:pPr>
        <w:spacing w:before="120" w:after="80"/>
      </w:pPr>
    </w:p>
    <w:p>
      <w:pPr>
        <w:spacing w:before="240" w:after="80"/>
      </w:pPr>
      <w:r>
        <w:rPr>
          <w:rFonts w:ascii="Calibri" w:cs="Calibri" w:eastAsia="Calibri" w:hAnsi="Calibri"/>
          <w:b/>
          <w:bCs/>
          <w:color w:val="2C2C2C"/>
          <w:sz w:val="24"/>
          <w:szCs w:val="24"/>
        </w:rPr>
        <w:t xml:space="preserve">Stage 1 — S.E.T.H.S. Pilot — R12–18M</w:t>
      </w:r>
    </w:p>
    <w:p>
      <w:pPr>
        <w:spacing w:before="80" w:after="120" w:line="360"/>
      </w:pPr>
      <w:r>
        <w:rPr>
          <w:rFonts w:ascii="Calibri" w:cs="Calibri" w:eastAsia="Calibri" w:hAnsi="Calibri"/>
          <w:b w:val="false"/>
          <w:bCs w:val="false"/>
          <w:i w:val="false"/>
          <w:iCs w:val="false"/>
          <w:color w:val="2C2C2C"/>
          <w:sz w:val="22"/>
          <w:szCs w:val="22"/>
        </w:rPr>
        <w:t xml:space="preserve">Grant funding, DFI seed grants (DBSA, IDC Social), corporate CSI, and impact philanthropic capital. Risk profile suited to non-returnable and concessional funding. Target funders: National Treasury Social Employment Fund, DBSA Grant Facility, international foundations (Omidyar, Hewlett, Gates).</w:t>
      </w:r>
    </w:p>
    <w:p>
      <w:pPr>
        <w:spacing w:before="60" w:after="60"/>
      </w:pPr>
    </w:p>
    <w:p>
      <w:pPr>
        <w:spacing w:before="240" w:after="80"/>
      </w:pPr>
      <w:r>
        <w:rPr>
          <w:rFonts w:ascii="Calibri" w:cs="Calibri" w:eastAsia="Calibri" w:hAnsi="Calibri"/>
          <w:b/>
          <w:bCs/>
          <w:color w:val="2C2C2C"/>
          <w:sz w:val="24"/>
          <w:szCs w:val="24"/>
        </w:rPr>
        <w:t xml:space="preserve">Stage 2 — T.S. Infrastructure — R45–80M</w:t>
      </w:r>
    </w:p>
    <w:p>
      <w:pPr>
        <w:spacing w:before="80" w:after="120" w:line="360"/>
      </w:pPr>
      <w:r>
        <w:rPr>
          <w:rFonts w:ascii="Calibri" w:cs="Calibri" w:eastAsia="Calibri" w:hAnsi="Calibri"/>
          <w:b w:val="false"/>
          <w:bCs w:val="false"/>
          <w:i w:val="false"/>
          <w:iCs w:val="false"/>
          <w:color w:val="2C2C2C"/>
          <w:sz w:val="22"/>
          <w:szCs w:val="22"/>
        </w:rPr>
        <w:t xml:space="preserve">DFI project finance, blended finance structures, government procurement contracts. Infrastructure projects generate returns sufficient for commercial blending. Target funders: DBSA Infrastructure Fund, IDC, IFC, USAID DCA.</w:t>
      </w:r>
    </w:p>
    <w:p>
      <w:pPr>
        <w:spacing w:before="60" w:after="60"/>
      </w:pPr>
    </w:p>
    <w:p>
      <w:pPr>
        <w:spacing w:before="240" w:after="80"/>
      </w:pPr>
      <w:r>
        <w:rPr>
          <w:rFonts w:ascii="Calibri" w:cs="Calibri" w:eastAsia="Calibri" w:hAnsi="Calibri"/>
          <w:b/>
          <w:bCs/>
          <w:color w:val="2C2C2C"/>
          <w:sz w:val="24"/>
          <w:szCs w:val="24"/>
        </w:rPr>
        <w:t xml:space="preserve">Stage 3 — UDOC Government Deployment — R80–200M</w:t>
      </w:r>
    </w:p>
    <w:p>
      <w:pPr>
        <w:spacing w:before="80" w:after="120" w:line="360"/>
      </w:pPr>
      <w:r>
        <w:rPr>
          <w:rFonts w:ascii="Calibri" w:cs="Calibri" w:eastAsia="Calibri" w:hAnsi="Calibri"/>
          <w:b w:val="false"/>
          <w:bCs w:val="false"/>
          <w:i w:val="false"/>
          <w:iCs w:val="false"/>
          <w:color w:val="2C2C2C"/>
          <w:sz w:val="22"/>
          <w:szCs w:val="22"/>
        </w:rPr>
        <w:t xml:space="preserve">Government SaaS contracts, sovereign fund investment, strategic technology partnership. Target funders: DPSA digital infrastructure budget, African Union Digital Transformation Strategy fund, bilateral development partners (EU, UK FCDO, USAID).</w:t>
      </w:r>
    </w:p>
    <w:p>
      <w:pPr>
        <w:spacing w:before="60" w:after="60"/>
      </w:pPr>
    </w:p>
    <w:p>
      <w:pPr>
        <w:spacing w:before="240" w:after="80"/>
      </w:pPr>
      <w:r>
        <w:rPr>
          <w:rFonts w:ascii="Calibri" w:cs="Calibri" w:eastAsia="Calibri" w:hAnsi="Calibri"/>
          <w:b/>
          <w:bCs/>
          <w:color w:val="2C2C2C"/>
          <w:sz w:val="24"/>
          <w:szCs w:val="24"/>
        </w:rPr>
        <w:t xml:space="preserve">Stage 4 — M.A.D.I.B.A. Capital Platform — R200M+</w:t>
      </w:r>
    </w:p>
    <w:p>
      <w:pPr>
        <w:spacing w:before="80" w:after="120" w:line="360"/>
      </w:pPr>
      <w:r>
        <w:rPr>
          <w:rFonts w:ascii="Calibri" w:cs="Calibri" w:eastAsia="Calibri" w:hAnsi="Calibri"/>
          <w:b w:val="false"/>
          <w:bCs w:val="false"/>
          <w:i w:val="false"/>
          <w:iCs w:val="false"/>
          <w:color w:val="2C2C2C"/>
          <w:sz w:val="22"/>
          <w:szCs w:val="22"/>
        </w:rPr>
        <w:t xml:space="preserve">Sovereign wealth funds, DFI equity participation, strategic institutional investors. Target funders: PIC, GEPF, AfDB, Afreximbank, sovereign wealth funds of SADC member states.</w:t>
      </w:r>
    </w:p>
    <w:p>
      <w:pPr>
        <w:spacing w:before="60" w:after="60"/>
      </w:pPr>
    </w:p>
    <w:p>
      <w:r>
        <w:br w:type="page"/>
      </w:r>
    </w:p>
    <w:p>
      <w:pPr>
        <w:pStyle w:val="Heading1"/>
        <w:spacing w:before="400" w:after="120"/>
      </w:pPr>
      <w:r>
        <w:rPr>
          <w:rFonts w:ascii="Georgia" w:cs="Georgia" w:eastAsia="Georgia" w:hAnsi="Georgia"/>
          <w:b/>
          <w:bCs/>
          <w:color w:val="060E1C"/>
          <w:sz w:val="40"/>
          <w:szCs w:val="40"/>
        </w:rPr>
        <w:t xml:space="preserve">09  Conclusion — The Structural Case</w:t>
      </w:r>
    </w:p>
    <w:p>
      <w:pPr>
        <w:pBdr>
          <w:bottom w:val="single" w:color="C9A84C" w:sz="6" w:space="1"/>
        </w:pBdr>
        <w:spacing w:before="80" w:after="80"/>
      </w:pP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world is not short of technology. It is short of systems that integrate technology with the human, governance, and infrastructure layers required to make technology beneficial at scale.</w:t>
      </w: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G.O.D.S was designed in direct response to that gap. It began as a workforce reintegration concept in 2016 — a response to watching human potential trapped in structural unemployment. By 2026, that original insight has expanded into a complete systems architecture that addresses the AI-era's four most pressing structural failures simultaneously: workforce displacement, infrastructure deficit, governance breakdown, and sovereignty vulnerability.</w:t>
      </w: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system is designed to compound. Each stage makes the next more credible, more fundable, and more impactful. The compounding loop — human capital into infrastructure into governance data into capital and back to human capital — creates a structural moat that no single-function competitor can replicate.</w:t>
      </w:r>
    </w:p>
    <w:p>
      <w:pPr>
        <w:spacing w:before="80" w:after="80"/>
      </w:pPr>
    </w:p>
    <w:p>
      <w:pPr>
        <w:spacing w:before="80" w:after="120" w:line="360"/>
      </w:pPr>
      <w:r>
        <w:rPr>
          <w:rFonts w:ascii="Calibri" w:cs="Calibri" w:eastAsia="Calibri" w:hAnsi="Calibri"/>
          <w:b w:val="false"/>
          <w:bCs w:val="false"/>
          <w:i w:val="false"/>
          <w:iCs w:val="false"/>
          <w:color w:val="2C2C2C"/>
          <w:sz w:val="22"/>
          <w:szCs w:val="22"/>
        </w:rPr>
        <w:t xml:space="preserve">The starting point is deliberate: 50 people, South Africa, 18 months. Not because the vision is small — but because proof of concept is the only credible foundation for the larger architecture.</w:t>
      </w:r>
    </w:p>
    <w:p>
      <w:pPr>
        <w:spacing w:before="12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pPr>
            <w:r>
              <w:rPr>
                <w:rFonts w:ascii="Georgia" w:cs="Georgia" w:eastAsia="Georgia" w:hAnsi="Georgia"/>
                <w:b/>
                <w:bCs/>
                <w:i/>
                <w:iCs/>
                <w:color w:val="060E1C"/>
                <w:sz w:val="24"/>
                <w:szCs w:val="24"/>
              </w:rPr>
              <w:t xml:space="preserve">G.O.D.S is not a moonshot. It is a deliberate, sequenced, compounding system — starting with what can be proven, and building to what is needed.</w:t>
            </w:r>
          </w:p>
        </w:tc>
      </w:tr>
    </w:tbl>
    <w:p>
      <w:pPr>
        <w:spacing w:before="200" w:after="80"/>
      </w:pPr>
    </w:p>
    <w:p>
      <w:pPr>
        <w:spacing w:before="200" w:after="80"/>
      </w:pPr>
      <w:r>
        <w:rPr>
          <w:rFonts w:ascii="Georgia" w:cs="Georgia" w:eastAsia="Georgia" w:hAnsi="Georgia"/>
          <w:b/>
          <w:bCs/>
          <w:color w:val="060E1C"/>
          <w:sz w:val="28"/>
          <w:szCs w:val="28"/>
        </w:rPr>
        <w:t xml:space="preserve">Sashin J. Singh</w:t>
      </w:r>
      <w:r>
        <w:rPr>
          <w:rFonts w:ascii="Calibri" w:cs="Calibri" w:eastAsia="Calibri" w:hAnsi="Calibri"/>
          <w:color w:val="8B8B8B"/>
          <w:sz w:val="22"/>
          <w:szCs w:val="22"/>
        </w:rPr>
        <w:t xml:space="preserve">   —   Founder &amp; Systems Architect</w:t>
      </w:r>
    </w:p>
    <w:p>
      <w:pPr>
        <w:spacing w:before="0" w:after="40"/>
      </w:pPr>
      <w:r>
        <w:rPr>
          <w:rFonts w:ascii="Calibri" w:cs="Calibri" w:eastAsia="Calibri" w:hAnsi="Calibri"/>
          <w:color w:val="8B8B8B"/>
          <w:sz w:val="20"/>
          <w:szCs w:val="20"/>
        </w:rPr>
        <w:t xml:space="preserve">G.O.D.S Holdings (Pty) Ltd  ·  Johannesburg, South Africa  ·  March 2026</w:t>
      </w:r>
    </w:p>
    <w:p>
      <w:pPr>
        <w:spacing w:before="0" w:after="40"/>
      </w:pPr>
      <w:r>
        <w:rPr>
          <w:rFonts w:ascii="Calibri" w:cs="Calibri" w:eastAsia="Calibri" w:hAnsi="Calibri"/>
          <w:color w:val="C9A84C"/>
          <w:sz w:val="20"/>
          <w:szCs w:val="20"/>
        </w:rPr>
        <w:t xml:space="preserve">Contact: info@gods.systems  ·  www.gods.systems</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2" w:space="1"/>
      </w:pBdr>
      <w:tabs>
        <w:tab w:val="right" w:pos="9026"/>
      </w:tabs>
      <w:spacing w:before="120" w:after="0"/>
    </w:pPr>
    <w:r>
      <w:rPr>
        <w:rFonts w:ascii="Calibri" w:cs="Calibri" w:eastAsia="Calibri" w:hAnsi="Calibri"/>
        <w:color w:val="8B8B8B"/>
        <w:sz w:val="17"/>
        <w:szCs w:val="17"/>
      </w:rPr>
      <w:t xml:space="preserve">G.O.D.S Holdings (Pty) Ltd  ·  Sashin J. Singh  ·  © 2026</w:t>
    </w:r>
    <w:r>
      <w:rPr>
        <w:rFonts w:ascii="Calibri" w:cs="Calibri" w:eastAsia="Calibri" w:hAnsi="Calibri"/>
        <w:sz w:val="17"/>
        <w:szCs w:val="17"/>
      </w:rPr>
      <w:t xml:space="preserve">	</w:t>
    </w:r>
    <w:r>
      <w:rPr>
        <w:rFonts w:ascii="Calibri" w:cs="Calibri" w:eastAsia="Calibri" w:hAnsi="Calibri"/>
        <w:color w:val="C9A84C"/>
        <w:sz w:val="17"/>
        <w:szCs w:val="17"/>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tabs>
        <w:tab w:val="right" w:pos="9026"/>
      </w:tabs>
      <w:spacing w:before="0" w:after="120"/>
    </w:pPr>
    <w:r>
      <w:rPr>
        <w:rFonts w:ascii="Calibri" w:cs="Calibri" w:eastAsia="Calibri" w:hAnsi="Calibri"/>
        <w:color w:val="8B8B8B"/>
        <w:spacing w:val="80"/>
        <w:sz w:val="18"/>
        <w:szCs w:val="18"/>
      </w:rPr>
      <w:t xml:space="preserve">G.O.D.S  ·  INSTITUTIONAL MANIFESTO BRIEF V6.0</w:t>
    </w:r>
    <w:r>
      <w:rPr>
        <w:rFonts w:ascii="Calibri" w:cs="Calibri" w:eastAsia="Calibri" w:hAnsi="Calibri"/>
        <w:sz w:val="18"/>
        <w:szCs w:val="18"/>
      </w:rPr>
      <w:t xml:space="preserve">	</w:t>
    </w:r>
    <w:r>
      <w:rPr>
        <w:rFonts w:ascii="Calibri" w:cs="Calibri" w:eastAsia="Calibri" w:hAnsi="Calibri"/>
        <w:color w:val="C9A84C"/>
        <w:sz w:val="18"/>
        <w:szCs w:val="18"/>
      </w:rPr>
      <w:t xml:space="preserve">CONFIDENTIAL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20"/>
      <w:outlineLvl w:val="0"/>
    </w:pPr>
    <w:rPr>
      <w:rFonts w:ascii="Georgia" w:cs="Georgia" w:eastAsia="Georgia" w:hAnsi="Georgia"/>
      <w:b/>
      <w:bCs/>
      <w:color w:val="060E1C"/>
      <w:sz w:val="40"/>
      <w:szCs w:val="40"/>
    </w:rPr>
  </w:style>
  <w:style w:type="paragraph" w:styleId="Heading2">
    <w:name w:val="Heading 2"/>
    <w:basedOn w:val="Normal"/>
    <w:next w:val="Normal"/>
    <w:qFormat/>
    <w:pPr>
      <w:spacing w:before="300" w:after="100"/>
      <w:outlineLvl w:val="1"/>
    </w:pPr>
    <w:rPr>
      <w:rFonts w:ascii="Georgia" w:cs="Georgia" w:eastAsia="Georgia" w:hAnsi="Georgia"/>
      <w:b/>
      <w:bCs/>
      <w:color w:val="060E1C"/>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2026-03-10T12:35:03.369Z</dcterms:created>
  <dcterms:modified xsi:type="dcterms:W3CDTF">2026-03-10T12:35:03.370Z</dcterms:modified>
</cp:coreProperties>
</file>

<file path=docProps/custom.xml><?xml version="1.0" encoding="utf-8"?>
<Properties xmlns="http://schemas.openxmlformats.org/officeDocument/2006/custom-properties" xmlns:vt="http://schemas.openxmlformats.org/officeDocument/2006/docPropsVTypes"/>
</file>