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60" w:after="80"/>
        <w:jc w:val="center"/>
      </w:pPr>
      <w:r>
        <w:rPr>
          <w:rFonts w:ascii="Arial" w:cs="Arial" w:eastAsia="Arial" w:hAnsi="Arial"/>
          <w:b/>
          <w:bCs/>
          <w:color w:val="C9A84C"/>
          <w:sz w:val="72"/>
          <w:szCs w:val="72"/>
        </w:rPr>
        <w:t xml:space="preserve">G.O.D.S</w:t>
      </w:r>
    </w:p>
    <w:p>
      <w:pPr>
        <w:spacing w:before="0" w:after="80"/>
        <w:jc w:val="center"/>
      </w:pPr>
      <w:r>
        <w:rPr>
          <w:rFonts w:ascii="Arial" w:cs="Arial" w:eastAsia="Arial" w:hAnsi="Arial"/>
          <w:b/>
          <w:bCs/>
          <w:color w:val="1A1A2E"/>
          <w:sz w:val="34"/>
          <w:szCs w:val="34"/>
        </w:rPr>
        <w:t xml:space="preserve">CONSTITUTIONAL OVERSIGHT BOARD CHARTER</w:t>
      </w:r>
    </w:p>
    <w:p>
      <w:pPr>
        <w:spacing w:before="0" w:after="80"/>
        <w:jc w:val="center"/>
      </w:pPr>
      <w:r>
        <w:rPr>
          <w:rFonts w:ascii="Arial" w:cs="Arial" w:eastAsia="Arial" w:hAnsi="Arial"/>
          <w:b/>
          <w:bCs/>
          <w:color w:val="1A1A2E"/>
          <w:sz w:val="26"/>
          <w:szCs w:val="26"/>
        </w:rPr>
        <w:t xml:space="preserve">Composition · Authority · Appointment · Ethics · Enforcement</w:t>
      </w:r>
    </w:p>
    <w:p>
      <w:pPr>
        <w:spacing w:before="0" w:after="120"/>
        <w:jc w:val="center"/>
      </w:pPr>
      <w:r>
        <w:rPr>
          <w:rFonts w:ascii="Arial" w:cs="Arial" w:eastAsia="Arial" w:hAnsi="Arial"/>
          <w:color w:val="888888"/>
          <w:sz w:val="20"/>
          <w:szCs w:val="20"/>
        </w:rPr>
        <w:t xml:space="preserve">The Binding Governance Document for the G.O.D.S Constitutional Oversight Board</w:t>
      </w:r>
    </w:p>
    <w:p>
      <w:pPr>
        <w:pBdr>
          <w:bottom w:val="single" w:color="C9A84C" w:sz="4"/>
        </w:pBdr>
        <w:spacing w:before="120" w:after="120"/>
      </w:pPr>
    </w:p>
    <w:p>
      <w:pPr>
        <w:spacing w:before="200" w:after="400"/>
        <w:jc w:val="center"/>
      </w:pPr>
      <w:r>
        <w:rPr>
          <w:rFonts w:ascii="Arial" w:cs="Arial" w:eastAsia="Arial" w:hAnsi="Arial"/>
          <w:b/>
          <w:bCs/>
          <w:color w:val="C9A84C"/>
          <w:sz w:val="20"/>
          <w:szCs w:val="20"/>
        </w:rPr>
        <w:t xml:space="preserve">G.O.D.S Holdings | Johannesburg, 2026 — Ratified by IP Trust</w:t>
      </w:r>
    </w:p>
    <w:p>
      <w:r>
        <w:br w:type="page"/>
      </w:r>
    </w:p>
    <w:p>
      <w:pPr>
        <w:spacing w:before="400" w:after="160"/>
      </w:pPr>
      <w:r>
        <w:rPr>
          <w:rFonts w:ascii="Arial" w:cs="Arial" w:eastAsia="Arial" w:hAnsi="Arial"/>
          <w:b/>
          <w:bCs/>
          <w:color w:val="0A0A0A"/>
          <w:sz w:val="36"/>
          <w:szCs w:val="36"/>
        </w:rPr>
        <w:t xml:space="preserve">PART ONE — MANDATE AND PURPOSE</w:t>
      </w:r>
    </w:p>
    <w:p>
      <w:pPr>
        <w:pBdr>
          <w:bottom w:val="single" w:color="C9A84C" w:sz="4"/>
        </w:pBdr>
        <w:spacing w:before="120" w:after="120"/>
      </w:pPr>
    </w:p>
    <w:p>
      <w:pPr>
        <w:spacing w:before="80" w:after="80"/>
      </w:pPr>
      <w:r>
        <w:rPr>
          <w:rFonts w:ascii="Arial" w:cs="Arial" w:eastAsia="Arial" w:hAnsi="Arial"/>
          <w:b w:val="false"/>
          <w:bCs w:val="false"/>
          <w:color w:val="111111"/>
          <w:sz w:val="22"/>
          <w:szCs w:val="22"/>
        </w:rPr>
        <w:t xml:space="preserve">The Constitutional Oversight Board (COB) is the highest governance authority within the G.O.D.S system with respect to constitutional compliance. It is not a commercial board. It does not make operational decisions. It does one thing: it determines whether any material decision, action, or proposed direction of G.O.D.S Holdings or its subsidiaries is in alignment with the 12 Constitutional Pillars.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The COB's Authority Is Binding</w:t>
            </w:r>
          </w:p>
          <w:p>
            <w:pPr>
              <w:spacing w:before="80" w:after="80"/>
            </w:pPr>
            <w:r>
              <w:rPr>
                <w:rFonts w:ascii="Arial" w:cs="Arial" w:eastAsia="Arial" w:hAnsi="Arial"/>
                <w:b w:val="false"/>
                <w:bCs w:val="false"/>
                <w:color w:val="111111"/>
                <w:sz w:val="22"/>
                <w:szCs w:val="22"/>
              </w:rPr>
              <w:t xml:space="preserve">The COB's authority is not advisory. When the COB issues a finding that a proposed action materially violates one or more Constitutional Pillars, that finding is binding on all G.O.D.S entities. No Board of Directors resolution, no shareholder vote, and no executive decision can proceed while a COB binding halt order is active.</w:t>
            </w:r>
          </w:p>
          <w:p>
            <w:pPr>
              <w:spacing w:before="80" w:after="80"/>
            </w:pPr>
            <w:r>
              <w:t xml:space="preserve"/>
            </w:r>
          </w:p>
          <w:p>
            <w:pPr>
              <w:spacing w:before="80" w:after="80"/>
            </w:pPr>
            <w:r>
              <w:rPr>
                <w:rFonts w:ascii="Arial" w:cs="Arial" w:eastAsia="Arial" w:hAnsi="Arial"/>
                <w:b w:val="false"/>
                <w:bCs w:val="false"/>
                <w:color w:val="111111"/>
                <w:sz w:val="22"/>
                <w:szCs w:val="22"/>
              </w:rPr>
              <w:t xml:space="preserve">The COB is the constitutional court of the G.O.D.S system. It does not manage. It does not govern operations. It protects the constitutional architecture from commercial, political, or personal capture.</w:t>
            </w:r>
          </w:p>
        </w:tc>
      </w:tr>
    </w:tbl>
    <w:p>
      <w:pPr>
        <w:spacing w:before="400" w:after="160"/>
      </w:pPr>
      <w:r>
        <w:rPr>
          <w:rFonts w:ascii="Arial" w:cs="Arial" w:eastAsia="Arial" w:hAnsi="Arial"/>
          <w:b/>
          <w:bCs/>
          <w:color w:val="0A0A0A"/>
          <w:sz w:val="36"/>
          <w:szCs w:val="36"/>
        </w:rPr>
        <w:t xml:space="preserve">PART TWO — COMPOSITION</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Board Size</w:t>
      </w:r>
    </w:p>
    <w:p>
      <w:pPr>
        <w:spacing w:before="80" w:after="80"/>
      </w:pPr>
      <w:r>
        <w:rPr>
          <w:rFonts w:ascii="Arial" w:cs="Arial" w:eastAsia="Arial" w:hAnsi="Arial"/>
          <w:b w:val="false"/>
          <w:bCs w:val="false"/>
          <w:color w:val="111111"/>
          <w:sz w:val="22"/>
          <w:szCs w:val="22"/>
        </w:rPr>
        <w:t xml:space="preserve">The COB shall comprise not fewer than five and not more than nine members. The odd number structure (5, 7, or 9) ensures no tied votes on binding resolutions. The initial composition is five members, expandable to seven or nine as the institution matures.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1800"/>
        <w:gridCol w:w="2800"/>
        <w:gridCol w:w="2280"/>
        <w:gridCol w:w="1880"/>
      </w:tblGrid>
      <w:tr>
        <w:tc>
          <w:tcPr>
            <w:tcW w:type="dxa" w:w="6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Seat</w:t>
            </w:r>
          </w:p>
        </w:tc>
        <w:tc>
          <w:tcPr>
            <w:tcW w:type="dxa" w:w="1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Category</w:t>
            </w:r>
          </w:p>
        </w:tc>
        <w:tc>
          <w:tcPr>
            <w:tcW w:type="dxa" w:w="2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Qualification Requirement</w:t>
            </w:r>
          </w:p>
        </w:tc>
        <w:tc>
          <w:tcPr>
            <w:tcW w:type="dxa" w:w="22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Appointment Authority</w:t>
            </w:r>
          </w:p>
        </w:tc>
        <w:tc>
          <w:tcPr>
            <w:tcW w:type="dxa" w:w="18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Term</w:t>
            </w:r>
          </w:p>
        </w:tc>
      </w:tr>
      <w:tr>
        <w:tc>
          <w:tcPr>
            <w:tcW w:type="dxa" w:w="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1</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Civil Society Representative</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Senior leadership in established South African civil society organisation. Minimum 10 years. No commercial relationship with G.O.D.S.</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Trustees by majority vote</w:t>
            </w:r>
          </w:p>
        </w:tc>
        <w:tc>
          <w:tcPr>
            <w:tcW w:type="dxa" w:w="18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5 years, renewable once</w:t>
            </w:r>
          </w:p>
        </w:tc>
      </w:tr>
      <w:tr>
        <w:tc>
          <w:tcPr>
            <w:tcW w:type="dxa" w:w="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2</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Academic / Research Representative</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Professor or senior researcher at accredited South African university. Labour economics, governance, or technology law preferred.</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Trustees by majority vote</w:t>
            </w:r>
          </w:p>
        </w:tc>
        <w:tc>
          <w:tcPr>
            <w:tcW w:type="dxa" w:w="18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5 years, renewable once</w:t>
            </w:r>
          </w:p>
        </w:tc>
      </w:tr>
      <w:tr>
        <w:tc>
          <w:tcPr>
            <w:tcW w:type="dxa" w:w="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3</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Retired Government / Judiciary</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Retired judge, retired senior public servant (DG level or above), or retired parliamentary officer. No current political office.</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Trustees by majority vote</w:t>
            </w:r>
          </w:p>
        </w:tc>
        <w:tc>
          <w:tcPr>
            <w:tcW w:type="dxa" w:w="18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5 years, renewable once</w:t>
            </w:r>
          </w:p>
        </w:tc>
      </w:tr>
      <w:tr>
        <w:tc>
          <w:tcPr>
            <w:tcW w:type="dxa" w:w="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4</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International Institutional Representative</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Senior current or former representative of an international institution: UN agency, IFC, AfDB, AU Commission, or equivalent.</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Trustees by majority vote</w:t>
            </w:r>
          </w:p>
        </w:tc>
        <w:tc>
          <w:tcPr>
            <w:tcW w:type="dxa" w:w="18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5 years, renewable once</w:t>
            </w:r>
          </w:p>
        </w:tc>
      </w:tr>
      <w:tr>
        <w:tc>
          <w:tcPr>
            <w:tcW w:type="dxa" w:w="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5</w:t>
            </w:r>
          </w:p>
        </w:tc>
        <w:tc>
          <w:tcPr>
            <w:tcW w:type="dxa" w:w="1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Independent Ethics Specialist</w:t>
            </w:r>
          </w:p>
        </w:tc>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Specialist in institutional ethics, anti-corruption, or governance. South African or African candidate preferred. Law or governance qualification.</w:t>
            </w:r>
          </w:p>
        </w:tc>
        <w:tc>
          <w:tcPr>
            <w:tcW w:type="dxa" w:w="2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IP Trust Trustees by majority vote</w:t>
            </w:r>
          </w:p>
        </w:tc>
        <w:tc>
          <w:tcPr>
            <w:tcW w:type="dxa" w:w="18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5 years, renewable once</w:t>
            </w:r>
          </w:p>
        </w:tc>
      </w:tr>
    </w:tbl>
    <w:p>
      <w:pPr>
        <w:spacing w:before="80" w:after="80"/>
      </w:pPr>
      <w:r>
        <w:t xml:space="preserve"/>
      </w:r>
    </w:p>
    <w:p>
      <w:pPr>
        <w:spacing w:before="280" w:after="120"/>
      </w:pPr>
      <w:r>
        <w:rPr>
          <w:rFonts w:ascii="Arial" w:cs="Arial" w:eastAsia="Arial" w:hAnsi="Arial"/>
          <w:b/>
          <w:bCs/>
          <w:color w:val="1A1A2E"/>
          <w:sz w:val="28"/>
          <w:szCs w:val="28"/>
        </w:rPr>
        <w:t xml:space="preserve">Disqualification Criteria</w:t>
      </w:r>
    </w:p>
    <w:p>
      <w:pPr>
        <w:spacing w:before="80" w:after="80"/>
      </w:pPr>
      <w:r>
        <w:rPr>
          <w:rFonts w:ascii="Arial" w:cs="Arial" w:eastAsia="Arial" w:hAnsi="Arial"/>
          <w:b w:val="false"/>
          <w:bCs w:val="false"/>
          <w:color w:val="111111"/>
          <w:sz w:val="22"/>
          <w:szCs w:val="22"/>
        </w:rPr>
        <w:t xml:space="preserve">No person may serve on the COB who:</w:t>
      </w:r>
    </w:p>
    <w:p>
      <w:pPr>
        <w:pStyle w:val="ListParagraph"/>
        <w:numPr>
          <w:ilvl w:val="0"/>
          <w:numId w:val="2"/>
        </w:numPr>
        <w:spacing w:before="60" w:after="60"/>
      </w:pPr>
      <w:r>
        <w:rPr>
          <w:rFonts w:ascii="Arial" w:cs="Arial" w:eastAsia="Arial" w:hAnsi="Arial"/>
          <w:sz w:val="22"/>
          <w:szCs w:val="22"/>
        </w:rPr>
        <w:t xml:space="preserve">Holds any commercial interest in G.O.D.S Holdings or any subsidiary</w:t>
      </w:r>
    </w:p>
    <w:p>
      <w:pPr>
        <w:pStyle w:val="ListParagraph"/>
        <w:numPr>
          <w:ilvl w:val="0"/>
          <w:numId w:val="2"/>
        </w:numPr>
        <w:spacing w:before="60" w:after="60"/>
      </w:pPr>
      <w:r>
        <w:rPr>
          <w:rFonts w:ascii="Arial" w:cs="Arial" w:eastAsia="Arial" w:hAnsi="Arial"/>
          <w:sz w:val="22"/>
          <w:szCs w:val="22"/>
        </w:rPr>
        <w:t xml:space="preserve">Is an immediate family member of the Founder or any Division CEO</w:t>
      </w:r>
    </w:p>
    <w:p>
      <w:pPr>
        <w:pStyle w:val="ListParagraph"/>
        <w:numPr>
          <w:ilvl w:val="0"/>
          <w:numId w:val="2"/>
        </w:numPr>
        <w:spacing w:before="60" w:after="60"/>
      </w:pPr>
      <w:r>
        <w:rPr>
          <w:rFonts w:ascii="Arial" w:cs="Arial" w:eastAsia="Arial" w:hAnsi="Arial"/>
          <w:sz w:val="22"/>
          <w:szCs w:val="22"/>
        </w:rPr>
        <w:t xml:space="preserve">Holds current elected political office in any country</w:t>
      </w:r>
    </w:p>
    <w:p>
      <w:pPr>
        <w:pStyle w:val="ListParagraph"/>
        <w:numPr>
          <w:ilvl w:val="0"/>
          <w:numId w:val="2"/>
        </w:numPr>
        <w:spacing w:before="60" w:after="60"/>
      </w:pPr>
      <w:r>
        <w:rPr>
          <w:rFonts w:ascii="Arial" w:cs="Arial" w:eastAsia="Arial" w:hAnsi="Arial"/>
          <w:sz w:val="22"/>
          <w:szCs w:val="22"/>
        </w:rPr>
        <w:t xml:space="preserve">Has been convicted of any offence involving dishonesty, fraud, or breach of fiduciary duty</w:t>
      </w:r>
    </w:p>
    <w:p>
      <w:pPr>
        <w:pStyle w:val="ListParagraph"/>
        <w:numPr>
          <w:ilvl w:val="0"/>
          <w:numId w:val="2"/>
        </w:numPr>
        <w:spacing w:before="60" w:after="60"/>
      </w:pPr>
      <w:r>
        <w:rPr>
          <w:rFonts w:ascii="Arial" w:cs="Arial" w:eastAsia="Arial" w:hAnsi="Arial"/>
          <w:sz w:val="22"/>
          <w:szCs w:val="22"/>
        </w:rPr>
        <w:t xml:space="preserve">Holds a directorship in any direct competitor to any G.O.D.S division</w:t>
      </w:r>
    </w:p>
    <w:p>
      <w:pPr>
        <w:pStyle w:val="ListParagraph"/>
        <w:numPr>
          <w:ilvl w:val="0"/>
          <w:numId w:val="2"/>
        </w:numPr>
        <w:spacing w:before="60" w:after="60"/>
      </w:pPr>
      <w:r>
        <w:rPr>
          <w:rFonts w:ascii="Arial" w:cs="Arial" w:eastAsia="Arial" w:hAnsi="Arial"/>
          <w:sz w:val="22"/>
          <w:szCs w:val="22"/>
        </w:rPr>
        <w:t xml:space="preserve">Has a current or recent (within 3 years) material financial relationship with G.O.D.S</w:t>
      </w:r>
    </w:p>
    <w:p>
      <w:pPr>
        <w:spacing w:before="400" w:after="160"/>
      </w:pPr>
      <w:r>
        <w:rPr>
          <w:rFonts w:ascii="Arial" w:cs="Arial" w:eastAsia="Arial" w:hAnsi="Arial"/>
          <w:b/>
          <w:bCs/>
          <w:color w:val="0A0A0A"/>
          <w:sz w:val="36"/>
          <w:szCs w:val="36"/>
        </w:rPr>
        <w:t xml:space="preserve">PART THREE — AUTHORITY AND POWERS</w:t>
      </w:r>
    </w:p>
    <w:p>
      <w:pPr>
        <w:pBdr>
          <w:bottom w:val="single" w:color="C9A84C" w:sz="4"/>
        </w:pBdr>
        <w:spacing w:before="120"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Powers of the COB</w:t>
            </w:r>
          </w:p>
          <w:p>
            <w:pPr>
              <w:spacing w:before="80" w:after="80"/>
            </w:pPr>
            <w:r>
              <w:t xml:space="preserve"/>
            </w:r>
          </w:p>
          <w:p>
            <w:pPr>
              <w:spacing w:before="200" w:after="80"/>
            </w:pPr>
            <w:r>
              <w:rPr>
                <w:rFonts w:ascii="Arial" w:cs="Arial" w:eastAsia="Arial" w:hAnsi="Arial"/>
                <w:b/>
                <w:bCs/>
                <w:color w:val="C9A84C"/>
                <w:sz w:val="24"/>
                <w:szCs w:val="24"/>
              </w:rPr>
              <w:t xml:space="preserve">1. Binding Halt Authority</w:t>
            </w:r>
          </w:p>
          <w:p>
            <w:pPr>
              <w:spacing w:before="80" w:after="80"/>
            </w:pPr>
            <w:r>
              <w:rPr>
                <w:rFonts w:ascii="Arial" w:cs="Arial" w:eastAsia="Arial" w:hAnsi="Arial"/>
                <w:b w:val="false"/>
                <w:bCs w:val="false"/>
                <w:color w:val="111111"/>
                <w:sz w:val="22"/>
                <w:szCs w:val="22"/>
              </w:rPr>
              <w:t xml:space="preserve">The COB may, by majority vote, issue a Binding Halt Order on any proposed action of any G.O.D.S entity that the COB determines to be in material violation of one or more Constitutional Pillars. A Binding Halt Order takes immediate effect upon issuance. No further steps may be taken on the halted action until the COB lifts the Order or the matter is resolved in accordance with this Charter.</w:t>
            </w:r>
          </w:p>
          <w:p>
            <w:pPr>
              <w:spacing w:before="80" w:after="80"/>
            </w:pPr>
            <w:r>
              <w:t xml:space="preserve"/>
            </w:r>
          </w:p>
          <w:p>
            <w:pPr>
              <w:spacing w:before="200" w:after="80"/>
            </w:pPr>
            <w:r>
              <w:rPr>
                <w:rFonts w:ascii="Arial" w:cs="Arial" w:eastAsia="Arial" w:hAnsi="Arial"/>
                <w:b/>
                <w:bCs/>
                <w:color w:val="C9A84C"/>
                <w:sz w:val="24"/>
                <w:szCs w:val="24"/>
              </w:rPr>
              <w:t xml:space="preserve">2. Founder Removal from Operational Authority</w:t>
            </w:r>
          </w:p>
          <w:p>
            <w:pPr>
              <w:spacing w:before="80" w:after="80"/>
            </w:pPr>
            <w:r>
              <w:rPr>
                <w:rFonts w:ascii="Arial" w:cs="Arial" w:eastAsia="Arial" w:hAnsi="Arial"/>
                <w:b w:val="false"/>
                <w:bCs w:val="false"/>
                <w:color w:val="111111"/>
                <w:sz w:val="22"/>
                <w:szCs w:val="22"/>
              </w:rPr>
              <w:t xml:space="preserve">The COB may, by unanimous vote, recommend the removal of the Founder from operational authority — not from ownership — where the COB has documented evidence of the Founder's material and repeated violation of three or more Constitutional Pillars. Removal from operational authority means the Founder may no longer exercise day-to-day executive functions. Class A governance rights held by the IP Trust remain unaffected.</w:t>
            </w:r>
          </w:p>
          <w:p>
            <w:pPr>
              <w:spacing w:before="80" w:after="80"/>
            </w:pPr>
            <w:r>
              <w:t xml:space="preserve"/>
            </w:r>
          </w:p>
          <w:p>
            <w:pPr>
              <w:spacing w:before="200" w:after="80"/>
            </w:pPr>
            <w:r>
              <w:rPr>
                <w:rFonts w:ascii="Arial" w:cs="Arial" w:eastAsia="Arial" w:hAnsi="Arial"/>
                <w:b/>
                <w:bCs/>
                <w:color w:val="C9A84C"/>
                <w:sz w:val="24"/>
                <w:szCs w:val="24"/>
              </w:rPr>
              <w:t xml:space="preserve">3. Annual Compliance Certification</w:t>
            </w:r>
          </w:p>
          <w:p>
            <w:pPr>
              <w:spacing w:before="80" w:after="80"/>
            </w:pPr>
            <w:r>
              <w:rPr>
                <w:rFonts w:ascii="Arial" w:cs="Arial" w:eastAsia="Arial" w:hAnsi="Arial"/>
                <w:b w:val="false"/>
                <w:bCs w:val="false"/>
                <w:color w:val="111111"/>
                <w:sz w:val="22"/>
                <w:szCs w:val="22"/>
              </w:rPr>
              <w:t xml:space="preserve">The COB shall issue an Annual Constitutional Compliance Certificate to all major stakeholders of G.O.D.S Holdings, confirming whether the Company operated in alignment with the Constitutional Pillars during the preceding year. This certificate is a material document for government contract renewals and investor reporting.</w:t>
            </w:r>
          </w:p>
          <w:p>
            <w:pPr>
              <w:spacing w:before="80" w:after="80"/>
            </w:pPr>
            <w:r>
              <w:t xml:space="preserve"/>
            </w:r>
          </w:p>
          <w:p>
            <w:pPr>
              <w:spacing w:before="200" w:after="80"/>
            </w:pPr>
            <w:r>
              <w:rPr>
                <w:rFonts w:ascii="Arial" w:cs="Arial" w:eastAsia="Arial" w:hAnsi="Arial"/>
                <w:b/>
                <w:bCs/>
                <w:color w:val="C9A84C"/>
                <w:sz w:val="24"/>
                <w:szCs w:val="24"/>
              </w:rPr>
              <w:t xml:space="preserve">4. Constitutional Amendment Review</w:t>
            </w:r>
          </w:p>
          <w:p>
            <w:pPr>
              <w:spacing w:before="80" w:after="80"/>
            </w:pPr>
            <w:r>
              <w:rPr>
                <w:rFonts w:ascii="Arial" w:cs="Arial" w:eastAsia="Arial" w:hAnsi="Arial"/>
                <w:b w:val="false"/>
                <w:bCs w:val="false"/>
                <w:color w:val="111111"/>
                <w:sz w:val="22"/>
                <w:szCs w:val="22"/>
              </w:rPr>
              <w:t xml:space="preserve">No amendment to the 12 Constitutional Pillars may proceed without a formal COB review and a finding that the proposed amendment is consistent with the foundational purpose of the G.O.D.S architecture. The COB may veto any proposed Constitutional amendment.</w:t>
            </w:r>
          </w:p>
          <w:p>
            <w:pPr>
              <w:spacing w:before="80" w:after="80"/>
            </w:pPr>
            <w:r>
              <w:t xml:space="preserve"/>
            </w:r>
          </w:p>
          <w:p>
            <w:pPr>
              <w:spacing w:before="200" w:after="80"/>
            </w:pPr>
            <w:r>
              <w:rPr>
                <w:rFonts w:ascii="Arial" w:cs="Arial" w:eastAsia="Arial" w:hAnsi="Arial"/>
                <w:b/>
                <w:bCs/>
                <w:color w:val="C9A84C"/>
                <w:sz w:val="24"/>
                <w:szCs w:val="24"/>
              </w:rPr>
              <w:t xml:space="preserve">5. Whistleblower Protection Authority</w:t>
            </w:r>
          </w:p>
          <w:p>
            <w:pPr>
              <w:spacing w:before="80" w:after="80"/>
            </w:pPr>
            <w:r>
              <w:rPr>
                <w:rFonts w:ascii="Arial" w:cs="Arial" w:eastAsia="Arial" w:hAnsi="Arial"/>
                <w:b w:val="false"/>
                <w:bCs w:val="false"/>
                <w:color w:val="111111"/>
                <w:sz w:val="22"/>
                <w:szCs w:val="22"/>
              </w:rPr>
              <w:t xml:space="preserve">The COB operates a protected whistleblower channel for employees and participants of any G.O.D.S entity. Reports submitted through this channel are investigated by the COB directly, independent of Holdings management. COB investigations are privileged and cannot be accessed by Holdings management without a court order.</w:t>
            </w:r>
          </w:p>
        </w:tc>
      </w:tr>
    </w:tbl>
    <w:p>
      <w:pPr>
        <w:spacing w:before="400" w:after="160"/>
      </w:pPr>
      <w:r>
        <w:rPr>
          <w:rFonts w:ascii="Arial" w:cs="Arial" w:eastAsia="Arial" w:hAnsi="Arial"/>
          <w:b/>
          <w:bCs/>
          <w:color w:val="0A0A0A"/>
          <w:sz w:val="36"/>
          <w:szCs w:val="36"/>
        </w:rPr>
        <w:t xml:space="preserve">PART FOUR — OPERATIONS</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Meeting Schedule</w:t>
      </w:r>
    </w:p>
    <w:p>
      <w:pPr>
        <w:pStyle w:val="ListParagraph"/>
        <w:numPr>
          <w:ilvl w:val="0"/>
          <w:numId w:val="2"/>
        </w:numPr>
        <w:spacing w:before="60" w:after="60"/>
      </w:pPr>
      <w:r>
        <w:rPr>
          <w:rFonts w:ascii="Arial" w:cs="Arial" w:eastAsia="Arial" w:hAnsi="Arial"/>
          <w:sz w:val="22"/>
          <w:szCs w:val="22"/>
        </w:rPr>
        <w:t xml:space="preserve">Regular meetings: Quarterly (minimum four per year)</w:t>
      </w:r>
    </w:p>
    <w:p>
      <w:pPr>
        <w:pStyle w:val="ListParagraph"/>
        <w:numPr>
          <w:ilvl w:val="0"/>
          <w:numId w:val="2"/>
        </w:numPr>
        <w:spacing w:before="60" w:after="60"/>
      </w:pPr>
      <w:r>
        <w:rPr>
          <w:rFonts w:ascii="Arial" w:cs="Arial" w:eastAsia="Arial" w:hAnsi="Arial"/>
          <w:sz w:val="22"/>
          <w:szCs w:val="22"/>
        </w:rPr>
        <w:t xml:space="preserve">Urgent sessions: Convened within 48 hours upon request of any COB member or the IP Trust Trustees when a Binding Halt matter is active</w:t>
      </w:r>
    </w:p>
    <w:p>
      <w:pPr>
        <w:pStyle w:val="ListParagraph"/>
        <w:numPr>
          <w:ilvl w:val="0"/>
          <w:numId w:val="2"/>
        </w:numPr>
        <w:spacing w:before="60" w:after="60"/>
      </w:pPr>
      <w:r>
        <w:rPr>
          <w:rFonts w:ascii="Arial" w:cs="Arial" w:eastAsia="Arial" w:hAnsi="Arial"/>
          <w:sz w:val="22"/>
          <w:szCs w:val="22"/>
        </w:rPr>
        <w:t xml:space="preserve">Annual review session: Full-day session for Annual Compliance Certification and strategic review</w:t>
      </w:r>
    </w:p>
    <w:p>
      <w:pPr>
        <w:pStyle w:val="ListParagraph"/>
        <w:numPr>
          <w:ilvl w:val="0"/>
          <w:numId w:val="2"/>
        </w:numPr>
        <w:spacing w:before="60" w:after="60"/>
      </w:pPr>
      <w:r>
        <w:rPr>
          <w:rFonts w:ascii="Arial" w:cs="Arial" w:eastAsia="Arial" w:hAnsi="Arial"/>
          <w:sz w:val="22"/>
          <w:szCs w:val="22"/>
        </w:rPr>
        <w:t xml:space="preserve">Emergency sessions: Convened within 24 hours for Founder removal proceedings</w:t>
      </w:r>
    </w:p>
    <w:p>
      <w:pPr>
        <w:spacing w:before="80" w:after="80"/>
      </w:pPr>
      <w:r>
        <w:t xml:space="preserve"/>
      </w:r>
    </w:p>
    <w:p>
      <w:pPr>
        <w:spacing w:before="280" w:after="120"/>
      </w:pPr>
      <w:r>
        <w:rPr>
          <w:rFonts w:ascii="Arial" w:cs="Arial" w:eastAsia="Arial" w:hAnsi="Arial"/>
          <w:b/>
          <w:bCs/>
          <w:color w:val="1A1A2E"/>
          <w:sz w:val="28"/>
          <w:szCs w:val="28"/>
        </w:rPr>
        <w:t xml:space="preserve">Decision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2000"/>
        <w:gridCol w:w="4160"/>
      </w:tblGrid>
      <w:tr>
        <w:tc>
          <w:tcPr>
            <w:tcW w:type="dxa" w:w="32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Decision Type</w:t>
            </w:r>
          </w:p>
        </w:tc>
        <w:tc>
          <w:tcPr>
            <w:tcW w:type="dxa" w:w="2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Vote Required</w:t>
            </w:r>
          </w:p>
        </w:tc>
        <w:tc>
          <w:tcPr>
            <w:tcW w:type="dxa" w:w="41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Notes</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Routine compliance findings</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Simple majority (3 of 5)</w:t>
            </w:r>
          </w:p>
        </w:tc>
        <w:tc>
          <w:tcPr>
            <w:tcW w:type="dxa" w:w="4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Standard compliance queries</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Binding Halt Order</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Simple majority (3 of 5)</w:t>
            </w:r>
          </w:p>
        </w:tc>
        <w:tc>
          <w:tcPr>
            <w:tcW w:type="dxa" w:w="4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Takes immediate effect</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Annual Compliance Certificate — Pass</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Simple majority (3 of 5)</w:t>
            </w:r>
          </w:p>
        </w:tc>
        <w:tc>
          <w:tcPr>
            <w:tcW w:type="dxa" w:w="4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Issued annually</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Annual Compliance Certificate — Conditional</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Simple majority (3 of 5)</w:t>
            </w:r>
          </w:p>
        </w:tc>
        <w:tc>
          <w:tcPr>
            <w:tcW w:type="dxa" w:w="4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With conditions attached</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 Amendment veto</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Simple majority (3 of 5)</w:t>
            </w:r>
          </w:p>
        </w:tc>
        <w:tc>
          <w:tcPr>
            <w:tcW w:type="dxa" w:w="4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Binding on IP Trust</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Founder removal from operational authority</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Unanimous (5 of 5)</w:t>
            </w:r>
          </w:p>
        </w:tc>
        <w:tc>
          <w:tcPr>
            <w:tcW w:type="dxa" w:w="4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Requires full board</w:t>
            </w:r>
          </w:p>
        </w:tc>
      </w:tr>
      <w:tr>
        <w:tc>
          <w:tcPr>
            <w:tcW w:type="dxa" w:w="32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COB Charter amendment</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75% (4 of 5)</w:t>
            </w:r>
          </w:p>
        </w:tc>
        <w:tc>
          <w:tcPr>
            <w:tcW w:type="dxa" w:w="41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Ratified by IP Trust</w:t>
            </w:r>
          </w:p>
        </w:tc>
      </w:tr>
    </w:tbl>
    <w:p>
      <w:pPr>
        <w:spacing w:before="80" w:after="80"/>
      </w:pPr>
      <w:r>
        <w:t xml:space="preserve"/>
      </w:r>
    </w:p>
    <w:p>
      <w:pPr>
        <w:pBdr>
          <w:bottom w:val="single" w:color="C9A84C" w:sz="4"/>
        </w:pBdr>
        <w:spacing w:before="120" w:after="120"/>
      </w:pPr>
    </w:p>
    <w:p>
      <w:pPr>
        <w:spacing w:before="80" w:after="80"/>
      </w:pPr>
      <w:r>
        <w:t xml:space="preserve"/>
      </w:r>
    </w:p>
    <w:p>
      <w:pPr>
        <w:spacing w:before="80" w:after="80"/>
        <w:jc w:val="center"/>
      </w:pPr>
      <w:r>
        <w:rPr>
          <w:rFonts w:ascii="Arial" w:cs="Arial" w:eastAsia="Arial" w:hAnsi="Arial"/>
          <w:b/>
          <w:bCs/>
          <w:color w:val="1A1A2E"/>
          <w:sz w:val="22"/>
          <w:szCs w:val="22"/>
        </w:rPr>
        <w:t xml:space="preserve">Constitutional Oversight Board Charter — G.O.D.S Holdings</w:t>
      </w:r>
    </w:p>
    <w:p>
      <w:pPr>
        <w:spacing w:before="80" w:after="80"/>
        <w:jc w:val="center"/>
      </w:pPr>
      <w:r>
        <w:rPr>
          <w:rFonts w:ascii="Arial" w:cs="Arial" w:eastAsia="Arial" w:hAnsi="Arial"/>
          <w:b w:val="false"/>
          <w:bCs w:val="false"/>
          <w:color w:val="888888"/>
          <w:sz w:val="20"/>
          <w:szCs w:val="20"/>
        </w:rPr>
        <w:t xml:space="preserve">G.O.D.S Holdings | Johannesburg, South Africa | 2026</w:t>
      </w:r>
    </w:p>
    <w:p>
      <w:pPr>
        <w:spacing w:before="0" w:after="200"/>
        <w:jc w:val="center"/>
      </w:pPr>
      <w:r>
        <w:rPr>
          <w:rFonts w:ascii="Arial" w:cs="Arial" w:eastAsia="Arial" w:hAnsi="Arial"/>
          <w:i/>
          <w:iCs/>
          <w:color w:val="888888"/>
          <w:sz w:val="20"/>
          <w:szCs w:val="20"/>
        </w:rPr>
        <w:t xml:space="preserve">CONFIDENTIAL — For Institutional Review Only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2026-03-12T08:02:14.713Z</dcterms:created>
  <dcterms:modified xsi:type="dcterms:W3CDTF">2026-03-12T08:02:14.715Z</dcterms:modified>
</cp:coreProperties>
</file>

<file path=docProps/custom.xml><?xml version="1.0" encoding="utf-8"?>
<Properties xmlns="http://schemas.openxmlformats.org/officeDocument/2006/custom-properties" xmlns:vt="http://schemas.openxmlformats.org/officeDocument/2006/docPropsVTypes"/>
</file>