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INSTITUTIONAL CONTINUITY</w:t>
      </w:r>
    </w:p>
    <w:p>
      <w:pPr>
        <w:spacing w:before="0" w:after="80"/>
        <w:jc w:val="center"/>
      </w:pPr>
      <w:r>
        <w:rPr>
          <w:rFonts w:ascii="Arial" w:cs="Arial" w:eastAsia="Arial" w:hAnsi="Arial"/>
          <w:b/>
          <w:bCs/>
          <w:color w:val="1A1A2E"/>
          <w:sz w:val="26"/>
          <w:szCs w:val="26"/>
        </w:rPr>
        <w:t xml:space="preserve">&amp; SUCCESSION CHARTER</w:t>
      </w:r>
    </w:p>
    <w:p>
      <w:pPr>
        <w:spacing w:before="0" w:after="120"/>
        <w:jc w:val="center"/>
      </w:pPr>
      <w:r>
        <w:rPr>
          <w:rFonts w:ascii="Arial" w:cs="Arial" w:eastAsia="Arial" w:hAnsi="Arial"/>
          <w:color w:val="888888"/>
          <w:sz w:val="20"/>
          <w:szCs w:val="20"/>
        </w:rPr>
        <w:t xml:space="preserve">Founder Succession · Leadership Transition · Generational Governance · 250-Year Architecture</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G.O.D.S IP Trust | Ratified by Founding Trustee | Johannesburg, 2026</w:t>
      </w:r>
    </w:p>
    <w:p>
      <w:r>
        <w:br w:type="page"/>
      </w:r>
    </w:p>
    <w:p>
      <w:pPr>
        <w:spacing w:before="400" w:after="160"/>
      </w:pPr>
      <w:r>
        <w:rPr>
          <w:rFonts w:ascii="Arial" w:cs="Arial" w:eastAsia="Arial" w:hAnsi="Arial"/>
          <w:b/>
          <w:bCs/>
          <w:color w:val="0A0A0A"/>
          <w:sz w:val="36"/>
          <w:szCs w:val="36"/>
        </w:rPr>
        <w:t xml:space="preserve">PART ONE — WHY THIS DOCUMENT EXISTS</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Every institutional system that has survived across multiple generations planned its succession. The institutions that failed did not plan it, or planned it incorrectly. The Rothschild banking family survived eight generations of wealth management because the succession structure was designed before it was needed. The Vatican has maintained institutional continuity across 2,000 years because the succession mechanism — whatever one thinks of its theology — is architectural, not personal.</w:t>
      </w:r>
    </w:p>
    <w:p>
      <w:pPr>
        <w:spacing w:before="80" w:after="80"/>
      </w:pPr>
      <w:r>
        <w:t xml:space="preserve"/>
      </w:r>
    </w:p>
    <w:p>
      <w:pPr>
        <w:spacing w:before="80" w:after="80"/>
      </w:pPr>
      <w:r>
        <w:rPr>
          <w:rFonts w:ascii="Arial" w:cs="Arial" w:eastAsia="Arial" w:hAnsi="Arial"/>
          <w:b w:val="false"/>
          <w:bCs w:val="false"/>
          <w:color w:val="111111"/>
          <w:sz w:val="22"/>
          <w:szCs w:val="22"/>
        </w:rPr>
        <w:t xml:space="preserve">G.O.D.S is not those institutions. But it aspires to the same design principle: the institution must survive any individual, including its founder. This Charter defines the mechanisms by which that survival is guaranteed.</w:t>
      </w:r>
    </w:p>
    <w:p>
      <w:pPr>
        <w:spacing w:before="80" w:after="80"/>
      </w:pPr>
      <w:r>
        <w:t xml:space="preserve"/>
      </w:r>
    </w:p>
    <w:p>
      <w:pPr>
        <w:spacing w:before="200" w:after="200"/>
        <w:ind w:left="720" w:right="720"/>
      </w:pPr>
      <w:r>
        <w:rPr>
          <w:rFonts w:ascii="Arial" w:cs="Arial" w:eastAsia="Arial" w:hAnsi="Arial"/>
          <w:b/>
          <w:bCs/>
          <w:i/>
          <w:iCs/>
          <w:color w:val="C9A84C"/>
          <w:sz w:val="26"/>
          <w:szCs w:val="26"/>
        </w:rPr>
        <w:t xml:space="preserve">"I am building a system that should outlast me. That is not modesty — it is the minimum requirement for taking the problem seriously."</w:t>
      </w:r>
    </w:p>
    <w:p>
      <w:pPr>
        <w:spacing w:before="80" w:after="80"/>
        <w:jc w:val="center"/>
      </w:pPr>
      <w:r>
        <w:rPr>
          <w:rFonts w:ascii="Arial" w:cs="Arial" w:eastAsia="Arial" w:hAnsi="Arial"/>
          <w:b w:val="false"/>
          <w:bCs w:val="false"/>
          <w:color w:val="888888"/>
          <w:sz w:val="20"/>
          <w:szCs w:val="20"/>
        </w:rPr>
        <w:t xml:space="preserve">— Sashin J. Singh, Founder, G.O.D.S Holdings</w:t>
      </w:r>
    </w:p>
    <w:p>
      <w:pPr>
        <w:spacing w:before="80" w:after="80"/>
      </w:pPr>
      <w:r>
        <w:t xml:space="preserve"/>
      </w:r>
    </w:p>
    <w:p>
      <w:pPr>
        <w:spacing w:before="400" w:after="160"/>
      </w:pPr>
      <w:r>
        <w:rPr>
          <w:rFonts w:ascii="Arial" w:cs="Arial" w:eastAsia="Arial" w:hAnsi="Arial"/>
          <w:b/>
          <w:bCs/>
          <w:color w:val="0A0A0A"/>
          <w:sz w:val="36"/>
          <w:szCs w:val="36"/>
        </w:rPr>
        <w:t xml:space="preserve">PART TWO — WHAT MUST SURVIVE</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Not all elements of G.O.D.S are equally critical to preserve across generations. This Charter identifies what is constitutionally protected (cannot change without 75% Trust vote + 10-year process), what is architecturally anchored (changes require COB review), and what is operationally flexible (can be updated by management).</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2360"/>
        <w:gridCol w:w="2800"/>
      </w:tblGrid>
      <w:tr>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Element</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Protection Level</w:t>
            </w:r>
          </w:p>
        </w:tc>
        <w:tc>
          <w:tcPr>
            <w:tcW w:type="dxa" w:w="23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Who Can Change It</w:t>
            </w:r>
          </w:p>
        </w:tc>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Change Process</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12 Constitutional Pillars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 highest</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only</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75% Trust vote + COB approval + 10-year implementation period</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IP Trust structure</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 highest</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Cannot be wound up while any G.O.D.S entity is operational</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Trust deed amendment requires unanimous Trustees + High Court approval</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Four-division system architecture (S.E.T.H.S, T.S, UDOC, M.A.D.I.B.A)</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Architectural</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COB review + 75% shareholder vote</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Must demonstrate that any structural change enhances rather than compromises the compounding loop</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A share structure and voting rights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only — cannot be sold or diluted</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Cannot be changed while IP Trust holds Class A shares</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COB composition and authority</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Architectural</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+ 75% COB vote</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COB Charter amendment process — takes effect after 24 months</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Division CEOs and management</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Operational</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Board of Directors with COB notification</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Standard executive appointment process</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Revenue models and commercial strategies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Operational</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Division management with Holdings Board approval</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Business decision — no constitutional constraints except Constitutional Pillar compliance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Geographic expansion — new countries</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Architectural</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Holdings Board + COB governance review</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New country entry requires COB confirmation that Constitutional Pillar framework applies</w:t>
            </w:r>
          </w:p>
        </w:tc>
      </w:tr>
    </w:tbl>
    <w:p>
      <w:pPr>
        <w:spacing w:before="80" w:after="80"/>
      </w:pPr>
      <w:r>
        <w:t xml:space="preserve"/>
      </w:r>
    </w:p>
    <w:p>
      <w:pPr>
        <w:spacing w:before="400" w:after="160"/>
      </w:pPr>
      <w:r>
        <w:rPr>
          <w:rFonts w:ascii="Arial" w:cs="Arial" w:eastAsia="Arial" w:hAnsi="Arial"/>
          <w:b/>
          <w:bCs/>
          <w:color w:val="0A0A0A"/>
          <w:sz w:val="36"/>
          <w:szCs w:val="36"/>
        </w:rPr>
        <w:t xml:space="preserve">PART THREE — FOUNDER SUCCESSION PLAN</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Stage 1: The Founder is Living and Operationally Active</w:t>
      </w:r>
    </w:p>
    <w:p>
      <w:pPr>
        <w:spacing w:before="80" w:after="80"/>
      </w:pPr>
      <w:r>
        <w:rPr>
          <w:rFonts w:ascii="Arial" w:cs="Arial" w:eastAsia="Arial" w:hAnsi="Arial"/>
          <w:b w:val="false"/>
          <w:bCs w:val="false"/>
          <w:color w:val="111111"/>
          <w:sz w:val="22"/>
          <w:szCs w:val="22"/>
        </w:rPr>
        <w:t xml:space="preserve">In this stage — the current stage — the Founder holds Class A shares through the IP Trust, occupies the Executive Chairman position, and exercises day-to-day strategic authority. The COB operates as a constitutional check. Division CEOs operate with operational autonomy within constitutional bounds.</w:t>
      </w:r>
    </w:p>
    <w:p>
      <w:pPr>
        <w:spacing w:before="80" w:after="80"/>
      </w:pPr>
      <w:r>
        <w:t xml:space="preserve"/>
      </w:r>
    </w:p>
    <w:p>
      <w:pPr>
        <w:spacing w:before="280" w:after="120"/>
      </w:pPr>
      <w:r>
        <w:rPr>
          <w:rFonts w:ascii="Arial" w:cs="Arial" w:eastAsia="Arial" w:hAnsi="Arial"/>
          <w:b/>
          <w:bCs/>
          <w:color w:val="1A1A2E"/>
          <w:sz w:val="28"/>
          <w:szCs w:val="28"/>
        </w:rPr>
        <w:t xml:space="preserve">Stage 2: The Founder Transitions from Operations (Voluntary or Incapacity)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80" w:after="80"/>
            </w:pPr>
            <w:r>
              <w:rPr>
                <w:rFonts w:ascii="Arial" w:cs="Arial" w:eastAsia="Arial" w:hAnsi="Arial"/>
                <w:b w:val="false"/>
                <w:bCs w:val="false"/>
                <w:color w:val="111111"/>
                <w:sz w:val="22"/>
                <w:szCs w:val="22"/>
              </w:rPr>
              <w:t xml:space="preserve">Upon voluntary retirement or permanent incapacity of the Founder from operational authority, the following transition sequence activates:</w:t>
            </w:r>
          </w:p>
          <w:p>
            <w:pPr>
              <w:spacing w:before="80" w:after="80"/>
            </w:pPr>
            <w:r>
              <w:t xml:space="preserve"/>
            </w:r>
          </w:p>
          <w:p>
            <w:pPr>
              <w:pStyle w:val="ListParagraph"/>
              <w:numPr>
                <w:ilvl w:val="0"/>
                <w:numId w:val="2"/>
              </w:numPr>
              <w:spacing w:before="60" w:after="60"/>
            </w:pPr>
            <w:r>
              <w:rPr>
                <w:rFonts w:ascii="Arial" w:cs="Arial" w:eastAsia="Arial" w:hAnsi="Arial"/>
                <w:sz w:val="22"/>
                <w:szCs w:val="22"/>
              </w:rPr>
              <w:t xml:space="preserve">IP Trust Trustees meet within 72 hours to confirm the transition</w:t>
            </w:r>
          </w:p>
          <w:p>
            <w:pPr>
              <w:pStyle w:val="ListParagraph"/>
              <w:numPr>
                <w:ilvl w:val="0"/>
                <w:numId w:val="2"/>
              </w:numPr>
              <w:spacing w:before="60" w:after="60"/>
            </w:pPr>
            <w:r>
              <w:rPr>
                <w:rFonts w:ascii="Arial" w:cs="Arial" w:eastAsia="Arial" w:hAnsi="Arial"/>
                <w:sz w:val="22"/>
                <w:szCs w:val="22"/>
              </w:rPr>
              <w:t xml:space="preserve">COO of G.O.D.S Holdings assumes interim Executive authority for maximum 90 days</w:t>
            </w:r>
          </w:p>
          <w:p>
            <w:pPr>
              <w:pStyle w:val="ListParagraph"/>
              <w:numPr>
                <w:ilvl w:val="0"/>
                <w:numId w:val="2"/>
              </w:numPr>
              <w:spacing w:before="60" w:after="60"/>
            </w:pPr>
            <w:r>
              <w:rPr>
                <w:rFonts w:ascii="Arial" w:cs="Arial" w:eastAsia="Arial" w:hAnsi="Arial"/>
                <w:sz w:val="22"/>
                <w:szCs w:val="22"/>
              </w:rPr>
              <w:t xml:space="preserve">COB initiates the CEO succession process — independent executive search with constitutional alignment assessment</w:t>
            </w:r>
          </w:p>
          <w:p>
            <w:pPr>
              <w:pStyle w:val="ListParagraph"/>
              <w:numPr>
                <w:ilvl w:val="0"/>
                <w:numId w:val="2"/>
              </w:numPr>
              <w:spacing w:before="60" w:after="60"/>
            </w:pPr>
            <w:r>
              <w:rPr>
                <w:rFonts w:ascii="Arial" w:cs="Arial" w:eastAsia="Arial" w:hAnsi="Arial"/>
                <w:sz w:val="22"/>
                <w:szCs w:val="22"/>
              </w:rPr>
              <w:t xml:space="preserve">Incoming CEO presents constitutional alignment statement to COB before appointment is confirmed</w:t>
            </w:r>
          </w:p>
          <w:p>
            <w:pPr>
              <w:pStyle w:val="ListParagraph"/>
              <w:numPr>
                <w:ilvl w:val="0"/>
                <w:numId w:val="2"/>
              </w:numPr>
              <w:spacing w:before="60" w:after="60"/>
            </w:pPr>
            <w:r>
              <w:rPr>
                <w:rFonts w:ascii="Arial" w:cs="Arial" w:eastAsia="Arial" w:hAnsi="Arial"/>
                <w:sz w:val="22"/>
                <w:szCs w:val="22"/>
              </w:rPr>
              <w:t xml:space="preserve">Founder (if living) retains advisory role and Class A voting rights through IP Trust but has no operational authority</w:t>
            </w:r>
          </w:p>
          <w:p>
            <w:pPr>
              <w:pStyle w:val="ListParagraph"/>
              <w:numPr>
                <w:ilvl w:val="0"/>
                <w:numId w:val="2"/>
              </w:numPr>
              <w:spacing w:before="60" w:after="60"/>
            </w:pPr>
            <w:r>
              <w:rPr>
                <w:rFonts w:ascii="Arial" w:cs="Arial" w:eastAsia="Arial" w:hAnsi="Arial"/>
                <w:sz w:val="22"/>
                <w:szCs w:val="22"/>
              </w:rPr>
              <w:t xml:space="preserve">Class A votes continue to be exercised by IP Trust Trustees in accordance with Founder guidance if living, or by successor Trustee protocol if not</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Founder's physical absence from operations does not create a power vacuum because: (a) the COB provides constitutional continuity, (b) division CEOs provide operational continuity, and (c) the IP Trust provides governance continuity.</w:t>
            </w:r>
          </w:p>
        </w:tc>
      </w:tr>
    </w:tbl>
    <w:p>
      <w:pPr>
        <w:spacing w:before="80" w:after="80"/>
      </w:pPr>
      <w:r>
        <w:t xml:space="preserve"/>
      </w:r>
    </w:p>
    <w:p>
      <w:pPr>
        <w:spacing w:before="280" w:after="120"/>
      </w:pPr>
      <w:r>
        <w:rPr>
          <w:rFonts w:ascii="Arial" w:cs="Arial" w:eastAsia="Arial" w:hAnsi="Arial"/>
          <w:b/>
          <w:bCs/>
          <w:color w:val="1A1A2E"/>
          <w:sz w:val="28"/>
          <w:szCs w:val="28"/>
        </w:rPr>
        <w:t xml:space="preserve">Stage 3: The Founder's Death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80" w:after="80"/>
            </w:pPr>
            <w:r>
              <w:rPr>
                <w:rFonts w:ascii="Arial" w:cs="Arial" w:eastAsia="Arial" w:hAnsi="Arial"/>
                <w:b w:val="false"/>
                <w:bCs w:val="false"/>
                <w:color w:val="111111"/>
                <w:sz w:val="22"/>
                <w:szCs w:val="22"/>
              </w:rPr>
              <w:t xml:space="preserve">Upon the death of the Founder:</w:t>
            </w:r>
          </w:p>
          <w:p>
            <w:pPr>
              <w:spacing w:before="80" w:after="80"/>
            </w:pPr>
            <w:r>
              <w:t xml:space="preserve"/>
            </w:r>
          </w:p>
          <w:p>
            <w:pPr>
              <w:pStyle w:val="ListParagraph"/>
              <w:numPr>
                <w:ilvl w:val="0"/>
                <w:numId w:val="2"/>
              </w:numPr>
              <w:spacing w:before="60" w:after="60"/>
            </w:pPr>
            <w:r>
              <w:rPr>
                <w:rFonts w:ascii="Arial" w:cs="Arial" w:eastAsia="Arial" w:hAnsi="Arial"/>
                <w:sz w:val="22"/>
                <w:szCs w:val="22"/>
              </w:rPr>
              <w:t xml:space="preserve">Class A shares held by the IP Trust remain in the Trust. They do not form part of the Founder's personal estate.</w:t>
            </w:r>
          </w:p>
          <w:p>
            <w:pPr>
              <w:pStyle w:val="ListParagraph"/>
              <w:numPr>
                <w:ilvl w:val="0"/>
                <w:numId w:val="2"/>
              </w:numPr>
              <w:spacing w:before="60" w:after="60"/>
            </w:pPr>
            <w:r>
              <w:rPr>
                <w:rFonts w:ascii="Arial" w:cs="Arial" w:eastAsia="Arial" w:hAnsi="Arial"/>
                <w:sz w:val="22"/>
                <w:szCs w:val="22"/>
              </w:rPr>
              <w:t xml:space="preserve">The Founder's Will should designate a Family Successor Trustee for the IP Trust. The Family Successor Trustee does not inherit the shares — they become a trustee with fiduciary duties, not a beneficial owner.</w:t>
            </w:r>
          </w:p>
          <w:p>
            <w:pPr>
              <w:pStyle w:val="ListParagraph"/>
              <w:numPr>
                <w:ilvl w:val="0"/>
                <w:numId w:val="2"/>
              </w:numPr>
              <w:spacing w:before="60" w:after="60"/>
            </w:pPr>
            <w:r>
              <w:rPr>
                <w:rFonts w:ascii="Arial" w:cs="Arial" w:eastAsia="Arial" w:hAnsi="Arial"/>
                <w:sz w:val="22"/>
                <w:szCs w:val="22"/>
              </w:rPr>
              <w:t xml:space="preserve">The IP Trust Trustees — including the Family Successor Trustee and the two Independent Trustees — continue to exercise Class A votes collectively, requiring simple majority for routine decisions and unanimity for constitutional matters.</w:t>
            </w:r>
          </w:p>
          <w:p>
            <w:pPr>
              <w:pStyle w:val="ListParagraph"/>
              <w:numPr>
                <w:ilvl w:val="0"/>
                <w:numId w:val="2"/>
              </w:numPr>
              <w:spacing w:before="60" w:after="60"/>
            </w:pPr>
            <w:r>
              <w:rPr>
                <w:rFonts w:ascii="Arial" w:cs="Arial" w:eastAsia="Arial" w:hAnsi="Arial"/>
                <w:sz w:val="22"/>
                <w:szCs w:val="22"/>
              </w:rPr>
              <w:t xml:space="preserve">The Holdings CEO position, if vacant, is filled through the COB-supervised succession process.</w:t>
            </w:r>
          </w:p>
          <w:p>
            <w:pPr>
              <w:pStyle w:val="ListParagraph"/>
              <w:numPr>
                <w:ilvl w:val="0"/>
                <w:numId w:val="2"/>
              </w:numPr>
              <w:spacing w:before="60" w:after="60"/>
            </w:pPr>
            <w:r>
              <w:rPr>
                <w:rFonts w:ascii="Arial" w:cs="Arial" w:eastAsia="Arial" w:hAnsi="Arial"/>
                <w:sz w:val="22"/>
                <w:szCs w:val="22"/>
              </w:rPr>
              <w:t xml:space="preserve">All four divisions continue operating under their respective CEOs. The Founder's death does not trigger operational disruption.</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critical design principle: the Founder's Class A shares live in the Trust, not in the Founder personally. This means death does not trigger a contested inheritance of control — it triggers a trustee succession process, which is governed by Trust law, not by family dynamics.</w:t>
            </w:r>
          </w:p>
        </w:tc>
      </w:tr>
    </w:tbl>
    <w:p>
      <w:pPr>
        <w:spacing w:before="80" w:after="80"/>
      </w:pPr>
      <w:r>
        <w:t xml:space="preserve"/>
      </w:r>
    </w:p>
    <w:p>
      <w:pPr>
        <w:spacing w:before="400" w:after="160"/>
      </w:pPr>
      <w:r>
        <w:rPr>
          <w:rFonts w:ascii="Arial" w:cs="Arial" w:eastAsia="Arial" w:hAnsi="Arial"/>
          <w:b/>
          <w:bCs/>
          <w:color w:val="0A0A0A"/>
          <w:sz w:val="36"/>
          <w:szCs w:val="36"/>
        </w:rPr>
        <w:t xml:space="preserve">PART FOUR — THE GENERATIONAL GOVERNANCE ARCHITECTURE</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Beyond the first generation, the G.O.D.S system is designed to operate as a fully institutionalised entity — one that does not depend on any family connection for its authority or legitimacy. The family connection to the IP Trust is preserved as a governance continuity mechanism, not as a control mechanism.</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Three-Generation Design</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760"/>
            </w:tblGrid>
            <w:tr>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Generation</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Family Role</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Professional Role</w:t>
                  </w:r>
                </w:p>
              </w:tc>
              <w:tc>
                <w:tcPr>
                  <w:tcW w:type="dxa" w:w="27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Constitutional Role</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Generation 1 (Founder)</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Founder and IP Trust Founding Trustee</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Executive Chairman, G.O.D.S Holdings</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Primary Class A voter through Trust</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Generation 2 (Years 25–50)</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Family Successor Trustee in IP Trust</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Advisory role if qualified. No operational entitlement.</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Co-Trustee — Class A votes with Independent Trustees</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Generation 3 (Years 50–100)</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Optional Trust involvement if qualified and willing. No requirement.</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 operational entitlement. Purely optional.</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Trust may transition to fully independent governance if family successor trustees are not nominated</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Generation 4+ (Year 100+)</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Institution is self-governing. No required family role.</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operates as a fully independent institution.</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COB and fully independent Trustees exercise all governance authority</w:t>
                  </w:r>
                </w:p>
              </w:tc>
            </w:tr>
          </w:tbl>
          <w:p/>
        </w:tc>
      </w:tr>
    </w:tbl>
    <w:p>
      <w:pPr>
        <w:spacing w:before="80" w:after="80"/>
      </w:pPr>
      <w:r>
        <w:t xml:space="preserve"/>
      </w:r>
    </w:p>
    <w:p>
      <w:pPr>
        <w:spacing w:before="280" w:after="120"/>
      </w:pPr>
      <w:r>
        <w:rPr>
          <w:rFonts w:ascii="Arial" w:cs="Arial" w:eastAsia="Arial" w:hAnsi="Arial"/>
          <w:b/>
          <w:bCs/>
          <w:color w:val="1A1A2E"/>
          <w:sz w:val="28"/>
          <w:szCs w:val="28"/>
        </w:rPr>
        <w:t xml:space="preserve">The Leadership Succession Pipeline</w:t>
      </w:r>
    </w:p>
    <w:p>
      <w:pPr>
        <w:spacing w:before="80" w:after="80"/>
      </w:pPr>
      <w:r>
        <w:rPr>
          <w:rFonts w:ascii="Arial" w:cs="Arial" w:eastAsia="Arial" w:hAnsi="Arial"/>
          <w:b w:val="false"/>
          <w:bCs w:val="false"/>
          <w:color w:val="111111"/>
          <w:sz w:val="22"/>
          <w:szCs w:val="22"/>
        </w:rPr>
        <w:t xml:space="preserve">Institutional continuity beyond the Founder does not depend on family succession. It depends on a pipeline of institutionally trained, constitutionally aligned leaders who understand the system architecture deeply enough to operate it faithfully. The following investments in leadership continuity are designed into the G.O.D.S system:</w:t>
      </w:r>
    </w:p>
    <w:p>
      <w:pPr>
        <w:pStyle w:val="ListParagraph"/>
        <w:numPr>
          <w:ilvl w:val="0"/>
          <w:numId w:val="3"/>
        </w:numPr>
        <w:spacing w:before="60" w:after="60"/>
      </w:pPr>
      <w:r>
        <w:rPr>
          <w:rFonts w:ascii="Arial" w:cs="Arial" w:eastAsia="Arial" w:hAnsi="Arial"/>
          <w:sz w:val="22"/>
          <w:szCs w:val="22"/>
        </w:rPr>
        <w:t xml:space="preserve">Senior leadership at all division level must demonstrate constitutional alignment before appointment — documented in a formal alignment assessment by the COB</w:t>
      </w:r>
    </w:p>
    <w:p>
      <w:pPr>
        <w:pStyle w:val="ListParagraph"/>
        <w:numPr>
          <w:ilvl w:val="0"/>
          <w:numId w:val="3"/>
        </w:numPr>
        <w:spacing w:before="60" w:after="60"/>
      </w:pPr>
      <w:r>
        <w:rPr>
          <w:rFonts w:ascii="Arial" w:cs="Arial" w:eastAsia="Arial" w:hAnsi="Arial"/>
          <w:sz w:val="22"/>
          <w:szCs w:val="22"/>
        </w:rPr>
        <w:t xml:space="preserve">Annual leadership development program: All senior G.O.D.S leaders participate in a structured program studying the foundational documents, the Constitutional Pillars, and the institutional history</w:t>
      </w:r>
    </w:p>
    <w:p>
      <w:pPr>
        <w:pStyle w:val="ListParagraph"/>
        <w:numPr>
          <w:ilvl w:val="0"/>
          <w:numId w:val="3"/>
        </w:numPr>
        <w:spacing w:before="60" w:after="60"/>
      </w:pPr>
      <w:r>
        <w:rPr>
          <w:rFonts w:ascii="Arial" w:cs="Arial" w:eastAsia="Arial" w:hAnsi="Arial"/>
          <w:sz w:val="22"/>
          <w:szCs w:val="22"/>
        </w:rPr>
        <w:t xml:space="preserve">S.E.T.H.S alumni pathway: Program graduates who develop into organisational leaders are the most constitutionally aligned successors — people who have lived the system, not just managed it</w:t>
      </w:r>
    </w:p>
    <w:p>
      <w:pPr>
        <w:pStyle w:val="ListParagraph"/>
        <w:numPr>
          <w:ilvl w:val="0"/>
          <w:numId w:val="3"/>
        </w:numPr>
        <w:spacing w:before="60" w:after="60"/>
      </w:pPr>
      <w:r>
        <w:rPr>
          <w:rFonts w:ascii="Arial" w:cs="Arial" w:eastAsia="Arial" w:hAnsi="Arial"/>
          <w:sz w:val="22"/>
          <w:szCs w:val="22"/>
        </w:rPr>
        <w:t xml:space="preserve">Succession candidates identified 5 years before transition: For every senior role, COB-approved succession candidates are identified and developed before the vacancy</w:t>
      </w:r>
    </w:p>
    <w:p>
      <w:pPr>
        <w:pStyle w:val="ListParagraph"/>
        <w:numPr>
          <w:ilvl w:val="0"/>
          <w:numId w:val="3"/>
        </w:numPr>
        <w:spacing w:before="60" w:after="60"/>
      </w:pPr>
      <w:r>
        <w:rPr>
          <w:rFonts w:ascii="Arial" w:cs="Arial" w:eastAsia="Arial" w:hAnsi="Arial"/>
          <w:sz w:val="22"/>
          <w:szCs w:val="22"/>
        </w:rPr>
        <w:t xml:space="preserve">Constitutional alignment is non-negotiable: A brilliant manager who does not understand or respect the Constitutional Pillars will destroy institutional continuity faster than an average manager who does</w:t>
      </w:r>
    </w:p>
    <w:p>
      <w:pPr>
        <w:spacing w:before="80" w:after="80"/>
      </w:pPr>
      <w:r>
        <w:t xml:space="preserve"/>
      </w:r>
    </w:p>
    <w:p>
      <w:pPr>
        <w:spacing w:before="400" w:after="160"/>
      </w:pPr>
      <w:r>
        <w:rPr>
          <w:rFonts w:ascii="Arial" w:cs="Arial" w:eastAsia="Arial" w:hAnsi="Arial"/>
          <w:b/>
          <w:bCs/>
          <w:color w:val="0A0A0A"/>
          <w:sz w:val="36"/>
          <w:szCs w:val="36"/>
        </w:rPr>
        <w:t xml:space="preserve">PART FIVE — PRECEDENTS STUDIED</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The following institutions were studied as models for long-horizon institutional continuity. The specific lessons each provides for the G.O.D.S succession architecture are documented below.</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480"/>
        <w:gridCol w:w="3880"/>
      </w:tblGrid>
      <w:tr>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Institution</w:t>
            </w:r>
          </w:p>
        </w:tc>
        <w:tc>
          <w:tcPr>
            <w:tcW w:type="dxa" w:w="34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Relevant Lesson</w:t>
            </w:r>
          </w:p>
        </w:tc>
        <w:tc>
          <w:tcPr>
            <w:tcW w:type="dxa" w:w="38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How G.O.D.S Applies It</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Rothschild &amp; Co (est. 1760s)</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Family trust structures can preserve governance continuity across generations while separating personal wealth from institutional authority</w:t>
            </w:r>
          </w:p>
        </w:tc>
        <w:tc>
          <w:tcPr>
            <w:tcW w:type="dxa" w:w="3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structure separates Class A governance from personal inheritance</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Berkshire Hathaway</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Culture can be more powerful than control structures — if the institutional values are deeply embedded, successors self-select for alignment</w:t>
            </w:r>
          </w:p>
        </w:tc>
        <w:tc>
          <w:tcPr>
            <w:tcW w:type="dxa" w:w="3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Pillars + annual leadership program + COB alignment assessment build culture as architecture</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Temasek Holdings (est. 1974)</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Singapore sovereign wealth fund operates independently of political cycles through governance architecture, not personal authority</w:t>
            </w:r>
          </w:p>
        </w:tc>
        <w:tc>
          <w:tcPr>
            <w:tcW w:type="dxa" w:w="3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COB independent of any individual, including the Founder</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The Ford Foundation (est. 1936)</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Institutional mission can outlive founder intent — governance structures must be designed to prevent mission drift, not just succession gaps</w:t>
            </w:r>
          </w:p>
        </w:tc>
        <w:tc>
          <w:tcPr>
            <w:tcW w:type="dxa" w:w="3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holds mission in Trust law, not in individual memory or preference</w:t>
            </w:r>
          </w:p>
        </w:tc>
      </w:tr>
      <w:tr>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University of Bologna (est. 1088)</w:t>
            </w:r>
          </w:p>
        </w:tc>
        <w:tc>
          <w:tcPr>
            <w:tcW w:type="dxa" w:w="34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The oldest continuously operating institution in the world survived because its function was irreplaceable, not because any individual was</w:t>
            </w:r>
          </w:p>
        </w:tc>
        <w:tc>
          <w:tcPr>
            <w:tcW w:type="dxa" w:w="3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survival depends on being irreplaceable infrastructure — not on any individual's authority</w:t>
            </w:r>
          </w:p>
        </w:tc>
      </w:tr>
    </w:tbl>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Institutional Continuity &amp; Succession Charter — G.O.D.S IP Trust</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2026-03-12T08:07:27.172Z</dcterms:created>
  <dcterms:modified xsi:type="dcterms:W3CDTF">2026-03-12T08:07:27.172Z</dcterms:modified>
</cp:coreProperties>
</file>

<file path=docProps/custom.xml><?xml version="1.0" encoding="utf-8"?>
<Properties xmlns="http://schemas.openxmlformats.org/officeDocument/2006/custom-properties" xmlns:vt="http://schemas.openxmlformats.org/officeDocument/2006/docPropsVTypes"/>
</file>