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68EF4"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Title</w:t>
      </w:r>
    </w:p>
    <w:p w14:paraId="6A16EF2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b/>
          <w:bCs/>
          <w:kern w:val="0"/>
          <w:lang w:eastAsia="en-ZA"/>
          <w14:ligatures w14:val="none"/>
        </w:rPr>
        <w:t>Toward an Integrated AI Governance Infrastructure Framework:</w:t>
      </w:r>
      <w:r w:rsidRPr="00DE5621">
        <w:rPr>
          <w:rFonts w:ascii="Times New Roman" w:eastAsia="Times New Roman" w:hAnsi="Times New Roman" w:cs="Times New Roman"/>
          <w:b/>
          <w:bCs/>
          <w:kern w:val="0"/>
          <w:lang w:eastAsia="en-ZA"/>
          <w14:ligatures w14:val="none"/>
        </w:rPr>
        <w:br/>
        <w:t xml:space="preserve">Enterprise Auditability, Workforce Impact </w:t>
      </w:r>
      <w:proofErr w:type="spellStart"/>
      <w:r w:rsidRPr="00DE5621">
        <w:rPr>
          <w:rFonts w:ascii="Times New Roman" w:eastAsia="Times New Roman" w:hAnsi="Times New Roman" w:cs="Times New Roman"/>
          <w:b/>
          <w:bCs/>
          <w:kern w:val="0"/>
          <w:lang w:eastAsia="en-ZA"/>
          <w14:ligatures w14:val="none"/>
        </w:rPr>
        <w:t>Modeling</w:t>
      </w:r>
      <w:proofErr w:type="spellEnd"/>
      <w:r w:rsidRPr="00DE5621">
        <w:rPr>
          <w:rFonts w:ascii="Times New Roman" w:eastAsia="Times New Roman" w:hAnsi="Times New Roman" w:cs="Times New Roman"/>
          <w:b/>
          <w:bCs/>
          <w:kern w:val="0"/>
          <w:lang w:eastAsia="en-ZA"/>
          <w14:ligatures w14:val="none"/>
        </w:rPr>
        <w:t>, and Institutional Coordination</w:t>
      </w:r>
    </w:p>
    <w:p w14:paraId="0CE23E3C"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689A6212">
          <v:rect id="_x0000_i1025" style="width:0;height:1.5pt" o:hralign="center" o:hrstd="t" o:hr="t" fillcolor="#a0a0a0" stroked="f"/>
        </w:pict>
      </w:r>
    </w:p>
    <w:p w14:paraId="5E7A2FB4"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Abstract</w:t>
      </w:r>
    </w:p>
    <w:p w14:paraId="1084F72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Artificial intelligence systems are being deployed across sectors at a pace that exceeds the development of operational governance infrastructure. While regulatory principles and ethical guidelines continue to evolve globally, many organizations lack practical mechanisms to implement structured oversight at the enterprise level.</w:t>
      </w:r>
    </w:p>
    <w:p w14:paraId="580AD9E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paper proposes a technical and institutional framework for integrating three critical components of AI transition governance:</w:t>
      </w:r>
    </w:p>
    <w:p w14:paraId="33555B7D" w14:textId="77777777" w:rsidR="00DE5621" w:rsidRPr="00DE5621" w:rsidRDefault="00DE5621" w:rsidP="00DE5621">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Enterprise AI system registry and auditability</w:t>
      </w:r>
    </w:p>
    <w:p w14:paraId="6CA3A093" w14:textId="77777777" w:rsidR="00DE5621" w:rsidRPr="00DE5621" w:rsidRDefault="00DE5621" w:rsidP="00DE5621">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Workforce impact </w:t>
      </w:r>
      <w:proofErr w:type="spellStart"/>
      <w:r w:rsidRPr="00DE5621">
        <w:rPr>
          <w:rFonts w:ascii="Times New Roman" w:eastAsia="Times New Roman" w:hAnsi="Times New Roman" w:cs="Times New Roman"/>
          <w:kern w:val="0"/>
          <w:lang w:eastAsia="en-ZA"/>
          <w14:ligatures w14:val="none"/>
        </w:rPr>
        <w:t>modeling</w:t>
      </w:r>
      <w:proofErr w:type="spellEnd"/>
      <w:r w:rsidRPr="00DE5621">
        <w:rPr>
          <w:rFonts w:ascii="Times New Roman" w:eastAsia="Times New Roman" w:hAnsi="Times New Roman" w:cs="Times New Roman"/>
          <w:kern w:val="0"/>
          <w:lang w:eastAsia="en-ZA"/>
          <w14:ligatures w14:val="none"/>
        </w:rPr>
        <w:t xml:space="preserve"> and transition monitoring</w:t>
      </w:r>
    </w:p>
    <w:p w14:paraId="5C542342" w14:textId="77777777" w:rsidR="00DE5621" w:rsidRPr="00DE5621" w:rsidRDefault="00DE5621" w:rsidP="00DE5621">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Institutional coordination mechanisms for voluntary standards alignment</w:t>
      </w:r>
    </w:p>
    <w:p w14:paraId="22D97E8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objective is not to propose new regulation, but to outline infrastructure mechanisms that support responsible deployment within existing and emerging policy environments.</w:t>
      </w:r>
    </w:p>
    <w:p w14:paraId="0CD8F6CA"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05B12A6E">
          <v:rect id="_x0000_i1026" style="width:0;height:1.5pt" o:hralign="center" o:hrstd="t" o:hr="t" fillcolor="#a0a0a0" stroked="f"/>
        </w:pict>
      </w:r>
    </w:p>
    <w:p w14:paraId="7A8057C1"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1. Introduction</w:t>
      </w:r>
    </w:p>
    <w:p w14:paraId="28B3860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AI deployment is increasingly embedded within finance, healthcare, logistics, energy, public administration, and digital services.</w:t>
      </w:r>
    </w:p>
    <w:p w14:paraId="0A2A2273"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Policy discourse has largely focused on:</w:t>
      </w:r>
    </w:p>
    <w:p w14:paraId="0D785013"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Ethical principles</w:t>
      </w:r>
      <w:r w:rsidRPr="00DE5621">
        <w:rPr>
          <w:rFonts w:ascii="Times New Roman" w:eastAsia="Times New Roman" w:hAnsi="Times New Roman" w:cs="Times New Roman"/>
          <w:kern w:val="0"/>
          <w:lang w:eastAsia="en-ZA"/>
          <w14:ligatures w14:val="none"/>
        </w:rPr>
        <w:br/>
        <w:t>• Risk categories</w:t>
      </w:r>
      <w:r w:rsidRPr="00DE5621">
        <w:rPr>
          <w:rFonts w:ascii="Times New Roman" w:eastAsia="Times New Roman" w:hAnsi="Times New Roman" w:cs="Times New Roman"/>
          <w:kern w:val="0"/>
          <w:lang w:eastAsia="en-ZA"/>
          <w14:ligatures w14:val="none"/>
        </w:rPr>
        <w:br/>
        <w:t>• Regulatory obligations</w:t>
      </w:r>
      <w:r w:rsidRPr="00DE5621">
        <w:rPr>
          <w:rFonts w:ascii="Times New Roman" w:eastAsia="Times New Roman" w:hAnsi="Times New Roman" w:cs="Times New Roman"/>
          <w:kern w:val="0"/>
          <w:lang w:eastAsia="en-ZA"/>
          <w14:ligatures w14:val="none"/>
        </w:rPr>
        <w:br/>
        <w:t>• Transparency requirements</w:t>
      </w:r>
    </w:p>
    <w:p w14:paraId="5BA4A884"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However, a persistent operational gap remains between high-level governance principles and day-to-day enterprise implementation.</w:t>
      </w:r>
    </w:p>
    <w:p w14:paraId="56E1B1F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paper addresses the question:</w:t>
      </w:r>
    </w:p>
    <w:p w14:paraId="2B74F453"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What infrastructure mechanisms are required to translate AI governance principles into operational practice at scale?</w:t>
      </w:r>
    </w:p>
    <w:p w14:paraId="40CDD258"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78B561EC">
          <v:rect id="_x0000_i1027" style="width:0;height:1.5pt" o:hralign="center" o:hrstd="t" o:hr="t" fillcolor="#a0a0a0" stroked="f"/>
        </w:pict>
      </w:r>
    </w:p>
    <w:p w14:paraId="330B4AAB"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lastRenderedPageBreak/>
        <w:t>2. The Implementation Gap</w:t>
      </w:r>
    </w:p>
    <w:p w14:paraId="533C4DA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Across jurisdictions, emerging AI policy frameworks emphasize:</w:t>
      </w:r>
    </w:p>
    <w:p w14:paraId="4B7BB6B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Transparency</w:t>
      </w:r>
      <w:r w:rsidRPr="00DE5621">
        <w:rPr>
          <w:rFonts w:ascii="Times New Roman" w:eastAsia="Times New Roman" w:hAnsi="Times New Roman" w:cs="Times New Roman"/>
          <w:kern w:val="0"/>
          <w:lang w:eastAsia="en-ZA"/>
          <w14:ligatures w14:val="none"/>
        </w:rPr>
        <w:br/>
        <w:t>• Accountability</w:t>
      </w:r>
      <w:r w:rsidRPr="00DE5621">
        <w:rPr>
          <w:rFonts w:ascii="Times New Roman" w:eastAsia="Times New Roman" w:hAnsi="Times New Roman" w:cs="Times New Roman"/>
          <w:kern w:val="0"/>
          <w:lang w:eastAsia="en-ZA"/>
          <w14:ligatures w14:val="none"/>
        </w:rPr>
        <w:br/>
        <w:t>• Risk management</w:t>
      </w:r>
      <w:r w:rsidRPr="00DE5621">
        <w:rPr>
          <w:rFonts w:ascii="Times New Roman" w:eastAsia="Times New Roman" w:hAnsi="Times New Roman" w:cs="Times New Roman"/>
          <w:kern w:val="0"/>
          <w:lang w:eastAsia="en-ZA"/>
          <w14:ligatures w14:val="none"/>
        </w:rPr>
        <w:br/>
        <w:t>• Human oversight</w:t>
      </w:r>
      <w:r w:rsidRPr="00DE5621">
        <w:rPr>
          <w:rFonts w:ascii="Times New Roman" w:eastAsia="Times New Roman" w:hAnsi="Times New Roman" w:cs="Times New Roman"/>
          <w:kern w:val="0"/>
          <w:lang w:eastAsia="en-ZA"/>
          <w14:ligatures w14:val="none"/>
        </w:rPr>
        <w:br/>
        <w:t>• Socioeconomic consideration</w:t>
      </w:r>
    </w:p>
    <w:p w14:paraId="641E5DE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Yet many enterprises lack:</w:t>
      </w:r>
    </w:p>
    <w:p w14:paraId="7C0560AC"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Centralized AI system inventories</w:t>
      </w:r>
      <w:r w:rsidRPr="00DE5621">
        <w:rPr>
          <w:rFonts w:ascii="Times New Roman" w:eastAsia="Times New Roman" w:hAnsi="Times New Roman" w:cs="Times New Roman"/>
          <w:kern w:val="0"/>
          <w:lang w:eastAsia="en-ZA"/>
          <w14:ligatures w14:val="none"/>
        </w:rPr>
        <w:br/>
        <w:t>• Risk classification mechanisms</w:t>
      </w:r>
      <w:r w:rsidRPr="00DE5621">
        <w:rPr>
          <w:rFonts w:ascii="Times New Roman" w:eastAsia="Times New Roman" w:hAnsi="Times New Roman" w:cs="Times New Roman"/>
          <w:kern w:val="0"/>
          <w:lang w:eastAsia="en-ZA"/>
          <w14:ligatures w14:val="none"/>
        </w:rPr>
        <w:br/>
        <w:t>• Cross-functional governance workflows</w:t>
      </w:r>
      <w:r w:rsidRPr="00DE5621">
        <w:rPr>
          <w:rFonts w:ascii="Times New Roman" w:eastAsia="Times New Roman" w:hAnsi="Times New Roman" w:cs="Times New Roman"/>
          <w:kern w:val="0"/>
          <w:lang w:eastAsia="en-ZA"/>
          <w14:ligatures w14:val="none"/>
        </w:rPr>
        <w:br/>
        <w:t>• Workforce impact assessment models</w:t>
      </w:r>
      <w:r w:rsidRPr="00DE5621">
        <w:rPr>
          <w:rFonts w:ascii="Times New Roman" w:eastAsia="Times New Roman" w:hAnsi="Times New Roman" w:cs="Times New Roman"/>
          <w:kern w:val="0"/>
          <w:lang w:eastAsia="en-ZA"/>
          <w14:ligatures w14:val="none"/>
        </w:rPr>
        <w:br/>
        <w:t>• Structured reporting systems</w:t>
      </w:r>
    </w:p>
    <w:p w14:paraId="755AAD0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Governance without operational tooling results in uneven compliance and limited auditability.</w:t>
      </w:r>
    </w:p>
    <w:p w14:paraId="32ADD49E"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617AA221">
          <v:rect id="_x0000_i1028" style="width:0;height:1.5pt" o:hralign="center" o:hrstd="t" o:hr="t" fillcolor="#a0a0a0" stroked="f"/>
        </w:pict>
      </w:r>
    </w:p>
    <w:p w14:paraId="51C285D8"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3. Component I: Enterprise AI System Registry</w:t>
      </w:r>
    </w:p>
    <w:p w14:paraId="2E957E2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 foundational governance mechanism is the establishment of an internal AI system registry.</w:t>
      </w:r>
    </w:p>
    <w:p w14:paraId="381520A4"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3.1 Purpose</w:t>
      </w:r>
    </w:p>
    <w:p w14:paraId="1D920D3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An AI registry provides:</w:t>
      </w:r>
    </w:p>
    <w:p w14:paraId="0710F3E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Centralized inventory of deployed AI systems</w:t>
      </w:r>
      <w:r w:rsidRPr="00DE5621">
        <w:rPr>
          <w:rFonts w:ascii="Times New Roman" w:eastAsia="Times New Roman" w:hAnsi="Times New Roman" w:cs="Times New Roman"/>
          <w:kern w:val="0"/>
          <w:lang w:eastAsia="en-ZA"/>
          <w14:ligatures w14:val="none"/>
        </w:rPr>
        <w:br/>
        <w:t>• Documentation of model purpose and scope</w:t>
      </w:r>
      <w:r w:rsidRPr="00DE5621">
        <w:rPr>
          <w:rFonts w:ascii="Times New Roman" w:eastAsia="Times New Roman" w:hAnsi="Times New Roman" w:cs="Times New Roman"/>
          <w:kern w:val="0"/>
          <w:lang w:eastAsia="en-ZA"/>
          <w14:ligatures w14:val="none"/>
        </w:rPr>
        <w:br/>
        <w:t>• Risk classification and usage context</w:t>
      </w:r>
      <w:r w:rsidRPr="00DE5621">
        <w:rPr>
          <w:rFonts w:ascii="Times New Roman" w:eastAsia="Times New Roman" w:hAnsi="Times New Roman" w:cs="Times New Roman"/>
          <w:kern w:val="0"/>
          <w:lang w:eastAsia="en-ZA"/>
          <w14:ligatures w14:val="none"/>
        </w:rPr>
        <w:br/>
        <w:t>• Responsible internal ownership</w:t>
      </w:r>
      <w:r w:rsidRPr="00DE5621">
        <w:rPr>
          <w:rFonts w:ascii="Times New Roman" w:eastAsia="Times New Roman" w:hAnsi="Times New Roman" w:cs="Times New Roman"/>
          <w:kern w:val="0"/>
          <w:lang w:eastAsia="en-ZA"/>
          <w14:ligatures w14:val="none"/>
        </w:rPr>
        <w:br/>
        <w:t>• Audit trail capability</w:t>
      </w:r>
    </w:p>
    <w:p w14:paraId="306AD737"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3.2 Minimum Data Fields</w:t>
      </w:r>
    </w:p>
    <w:p w14:paraId="0DCF261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 practical registry may include:</w:t>
      </w:r>
    </w:p>
    <w:p w14:paraId="5EF4C9F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System name and function</w:t>
      </w:r>
      <w:r w:rsidRPr="00DE5621">
        <w:rPr>
          <w:rFonts w:ascii="Times New Roman" w:eastAsia="Times New Roman" w:hAnsi="Times New Roman" w:cs="Times New Roman"/>
          <w:kern w:val="0"/>
          <w:lang w:eastAsia="en-ZA"/>
          <w14:ligatures w14:val="none"/>
        </w:rPr>
        <w:br/>
        <w:t>• Model type (predictive, generative, classification, etc.)</w:t>
      </w:r>
      <w:r w:rsidRPr="00DE5621">
        <w:rPr>
          <w:rFonts w:ascii="Times New Roman" w:eastAsia="Times New Roman" w:hAnsi="Times New Roman" w:cs="Times New Roman"/>
          <w:kern w:val="0"/>
          <w:lang w:eastAsia="en-ZA"/>
          <w14:ligatures w14:val="none"/>
        </w:rPr>
        <w:br/>
        <w:t>• Deployment context</w:t>
      </w:r>
      <w:r w:rsidRPr="00DE5621">
        <w:rPr>
          <w:rFonts w:ascii="Times New Roman" w:eastAsia="Times New Roman" w:hAnsi="Times New Roman" w:cs="Times New Roman"/>
          <w:kern w:val="0"/>
          <w:lang w:eastAsia="en-ZA"/>
          <w14:ligatures w14:val="none"/>
        </w:rPr>
        <w:br/>
        <w:t>• Data sources</w:t>
      </w:r>
      <w:r w:rsidRPr="00DE5621">
        <w:rPr>
          <w:rFonts w:ascii="Times New Roman" w:eastAsia="Times New Roman" w:hAnsi="Times New Roman" w:cs="Times New Roman"/>
          <w:kern w:val="0"/>
          <w:lang w:eastAsia="en-ZA"/>
          <w14:ligatures w14:val="none"/>
        </w:rPr>
        <w:br/>
        <w:t>• Risk tier</w:t>
      </w:r>
      <w:r w:rsidRPr="00DE5621">
        <w:rPr>
          <w:rFonts w:ascii="Times New Roman" w:eastAsia="Times New Roman" w:hAnsi="Times New Roman" w:cs="Times New Roman"/>
          <w:kern w:val="0"/>
          <w:lang w:eastAsia="en-ZA"/>
          <w14:ligatures w14:val="none"/>
        </w:rPr>
        <w:br/>
      </w:r>
      <w:r w:rsidRPr="00DE5621">
        <w:rPr>
          <w:rFonts w:ascii="Times New Roman" w:eastAsia="Times New Roman" w:hAnsi="Times New Roman" w:cs="Times New Roman"/>
          <w:kern w:val="0"/>
          <w:lang w:eastAsia="en-ZA"/>
          <w14:ligatures w14:val="none"/>
        </w:rPr>
        <w:lastRenderedPageBreak/>
        <w:t>• Responsible oversight role</w:t>
      </w:r>
      <w:r w:rsidRPr="00DE5621">
        <w:rPr>
          <w:rFonts w:ascii="Times New Roman" w:eastAsia="Times New Roman" w:hAnsi="Times New Roman" w:cs="Times New Roman"/>
          <w:kern w:val="0"/>
          <w:lang w:eastAsia="en-ZA"/>
          <w14:ligatures w14:val="none"/>
        </w:rPr>
        <w:br/>
        <w:t>• Human review mechanism</w:t>
      </w:r>
    </w:p>
    <w:p w14:paraId="6FF42C5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registry forms the structural backbone for compliance reporting.</w:t>
      </w:r>
    </w:p>
    <w:p w14:paraId="0556073C"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38AAAE85">
          <v:rect id="_x0000_i1029" style="width:0;height:1.5pt" o:hralign="center" o:hrstd="t" o:hr="t" fillcolor="#a0a0a0" stroked="f"/>
        </w:pict>
      </w:r>
    </w:p>
    <w:p w14:paraId="50604590"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 xml:space="preserve">4. Component II: Workforce Impact </w:t>
      </w:r>
      <w:proofErr w:type="spellStart"/>
      <w:r w:rsidRPr="00DE5621">
        <w:rPr>
          <w:rFonts w:ascii="Times New Roman" w:eastAsia="Times New Roman" w:hAnsi="Times New Roman" w:cs="Times New Roman"/>
          <w:b/>
          <w:bCs/>
          <w:kern w:val="36"/>
          <w:sz w:val="48"/>
          <w:szCs w:val="48"/>
          <w:lang w:eastAsia="en-ZA"/>
          <w14:ligatures w14:val="none"/>
        </w:rPr>
        <w:t>Modeling</w:t>
      </w:r>
      <w:proofErr w:type="spellEnd"/>
    </w:p>
    <w:p w14:paraId="18598B11"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AI governance discussions often emphasize bias and safety but underemphasize workforce transition metrics.</w:t>
      </w:r>
    </w:p>
    <w:p w14:paraId="3E38D84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Responsible deployment requires monitoring:</w:t>
      </w:r>
    </w:p>
    <w:p w14:paraId="25CDF21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Task automation levels</w:t>
      </w:r>
      <w:r w:rsidRPr="00DE5621">
        <w:rPr>
          <w:rFonts w:ascii="Times New Roman" w:eastAsia="Times New Roman" w:hAnsi="Times New Roman" w:cs="Times New Roman"/>
          <w:kern w:val="0"/>
          <w:lang w:eastAsia="en-ZA"/>
          <w14:ligatures w14:val="none"/>
        </w:rPr>
        <w:br/>
        <w:t>• Job transformation indicators</w:t>
      </w:r>
      <w:r w:rsidRPr="00DE5621">
        <w:rPr>
          <w:rFonts w:ascii="Times New Roman" w:eastAsia="Times New Roman" w:hAnsi="Times New Roman" w:cs="Times New Roman"/>
          <w:kern w:val="0"/>
          <w:lang w:eastAsia="en-ZA"/>
          <w14:ligatures w14:val="none"/>
        </w:rPr>
        <w:br/>
        <w:t>• Skill displacement risk</w:t>
      </w:r>
      <w:r w:rsidRPr="00DE5621">
        <w:rPr>
          <w:rFonts w:ascii="Times New Roman" w:eastAsia="Times New Roman" w:hAnsi="Times New Roman" w:cs="Times New Roman"/>
          <w:kern w:val="0"/>
          <w:lang w:eastAsia="en-ZA"/>
          <w14:ligatures w14:val="none"/>
        </w:rPr>
        <w:br/>
        <w:t>• Internal retraining pathways</w:t>
      </w:r>
      <w:r w:rsidRPr="00DE5621">
        <w:rPr>
          <w:rFonts w:ascii="Times New Roman" w:eastAsia="Times New Roman" w:hAnsi="Times New Roman" w:cs="Times New Roman"/>
          <w:kern w:val="0"/>
          <w:lang w:eastAsia="en-ZA"/>
          <w14:ligatures w14:val="none"/>
        </w:rPr>
        <w:br/>
        <w:t>• Transition absorption capacity</w:t>
      </w:r>
    </w:p>
    <w:p w14:paraId="68CDFF99"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4.1 Workforce Impact Indicators</w:t>
      </w:r>
    </w:p>
    <w:p w14:paraId="41D3923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Suggested enterprise-level indicators:</w:t>
      </w:r>
    </w:p>
    <w:p w14:paraId="6C9CDE3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Percentage of role-task automation</w:t>
      </w:r>
      <w:r w:rsidRPr="00DE5621">
        <w:rPr>
          <w:rFonts w:ascii="Times New Roman" w:eastAsia="Times New Roman" w:hAnsi="Times New Roman" w:cs="Times New Roman"/>
          <w:kern w:val="0"/>
          <w:lang w:eastAsia="en-ZA"/>
          <w14:ligatures w14:val="none"/>
        </w:rPr>
        <w:br/>
        <w:t>• Reskilling investment per impacted employee</w:t>
      </w:r>
      <w:r w:rsidRPr="00DE5621">
        <w:rPr>
          <w:rFonts w:ascii="Times New Roman" w:eastAsia="Times New Roman" w:hAnsi="Times New Roman" w:cs="Times New Roman"/>
          <w:kern w:val="0"/>
          <w:lang w:eastAsia="en-ZA"/>
          <w14:ligatures w14:val="none"/>
        </w:rPr>
        <w:br/>
        <w:t>• Internal mobility rates</w:t>
      </w:r>
      <w:r w:rsidRPr="00DE5621">
        <w:rPr>
          <w:rFonts w:ascii="Times New Roman" w:eastAsia="Times New Roman" w:hAnsi="Times New Roman" w:cs="Times New Roman"/>
          <w:kern w:val="0"/>
          <w:lang w:eastAsia="en-ZA"/>
          <w14:ligatures w14:val="none"/>
        </w:rPr>
        <w:br/>
        <w:t>• Time-to-redeployment metrics</w:t>
      </w:r>
    </w:p>
    <w:p w14:paraId="59067B9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This enables data-driven </w:t>
      </w:r>
      <w:proofErr w:type="spellStart"/>
      <w:r w:rsidRPr="00DE5621">
        <w:rPr>
          <w:rFonts w:ascii="Times New Roman" w:eastAsia="Times New Roman" w:hAnsi="Times New Roman" w:cs="Times New Roman"/>
          <w:kern w:val="0"/>
          <w:lang w:eastAsia="en-ZA"/>
          <w14:ligatures w14:val="none"/>
        </w:rPr>
        <w:t>labor</w:t>
      </w:r>
      <w:proofErr w:type="spellEnd"/>
      <w:r w:rsidRPr="00DE5621">
        <w:rPr>
          <w:rFonts w:ascii="Times New Roman" w:eastAsia="Times New Roman" w:hAnsi="Times New Roman" w:cs="Times New Roman"/>
          <w:kern w:val="0"/>
          <w:lang w:eastAsia="en-ZA"/>
          <w14:ligatures w14:val="none"/>
        </w:rPr>
        <w:t xml:space="preserve"> transition oversight rather than retrospective reaction.</w:t>
      </w:r>
    </w:p>
    <w:p w14:paraId="68C10B60"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06F5F8B1">
          <v:rect id="_x0000_i1030" style="width:0;height:1.5pt" o:hralign="center" o:hrstd="t" o:hr="t" fillcolor="#a0a0a0" stroked="f"/>
        </w:pict>
      </w:r>
    </w:p>
    <w:p w14:paraId="50DE5DCE"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5. Component III: Compliance Reporting Infrastructure</w:t>
      </w:r>
    </w:p>
    <w:p w14:paraId="7DC1924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Governance requires structured reporting pathways aligned with regulatory and voluntary frameworks.</w:t>
      </w:r>
    </w:p>
    <w:p w14:paraId="0616BED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 governance infrastructure model may integrate:</w:t>
      </w:r>
    </w:p>
    <w:p w14:paraId="31A2EA6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Automated risk classification outputs</w:t>
      </w:r>
      <w:r w:rsidRPr="00DE5621">
        <w:rPr>
          <w:rFonts w:ascii="Times New Roman" w:eastAsia="Times New Roman" w:hAnsi="Times New Roman" w:cs="Times New Roman"/>
          <w:kern w:val="0"/>
          <w:lang w:eastAsia="en-ZA"/>
          <w14:ligatures w14:val="none"/>
        </w:rPr>
        <w:br/>
        <w:t>• Model documentation exports</w:t>
      </w:r>
      <w:r w:rsidRPr="00DE5621">
        <w:rPr>
          <w:rFonts w:ascii="Times New Roman" w:eastAsia="Times New Roman" w:hAnsi="Times New Roman" w:cs="Times New Roman"/>
          <w:kern w:val="0"/>
          <w:lang w:eastAsia="en-ZA"/>
          <w14:ligatures w14:val="none"/>
        </w:rPr>
        <w:br/>
        <w:t>• Workforce impact summary reports</w:t>
      </w:r>
      <w:r w:rsidRPr="00DE5621">
        <w:rPr>
          <w:rFonts w:ascii="Times New Roman" w:eastAsia="Times New Roman" w:hAnsi="Times New Roman" w:cs="Times New Roman"/>
          <w:kern w:val="0"/>
          <w:lang w:eastAsia="en-ZA"/>
          <w14:ligatures w14:val="none"/>
        </w:rPr>
        <w:br/>
        <w:t>• Internal review logs</w:t>
      </w:r>
    </w:p>
    <w:p w14:paraId="520878F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lastRenderedPageBreak/>
        <w:t>The objective is interoperability with evolving national and supranational regulatory regimes.</w:t>
      </w:r>
    </w:p>
    <w:p w14:paraId="2A168BDB"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25523FA5">
          <v:rect id="_x0000_i1031" style="width:0;height:1.5pt" o:hralign="center" o:hrstd="t" o:hr="t" fillcolor="#a0a0a0" stroked="f"/>
        </w:pict>
      </w:r>
    </w:p>
    <w:p w14:paraId="3E001365"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6. Institutional Coordination Layer</w:t>
      </w:r>
    </w:p>
    <w:p w14:paraId="23F4E46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 addition to enterprise-level infrastructure, institutional coordination mechanisms are necessary.</w:t>
      </w:r>
    </w:p>
    <w:p w14:paraId="04EC2888"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may include:</w:t>
      </w:r>
    </w:p>
    <w:p w14:paraId="72DB915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Voluntary reporting standards</w:t>
      </w:r>
      <w:r w:rsidRPr="00DE5621">
        <w:rPr>
          <w:rFonts w:ascii="Times New Roman" w:eastAsia="Times New Roman" w:hAnsi="Times New Roman" w:cs="Times New Roman"/>
          <w:kern w:val="0"/>
          <w:lang w:eastAsia="en-ZA"/>
          <w14:ligatures w14:val="none"/>
        </w:rPr>
        <w:br/>
        <w:t>• Cross-sector benchmarking</w:t>
      </w:r>
      <w:r w:rsidRPr="00DE5621">
        <w:rPr>
          <w:rFonts w:ascii="Times New Roman" w:eastAsia="Times New Roman" w:hAnsi="Times New Roman" w:cs="Times New Roman"/>
          <w:kern w:val="0"/>
          <w:lang w:eastAsia="en-ZA"/>
          <w14:ligatures w14:val="none"/>
        </w:rPr>
        <w:br/>
        <w:t>• Aggregated anonymized data studies</w:t>
      </w:r>
      <w:r w:rsidRPr="00DE5621">
        <w:rPr>
          <w:rFonts w:ascii="Times New Roman" w:eastAsia="Times New Roman" w:hAnsi="Times New Roman" w:cs="Times New Roman"/>
          <w:kern w:val="0"/>
          <w:lang w:eastAsia="en-ZA"/>
          <w14:ligatures w14:val="none"/>
        </w:rPr>
        <w:br/>
        <w:t>• Public-private dialogue forums</w:t>
      </w:r>
    </w:p>
    <w:p w14:paraId="6C63AFB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Relevant coordination forums include organizations such as:</w:t>
      </w:r>
    </w:p>
    <w:p w14:paraId="4757E128"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OECD</w:t>
      </w:r>
      <w:r w:rsidRPr="00DE5621">
        <w:rPr>
          <w:rFonts w:ascii="Times New Roman" w:eastAsia="Times New Roman" w:hAnsi="Times New Roman" w:cs="Times New Roman"/>
          <w:kern w:val="0"/>
          <w:lang w:eastAsia="en-ZA"/>
          <w14:ligatures w14:val="none"/>
        </w:rPr>
        <w:br/>
        <w:t>• International Labour Organization</w:t>
      </w:r>
      <w:r w:rsidRPr="00DE5621">
        <w:rPr>
          <w:rFonts w:ascii="Times New Roman" w:eastAsia="Times New Roman" w:hAnsi="Times New Roman" w:cs="Times New Roman"/>
          <w:kern w:val="0"/>
          <w:lang w:eastAsia="en-ZA"/>
          <w14:ligatures w14:val="none"/>
        </w:rPr>
        <w:br/>
        <w:t>• World Economic Forum</w:t>
      </w:r>
    </w:p>
    <w:p w14:paraId="11659CD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goal is harmonization support, not centralized control.</w:t>
      </w:r>
    </w:p>
    <w:p w14:paraId="023FA241"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5F607043">
          <v:rect id="_x0000_i1032" style="width:0;height:1.5pt" o:hralign="center" o:hrstd="t" o:hr="t" fillcolor="#a0a0a0" stroked="f"/>
        </w:pict>
      </w:r>
    </w:p>
    <w:p w14:paraId="5E405487"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7. Design Principles</w:t>
      </w:r>
    </w:p>
    <w:p w14:paraId="64F7B2BC"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framework operates under five principles:</w:t>
      </w:r>
    </w:p>
    <w:p w14:paraId="0D90B22A" w14:textId="77777777" w:rsidR="00DE5621" w:rsidRPr="00DE5621" w:rsidRDefault="00DE5621" w:rsidP="00DE5621">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Infrastructure over ideology</w:t>
      </w:r>
    </w:p>
    <w:p w14:paraId="030F9CE6" w14:textId="77777777" w:rsidR="00DE5621" w:rsidRPr="00DE5621" w:rsidRDefault="00DE5621" w:rsidP="00DE5621">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Auditability over aspiration</w:t>
      </w:r>
    </w:p>
    <w:p w14:paraId="0902DA68" w14:textId="77777777" w:rsidR="00DE5621" w:rsidRPr="00DE5621" w:rsidRDefault="00DE5621" w:rsidP="00DE5621">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Interoperability across jurisdictions</w:t>
      </w:r>
    </w:p>
    <w:p w14:paraId="4D8179C3" w14:textId="77777777" w:rsidR="00DE5621" w:rsidRPr="00DE5621" w:rsidRDefault="00DE5621" w:rsidP="00DE5621">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Workforce inclusion as a measurable variable</w:t>
      </w:r>
    </w:p>
    <w:p w14:paraId="7B28FE3A" w14:textId="77777777" w:rsidR="00DE5621" w:rsidRPr="00DE5621" w:rsidRDefault="00DE5621" w:rsidP="00DE5621">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Voluntary adoption with scalable integration</w:t>
      </w:r>
    </w:p>
    <w:p w14:paraId="6EADE42A"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11BF9395">
          <v:rect id="_x0000_i1033" style="width:0;height:1.5pt" o:hralign="center" o:hrstd="t" o:hr="t" fillcolor="#a0a0a0" stroked="f"/>
        </w:pict>
      </w:r>
    </w:p>
    <w:p w14:paraId="20170B15"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8. Implementation Pathway</w:t>
      </w:r>
    </w:p>
    <w:p w14:paraId="2F10E6C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 phased approach may include:</w:t>
      </w:r>
    </w:p>
    <w:p w14:paraId="3672BC2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Phase 1: Internal AI registry adoption</w:t>
      </w:r>
      <w:r w:rsidRPr="00DE5621">
        <w:rPr>
          <w:rFonts w:ascii="Times New Roman" w:eastAsia="Times New Roman" w:hAnsi="Times New Roman" w:cs="Times New Roman"/>
          <w:kern w:val="0"/>
          <w:lang w:eastAsia="en-ZA"/>
          <w14:ligatures w14:val="none"/>
        </w:rPr>
        <w:br/>
        <w:t xml:space="preserve">Phase 2: Workforce impact </w:t>
      </w:r>
      <w:proofErr w:type="spellStart"/>
      <w:r w:rsidRPr="00DE5621">
        <w:rPr>
          <w:rFonts w:ascii="Times New Roman" w:eastAsia="Times New Roman" w:hAnsi="Times New Roman" w:cs="Times New Roman"/>
          <w:kern w:val="0"/>
          <w:lang w:eastAsia="en-ZA"/>
          <w14:ligatures w14:val="none"/>
        </w:rPr>
        <w:t>modeling</w:t>
      </w:r>
      <w:proofErr w:type="spellEnd"/>
      <w:r w:rsidRPr="00DE5621">
        <w:rPr>
          <w:rFonts w:ascii="Times New Roman" w:eastAsia="Times New Roman" w:hAnsi="Times New Roman" w:cs="Times New Roman"/>
          <w:kern w:val="0"/>
          <w:lang w:eastAsia="en-ZA"/>
          <w14:ligatures w14:val="none"/>
        </w:rPr>
        <w:t xml:space="preserve"> integration</w:t>
      </w:r>
      <w:r w:rsidRPr="00DE5621">
        <w:rPr>
          <w:rFonts w:ascii="Times New Roman" w:eastAsia="Times New Roman" w:hAnsi="Times New Roman" w:cs="Times New Roman"/>
          <w:kern w:val="0"/>
          <w:lang w:eastAsia="en-ZA"/>
          <w14:ligatures w14:val="none"/>
        </w:rPr>
        <w:br/>
        <w:t>Phase 3: Compliance reporting alignment</w:t>
      </w:r>
      <w:r w:rsidRPr="00DE5621">
        <w:rPr>
          <w:rFonts w:ascii="Times New Roman" w:eastAsia="Times New Roman" w:hAnsi="Times New Roman" w:cs="Times New Roman"/>
          <w:kern w:val="0"/>
          <w:lang w:eastAsia="en-ZA"/>
          <w14:ligatures w14:val="none"/>
        </w:rPr>
        <w:br/>
        <w:t>Phase 4: Voluntary standards participation</w:t>
      </w:r>
    </w:p>
    <w:p w14:paraId="6AA83BA4"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lastRenderedPageBreak/>
        <w:t>This allows incremental adoption without regulatory disruption.</w:t>
      </w:r>
    </w:p>
    <w:p w14:paraId="5304F3DE"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7D8D7B6A">
          <v:rect id="_x0000_i1034" style="width:0;height:1.5pt" o:hralign="center" o:hrstd="t" o:hr="t" fillcolor="#a0a0a0" stroked="f"/>
        </w:pict>
      </w:r>
    </w:p>
    <w:p w14:paraId="000C7E11"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9. Limitations</w:t>
      </w:r>
    </w:p>
    <w:p w14:paraId="7A4D13A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framework:</w:t>
      </w:r>
    </w:p>
    <w:p w14:paraId="79F8312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Does not propose new legislation</w:t>
      </w:r>
      <w:r w:rsidRPr="00DE5621">
        <w:rPr>
          <w:rFonts w:ascii="Times New Roman" w:eastAsia="Times New Roman" w:hAnsi="Times New Roman" w:cs="Times New Roman"/>
          <w:kern w:val="0"/>
          <w:lang w:eastAsia="en-ZA"/>
          <w14:ligatures w14:val="none"/>
        </w:rPr>
        <w:br/>
        <w:t>• Does not replace national regulatory authority</w:t>
      </w:r>
      <w:r w:rsidRPr="00DE5621">
        <w:rPr>
          <w:rFonts w:ascii="Times New Roman" w:eastAsia="Times New Roman" w:hAnsi="Times New Roman" w:cs="Times New Roman"/>
          <w:kern w:val="0"/>
          <w:lang w:eastAsia="en-ZA"/>
          <w14:ligatures w14:val="none"/>
        </w:rPr>
        <w:br/>
        <w:t>• Does not centralize governance control</w:t>
      </w:r>
      <w:r w:rsidRPr="00DE5621">
        <w:rPr>
          <w:rFonts w:ascii="Times New Roman" w:eastAsia="Times New Roman" w:hAnsi="Times New Roman" w:cs="Times New Roman"/>
          <w:kern w:val="0"/>
          <w:lang w:eastAsia="en-ZA"/>
          <w14:ligatures w14:val="none"/>
        </w:rPr>
        <w:br/>
        <w:t>• Does not claim exclusivity of approach</w:t>
      </w:r>
    </w:p>
    <w:p w14:paraId="4182AF43"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It is one contribution among many evolving governance efforts.</w:t>
      </w:r>
    </w:p>
    <w:p w14:paraId="4D8A6E30"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37C48BDE">
          <v:rect id="_x0000_i1035" style="width:0;height:1.5pt" o:hralign="center" o:hrstd="t" o:hr="t" fillcolor="#a0a0a0" stroked="f"/>
        </w:pict>
      </w:r>
    </w:p>
    <w:p w14:paraId="52B200E7"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10. Conclusion</w:t>
      </w:r>
    </w:p>
    <w:p w14:paraId="11D9731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AI governance discourse has matured rapidly at the policy level. The next challenge lies in operationalization.</w:t>
      </w:r>
    </w:p>
    <w:p w14:paraId="5E21E72A"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Bridging principles and practice requires:</w:t>
      </w:r>
    </w:p>
    <w:p w14:paraId="55AE28F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Enterprise-level infrastructure</w:t>
      </w:r>
      <w:r w:rsidRPr="00DE5621">
        <w:rPr>
          <w:rFonts w:ascii="Times New Roman" w:eastAsia="Times New Roman" w:hAnsi="Times New Roman" w:cs="Times New Roman"/>
          <w:kern w:val="0"/>
          <w:lang w:eastAsia="en-ZA"/>
          <w14:ligatures w14:val="none"/>
        </w:rPr>
        <w:br/>
        <w:t>• Workforce transition metrics</w:t>
      </w:r>
      <w:r w:rsidRPr="00DE5621">
        <w:rPr>
          <w:rFonts w:ascii="Times New Roman" w:eastAsia="Times New Roman" w:hAnsi="Times New Roman" w:cs="Times New Roman"/>
          <w:kern w:val="0"/>
          <w:lang w:eastAsia="en-ZA"/>
          <w14:ligatures w14:val="none"/>
        </w:rPr>
        <w:br/>
        <w:t>• Cross-institutional coordination</w:t>
      </w:r>
    </w:p>
    <w:p w14:paraId="1566B5D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paper offers a technical framework to support that transition.</w:t>
      </w:r>
    </w:p>
    <w:p w14:paraId="2059F93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intent is collaborative refinement and open contribution to ongoing governance development.</w:t>
      </w:r>
    </w:p>
    <w:p w14:paraId="15898D3C"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PUBLICATION-READY STRUCTURE (PDF FORMAT OUTLINE)</w:t>
      </w:r>
    </w:p>
    <w:p w14:paraId="58FBE3CA"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Use this exact structure when formatting for PDF (Times New Roman or Garamond, 11–12pt, 1.15 spacing).</w:t>
      </w:r>
    </w:p>
    <w:p w14:paraId="525EAC4A"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0323B479">
          <v:rect id="_x0000_i1047" style="width:0;height:1.5pt" o:hralign="center" o:hrstd="t" o:hr="t" fillcolor="#a0a0a0" stroked="f"/>
        </w:pict>
      </w:r>
    </w:p>
    <w:p w14:paraId="1504644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b/>
          <w:bCs/>
          <w:kern w:val="0"/>
          <w:lang w:eastAsia="en-ZA"/>
          <w14:ligatures w14:val="none"/>
        </w:rPr>
        <w:t>Title Page</w:t>
      </w:r>
    </w:p>
    <w:p w14:paraId="6486F57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b/>
          <w:bCs/>
          <w:kern w:val="0"/>
          <w:lang w:eastAsia="en-ZA"/>
          <w14:ligatures w14:val="none"/>
        </w:rPr>
        <w:t>Toward an Integrated AI Governance Infrastructure Framework</w:t>
      </w:r>
      <w:r w:rsidRPr="00DE5621">
        <w:rPr>
          <w:rFonts w:ascii="Times New Roman" w:eastAsia="Times New Roman" w:hAnsi="Times New Roman" w:cs="Times New Roman"/>
          <w:kern w:val="0"/>
          <w:lang w:eastAsia="en-ZA"/>
          <w14:ligatures w14:val="none"/>
        </w:rPr>
        <w:br/>
        <w:t xml:space="preserve">Enterprise Auditability, Workforce Impact </w:t>
      </w:r>
      <w:proofErr w:type="spellStart"/>
      <w:r w:rsidRPr="00DE5621">
        <w:rPr>
          <w:rFonts w:ascii="Times New Roman" w:eastAsia="Times New Roman" w:hAnsi="Times New Roman" w:cs="Times New Roman"/>
          <w:kern w:val="0"/>
          <w:lang w:eastAsia="en-ZA"/>
          <w14:ligatures w14:val="none"/>
        </w:rPr>
        <w:t>Modeling</w:t>
      </w:r>
      <w:proofErr w:type="spellEnd"/>
      <w:r w:rsidRPr="00DE5621">
        <w:rPr>
          <w:rFonts w:ascii="Times New Roman" w:eastAsia="Times New Roman" w:hAnsi="Times New Roman" w:cs="Times New Roman"/>
          <w:kern w:val="0"/>
          <w:lang w:eastAsia="en-ZA"/>
          <w14:ligatures w14:val="none"/>
        </w:rPr>
        <w:t>, and Institutional Coordination</w:t>
      </w:r>
    </w:p>
    <w:p w14:paraId="2884C17C"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lastRenderedPageBreak/>
        <w:t>Author: [Your Name]</w:t>
      </w:r>
      <w:r w:rsidRPr="00DE5621">
        <w:rPr>
          <w:rFonts w:ascii="Times New Roman" w:eastAsia="Times New Roman" w:hAnsi="Times New Roman" w:cs="Times New Roman"/>
          <w:kern w:val="0"/>
          <w:lang w:eastAsia="en-ZA"/>
          <w14:ligatures w14:val="none"/>
        </w:rPr>
        <w:br/>
        <w:t>Date: [Month Year]</w:t>
      </w:r>
      <w:r w:rsidRPr="00DE5621">
        <w:rPr>
          <w:rFonts w:ascii="Times New Roman" w:eastAsia="Times New Roman" w:hAnsi="Times New Roman" w:cs="Times New Roman"/>
          <w:kern w:val="0"/>
          <w:lang w:eastAsia="en-ZA"/>
          <w14:ligatures w14:val="none"/>
        </w:rPr>
        <w:br/>
        <w:t>Contact: [Professional Email]</w:t>
      </w:r>
    </w:p>
    <w:p w14:paraId="07FF7C4E"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0BCF4700">
          <v:rect id="_x0000_i1048" style="width:0;height:1.5pt" o:hralign="center" o:hrstd="t" o:hr="t" fillcolor="#a0a0a0" stroked="f"/>
        </w:pict>
      </w:r>
    </w:p>
    <w:p w14:paraId="6F50700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b/>
          <w:bCs/>
          <w:kern w:val="0"/>
          <w:lang w:eastAsia="en-ZA"/>
          <w14:ligatures w14:val="none"/>
        </w:rPr>
        <w:t>Abstract (200–250 words)</w:t>
      </w:r>
    </w:p>
    <w:p w14:paraId="7BE6EFD8"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b/>
          <w:bCs/>
          <w:kern w:val="0"/>
          <w:lang w:eastAsia="en-ZA"/>
          <w14:ligatures w14:val="none"/>
        </w:rPr>
        <w:t>Keywords:</w:t>
      </w:r>
      <w:r w:rsidRPr="00DE5621">
        <w:rPr>
          <w:rFonts w:ascii="Times New Roman" w:eastAsia="Times New Roman" w:hAnsi="Times New Roman" w:cs="Times New Roman"/>
          <w:kern w:val="0"/>
          <w:lang w:eastAsia="en-ZA"/>
          <w14:ligatures w14:val="none"/>
        </w:rPr>
        <w:t xml:space="preserve"> AI governance, enterprise compliance, workforce transition, auditability, regulatory infrastructure</w:t>
      </w:r>
    </w:p>
    <w:p w14:paraId="658C24EE"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29E37198">
          <v:rect id="_x0000_i1049" style="width:0;height:1.5pt" o:hralign="center" o:hrstd="t" o:hr="t" fillcolor="#a0a0a0" stroked="f"/>
        </w:pict>
      </w:r>
    </w:p>
    <w:p w14:paraId="4C71BB3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b/>
          <w:bCs/>
          <w:kern w:val="0"/>
          <w:lang w:eastAsia="en-ZA"/>
          <w14:ligatures w14:val="none"/>
        </w:rPr>
        <w:t>Table of Contents</w:t>
      </w:r>
    </w:p>
    <w:p w14:paraId="42281761"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Introduction</w:t>
      </w:r>
    </w:p>
    <w:p w14:paraId="1715BB62"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Implementation Gap in AI Governance</w:t>
      </w:r>
    </w:p>
    <w:p w14:paraId="37C25B98"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Enterprise AI System Registry</w:t>
      </w:r>
    </w:p>
    <w:p w14:paraId="3640AA84"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Workforce Impact </w:t>
      </w:r>
      <w:proofErr w:type="spellStart"/>
      <w:r w:rsidRPr="00DE5621">
        <w:rPr>
          <w:rFonts w:ascii="Times New Roman" w:eastAsia="Times New Roman" w:hAnsi="Times New Roman" w:cs="Times New Roman"/>
          <w:kern w:val="0"/>
          <w:lang w:eastAsia="en-ZA"/>
          <w14:ligatures w14:val="none"/>
        </w:rPr>
        <w:t>Modeling</w:t>
      </w:r>
      <w:proofErr w:type="spellEnd"/>
      <w:r w:rsidRPr="00DE5621">
        <w:rPr>
          <w:rFonts w:ascii="Times New Roman" w:eastAsia="Times New Roman" w:hAnsi="Times New Roman" w:cs="Times New Roman"/>
          <w:kern w:val="0"/>
          <w:lang w:eastAsia="en-ZA"/>
          <w14:ligatures w14:val="none"/>
        </w:rPr>
        <w:t xml:space="preserve"> Framework</w:t>
      </w:r>
    </w:p>
    <w:p w14:paraId="69DA4AB0"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Compliance Reporting Architecture</w:t>
      </w:r>
    </w:p>
    <w:p w14:paraId="76703FBD"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Institutional Coordination Mechanisms</w:t>
      </w:r>
    </w:p>
    <w:p w14:paraId="4B4A34E3"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Design Principles</w:t>
      </w:r>
    </w:p>
    <w:p w14:paraId="78DBD2C9"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Implementation Pathway</w:t>
      </w:r>
    </w:p>
    <w:p w14:paraId="24325F8F"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Limitations and Scope</w:t>
      </w:r>
    </w:p>
    <w:p w14:paraId="3B88B236"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Areas for Further Research</w:t>
      </w:r>
    </w:p>
    <w:p w14:paraId="0629A37A" w14:textId="77777777" w:rsidR="00DE5621" w:rsidRPr="00DE5621" w:rsidRDefault="00DE5621" w:rsidP="00DE5621">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Conclusion</w:t>
      </w:r>
      <w:r w:rsidRPr="00DE5621">
        <w:rPr>
          <w:rFonts w:ascii="Times New Roman" w:eastAsia="Times New Roman" w:hAnsi="Times New Roman" w:cs="Times New Roman"/>
          <w:kern w:val="0"/>
          <w:lang w:eastAsia="en-ZA"/>
          <w14:ligatures w14:val="none"/>
        </w:rPr>
        <w:br/>
        <w:t>References</w:t>
      </w:r>
    </w:p>
    <w:p w14:paraId="37D9425F" w14:textId="77777777" w:rsidR="001E5F25" w:rsidRDefault="001E5F25"/>
    <w:p w14:paraId="1A86A7BC"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FULL EXPANDED WHITEPAPER (ACADEMIC LENGTH VERSION)</w:t>
      </w:r>
    </w:p>
    <w:p w14:paraId="3ADD91E4"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5B2471E5">
          <v:rect id="_x0000_i1053" style="width:0;height:1.5pt" o:hralign="center" o:hrstd="t" o:hr="t" fillcolor="#a0a0a0" stroked="f"/>
        </w:pict>
      </w:r>
    </w:p>
    <w:p w14:paraId="6132B350"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Toward an Integrated AI Governance Infrastructure Framework</w:t>
      </w:r>
    </w:p>
    <w:p w14:paraId="7115FBF2"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Abstract</w:t>
      </w:r>
    </w:p>
    <w:p w14:paraId="736F64BA"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The global expansion of artificial intelligence systems has accelerated beyond the maturation of operational governance mechanisms. While regulatory principles, ethical guidelines, and national policy strategies are rapidly evolving, enterprises often lack practical infrastructure to implement governance requirements consistently. This paper proposes a structured framework focused on operational mechanisms rather than new regulatory mandates. It </w:t>
      </w:r>
      <w:r w:rsidRPr="00DE5621">
        <w:rPr>
          <w:rFonts w:ascii="Times New Roman" w:eastAsia="Times New Roman" w:hAnsi="Times New Roman" w:cs="Times New Roman"/>
          <w:kern w:val="0"/>
          <w:lang w:eastAsia="en-ZA"/>
          <w14:ligatures w14:val="none"/>
        </w:rPr>
        <w:lastRenderedPageBreak/>
        <w:t xml:space="preserve">outlines three interdependent components: (1) enterprise AI system registry infrastructure, (2) workforce impact </w:t>
      </w:r>
      <w:proofErr w:type="spellStart"/>
      <w:r w:rsidRPr="00DE5621">
        <w:rPr>
          <w:rFonts w:ascii="Times New Roman" w:eastAsia="Times New Roman" w:hAnsi="Times New Roman" w:cs="Times New Roman"/>
          <w:kern w:val="0"/>
          <w:lang w:eastAsia="en-ZA"/>
          <w14:ligatures w14:val="none"/>
        </w:rPr>
        <w:t>modeling</w:t>
      </w:r>
      <w:proofErr w:type="spellEnd"/>
      <w:r w:rsidRPr="00DE5621">
        <w:rPr>
          <w:rFonts w:ascii="Times New Roman" w:eastAsia="Times New Roman" w:hAnsi="Times New Roman" w:cs="Times New Roman"/>
          <w:kern w:val="0"/>
          <w:lang w:eastAsia="en-ZA"/>
          <w14:ligatures w14:val="none"/>
        </w:rPr>
        <w:t xml:space="preserve"> integration, and (3) institutional coordination through voluntary standards alignment. The objective is to support practical implementation of AI oversight within existing policy environments while enabling measurable workforce transition monitoring. This framework is offered as a contribution to ongoing governance dialogue and invites refinement through cross-sector collaboration.</w:t>
      </w:r>
    </w:p>
    <w:p w14:paraId="1378307B"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20325554">
          <v:rect id="_x0000_i1054" style="width:0;height:1.5pt" o:hralign="center" o:hrstd="t" o:hr="t" fillcolor="#a0a0a0" stroked="f"/>
        </w:pict>
      </w:r>
    </w:p>
    <w:p w14:paraId="04E88A5F"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1. Introduction</w:t>
      </w:r>
    </w:p>
    <w:p w14:paraId="68110E04"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Artificial intelligence technologies are increasingly embedded across economic sectors including finance, healthcare, logistics, energy systems, public administration, and digital services. Governments and international institutions have responded with frameworks emphasizing transparency, accountability, fairness, and risk mitigation.</w:t>
      </w:r>
    </w:p>
    <w:p w14:paraId="71538F6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Despite this progress, a recurring operational gap persists between governance principles and enterprise-level execution. Many organizations face uncertainty regarding how to translate policy expectations into structured internal systems.</w:t>
      </w:r>
    </w:p>
    <w:p w14:paraId="2DB28951"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paper proposes a governance infrastructure framework designed to bridge that implementation gap.</w:t>
      </w:r>
    </w:p>
    <w:p w14:paraId="354AA2CC"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46004A03">
          <v:rect id="_x0000_i1055" style="width:0;height:1.5pt" o:hralign="center" o:hrstd="t" o:hr="t" fillcolor="#a0a0a0" stroked="f"/>
        </w:pict>
      </w:r>
    </w:p>
    <w:p w14:paraId="0B5432B2"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2. The Implementation Gap</w:t>
      </w:r>
    </w:p>
    <w:p w14:paraId="38298E3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Emerging AI governance regimes frequently emphasize:</w:t>
      </w:r>
    </w:p>
    <w:p w14:paraId="2D4091C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Risk categorization</w:t>
      </w:r>
      <w:r w:rsidRPr="00DE5621">
        <w:rPr>
          <w:rFonts w:ascii="Times New Roman" w:eastAsia="Times New Roman" w:hAnsi="Times New Roman" w:cs="Times New Roman"/>
          <w:kern w:val="0"/>
          <w:lang w:eastAsia="en-ZA"/>
          <w14:ligatures w14:val="none"/>
        </w:rPr>
        <w:br/>
        <w:t>• Human oversight</w:t>
      </w:r>
      <w:r w:rsidRPr="00DE5621">
        <w:rPr>
          <w:rFonts w:ascii="Times New Roman" w:eastAsia="Times New Roman" w:hAnsi="Times New Roman" w:cs="Times New Roman"/>
          <w:kern w:val="0"/>
          <w:lang w:eastAsia="en-ZA"/>
          <w14:ligatures w14:val="none"/>
        </w:rPr>
        <w:br/>
        <w:t>• Documentation requirements</w:t>
      </w:r>
      <w:r w:rsidRPr="00DE5621">
        <w:rPr>
          <w:rFonts w:ascii="Times New Roman" w:eastAsia="Times New Roman" w:hAnsi="Times New Roman" w:cs="Times New Roman"/>
          <w:kern w:val="0"/>
          <w:lang w:eastAsia="en-ZA"/>
          <w14:ligatures w14:val="none"/>
        </w:rPr>
        <w:br/>
        <w:t>• Bias mitigation</w:t>
      </w:r>
      <w:r w:rsidRPr="00DE5621">
        <w:rPr>
          <w:rFonts w:ascii="Times New Roman" w:eastAsia="Times New Roman" w:hAnsi="Times New Roman" w:cs="Times New Roman"/>
          <w:kern w:val="0"/>
          <w:lang w:eastAsia="en-ZA"/>
          <w14:ligatures w14:val="none"/>
        </w:rPr>
        <w:br/>
        <w:t>• Accountability structures</w:t>
      </w:r>
    </w:p>
    <w:p w14:paraId="2124ED3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However, enterprises often lack:</w:t>
      </w:r>
    </w:p>
    <w:p w14:paraId="20ADF941"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Centralized visibility over deployed AI systems</w:t>
      </w:r>
      <w:r w:rsidRPr="00DE5621">
        <w:rPr>
          <w:rFonts w:ascii="Times New Roman" w:eastAsia="Times New Roman" w:hAnsi="Times New Roman" w:cs="Times New Roman"/>
          <w:kern w:val="0"/>
          <w:lang w:eastAsia="en-ZA"/>
          <w14:ligatures w14:val="none"/>
        </w:rPr>
        <w:br/>
        <w:t>• Cross-departmental governance workflows</w:t>
      </w:r>
      <w:r w:rsidRPr="00DE5621">
        <w:rPr>
          <w:rFonts w:ascii="Times New Roman" w:eastAsia="Times New Roman" w:hAnsi="Times New Roman" w:cs="Times New Roman"/>
          <w:kern w:val="0"/>
          <w:lang w:eastAsia="en-ZA"/>
          <w14:ligatures w14:val="none"/>
        </w:rPr>
        <w:br/>
        <w:t>• Measurable workforce impact tracking</w:t>
      </w:r>
      <w:r w:rsidRPr="00DE5621">
        <w:rPr>
          <w:rFonts w:ascii="Times New Roman" w:eastAsia="Times New Roman" w:hAnsi="Times New Roman" w:cs="Times New Roman"/>
          <w:kern w:val="0"/>
          <w:lang w:eastAsia="en-ZA"/>
          <w14:ligatures w14:val="none"/>
        </w:rPr>
        <w:br/>
        <w:t>• Standardized compliance documentation exports</w:t>
      </w:r>
    </w:p>
    <w:p w14:paraId="4D400004"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mismatch creates inconsistent implementation and limits audit readiness.</w:t>
      </w:r>
    </w:p>
    <w:p w14:paraId="2B4D6548"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14242E68">
          <v:rect id="_x0000_i1056" style="width:0;height:1.5pt" o:hralign="center" o:hrstd="t" o:hr="t" fillcolor="#a0a0a0" stroked="f"/>
        </w:pict>
      </w:r>
    </w:p>
    <w:p w14:paraId="53334E1A"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3. Enterprise AI System Registry</w:t>
      </w:r>
    </w:p>
    <w:p w14:paraId="72481834"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lastRenderedPageBreak/>
        <w:t>3.1 Rationale</w:t>
      </w:r>
    </w:p>
    <w:p w14:paraId="52D57E2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An AI system registry serves as a foundational governance mechanism. It establishes institutional memory and enables oversight continuity across teams.</w:t>
      </w:r>
    </w:p>
    <w:p w14:paraId="63554A00"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3.2 Core Functional Components</w:t>
      </w:r>
    </w:p>
    <w:p w14:paraId="5A04C5C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 practical registry may include:</w:t>
      </w:r>
    </w:p>
    <w:p w14:paraId="0425479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 System inventory </w:t>
      </w:r>
      <w:proofErr w:type="spellStart"/>
      <w:r w:rsidRPr="00DE5621">
        <w:rPr>
          <w:rFonts w:ascii="Times New Roman" w:eastAsia="Times New Roman" w:hAnsi="Times New Roman" w:cs="Times New Roman"/>
          <w:kern w:val="0"/>
          <w:lang w:eastAsia="en-ZA"/>
          <w14:ligatures w14:val="none"/>
        </w:rPr>
        <w:t>catalog</w:t>
      </w:r>
      <w:proofErr w:type="spellEnd"/>
      <w:r w:rsidRPr="00DE5621">
        <w:rPr>
          <w:rFonts w:ascii="Times New Roman" w:eastAsia="Times New Roman" w:hAnsi="Times New Roman" w:cs="Times New Roman"/>
          <w:kern w:val="0"/>
          <w:lang w:eastAsia="en-ZA"/>
          <w14:ligatures w14:val="none"/>
        </w:rPr>
        <w:br/>
        <w:t>• Model classification type</w:t>
      </w:r>
      <w:r w:rsidRPr="00DE5621">
        <w:rPr>
          <w:rFonts w:ascii="Times New Roman" w:eastAsia="Times New Roman" w:hAnsi="Times New Roman" w:cs="Times New Roman"/>
          <w:kern w:val="0"/>
          <w:lang w:eastAsia="en-ZA"/>
          <w14:ligatures w14:val="none"/>
        </w:rPr>
        <w:br/>
        <w:t>• Deployment environment documentation</w:t>
      </w:r>
      <w:r w:rsidRPr="00DE5621">
        <w:rPr>
          <w:rFonts w:ascii="Times New Roman" w:eastAsia="Times New Roman" w:hAnsi="Times New Roman" w:cs="Times New Roman"/>
          <w:kern w:val="0"/>
          <w:lang w:eastAsia="en-ZA"/>
          <w14:ligatures w14:val="none"/>
        </w:rPr>
        <w:br/>
        <w:t>• Data lineage references</w:t>
      </w:r>
      <w:r w:rsidRPr="00DE5621">
        <w:rPr>
          <w:rFonts w:ascii="Times New Roman" w:eastAsia="Times New Roman" w:hAnsi="Times New Roman" w:cs="Times New Roman"/>
          <w:kern w:val="0"/>
          <w:lang w:eastAsia="en-ZA"/>
          <w14:ligatures w14:val="none"/>
        </w:rPr>
        <w:br/>
        <w:t>• Risk tier designation</w:t>
      </w:r>
      <w:r w:rsidRPr="00DE5621">
        <w:rPr>
          <w:rFonts w:ascii="Times New Roman" w:eastAsia="Times New Roman" w:hAnsi="Times New Roman" w:cs="Times New Roman"/>
          <w:kern w:val="0"/>
          <w:lang w:eastAsia="en-ZA"/>
          <w14:ligatures w14:val="none"/>
        </w:rPr>
        <w:br/>
        <w:t>• Responsible oversight role assignment</w:t>
      </w:r>
      <w:r w:rsidRPr="00DE5621">
        <w:rPr>
          <w:rFonts w:ascii="Times New Roman" w:eastAsia="Times New Roman" w:hAnsi="Times New Roman" w:cs="Times New Roman"/>
          <w:kern w:val="0"/>
          <w:lang w:eastAsia="en-ZA"/>
          <w14:ligatures w14:val="none"/>
        </w:rPr>
        <w:br/>
        <w:t>• Human review protocols</w:t>
      </w:r>
      <w:r w:rsidRPr="00DE5621">
        <w:rPr>
          <w:rFonts w:ascii="Times New Roman" w:eastAsia="Times New Roman" w:hAnsi="Times New Roman" w:cs="Times New Roman"/>
          <w:kern w:val="0"/>
          <w:lang w:eastAsia="en-ZA"/>
          <w14:ligatures w14:val="none"/>
        </w:rPr>
        <w:br/>
        <w:t>• Update logs and version history</w:t>
      </w:r>
    </w:p>
    <w:p w14:paraId="2537C725"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3.3 Benefits</w:t>
      </w:r>
    </w:p>
    <w:p w14:paraId="67DF89C4"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Enhances transparency</w:t>
      </w:r>
      <w:r w:rsidRPr="00DE5621">
        <w:rPr>
          <w:rFonts w:ascii="Times New Roman" w:eastAsia="Times New Roman" w:hAnsi="Times New Roman" w:cs="Times New Roman"/>
          <w:kern w:val="0"/>
          <w:lang w:eastAsia="en-ZA"/>
          <w14:ligatures w14:val="none"/>
        </w:rPr>
        <w:br/>
        <w:t>• Improves board-level reporting</w:t>
      </w:r>
      <w:r w:rsidRPr="00DE5621">
        <w:rPr>
          <w:rFonts w:ascii="Times New Roman" w:eastAsia="Times New Roman" w:hAnsi="Times New Roman" w:cs="Times New Roman"/>
          <w:kern w:val="0"/>
          <w:lang w:eastAsia="en-ZA"/>
          <w14:ligatures w14:val="none"/>
        </w:rPr>
        <w:br/>
        <w:t>• Facilitates regulatory audit processes</w:t>
      </w:r>
      <w:r w:rsidRPr="00DE5621">
        <w:rPr>
          <w:rFonts w:ascii="Times New Roman" w:eastAsia="Times New Roman" w:hAnsi="Times New Roman" w:cs="Times New Roman"/>
          <w:kern w:val="0"/>
          <w:lang w:eastAsia="en-ZA"/>
          <w14:ligatures w14:val="none"/>
        </w:rPr>
        <w:br/>
        <w:t>• Reduces institutional knowledge silos</w:t>
      </w:r>
    </w:p>
    <w:p w14:paraId="05B50E4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registry is infrastructure — not policy — but enables policy adherence.</w:t>
      </w:r>
    </w:p>
    <w:p w14:paraId="0DF2819C"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4B15130A">
          <v:rect id="_x0000_i1057" style="width:0;height:1.5pt" o:hralign="center" o:hrstd="t" o:hr="t" fillcolor="#a0a0a0" stroked="f"/>
        </w:pict>
      </w:r>
    </w:p>
    <w:p w14:paraId="2B62E4C9"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 xml:space="preserve">4. Workforce Impact </w:t>
      </w:r>
      <w:proofErr w:type="spellStart"/>
      <w:r w:rsidRPr="00DE5621">
        <w:rPr>
          <w:rFonts w:ascii="Times New Roman" w:eastAsia="Times New Roman" w:hAnsi="Times New Roman" w:cs="Times New Roman"/>
          <w:b/>
          <w:bCs/>
          <w:kern w:val="0"/>
          <w:sz w:val="36"/>
          <w:szCs w:val="36"/>
          <w:lang w:eastAsia="en-ZA"/>
          <w14:ligatures w14:val="none"/>
        </w:rPr>
        <w:t>Modeling</w:t>
      </w:r>
      <w:proofErr w:type="spellEnd"/>
      <w:r w:rsidRPr="00DE5621">
        <w:rPr>
          <w:rFonts w:ascii="Times New Roman" w:eastAsia="Times New Roman" w:hAnsi="Times New Roman" w:cs="Times New Roman"/>
          <w:b/>
          <w:bCs/>
          <w:kern w:val="0"/>
          <w:sz w:val="36"/>
          <w:szCs w:val="36"/>
          <w:lang w:eastAsia="en-ZA"/>
          <w14:ligatures w14:val="none"/>
        </w:rPr>
        <w:t xml:space="preserve"> Framework</w:t>
      </w:r>
    </w:p>
    <w:p w14:paraId="0BEFC5D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AI governance often focuses on model-level technical risk. Socioeconomic effects receive less structured operational attention.</w:t>
      </w:r>
    </w:p>
    <w:p w14:paraId="0884B1C1"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4.1 Need for Measurable Workforce Metrics</w:t>
      </w:r>
    </w:p>
    <w:p w14:paraId="65A3EFE2"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Responsible deployment requires monitoring:</w:t>
      </w:r>
    </w:p>
    <w:p w14:paraId="5D36A8D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Task-level automation shifts</w:t>
      </w:r>
      <w:r w:rsidRPr="00DE5621">
        <w:rPr>
          <w:rFonts w:ascii="Times New Roman" w:eastAsia="Times New Roman" w:hAnsi="Times New Roman" w:cs="Times New Roman"/>
          <w:kern w:val="0"/>
          <w:lang w:eastAsia="en-ZA"/>
          <w14:ligatures w14:val="none"/>
        </w:rPr>
        <w:br/>
        <w:t>• Job redesign indicators</w:t>
      </w:r>
      <w:r w:rsidRPr="00DE5621">
        <w:rPr>
          <w:rFonts w:ascii="Times New Roman" w:eastAsia="Times New Roman" w:hAnsi="Times New Roman" w:cs="Times New Roman"/>
          <w:kern w:val="0"/>
          <w:lang w:eastAsia="en-ZA"/>
          <w14:ligatures w14:val="none"/>
        </w:rPr>
        <w:br/>
        <w:t>• Internal mobility patterns</w:t>
      </w:r>
      <w:r w:rsidRPr="00DE5621">
        <w:rPr>
          <w:rFonts w:ascii="Times New Roman" w:eastAsia="Times New Roman" w:hAnsi="Times New Roman" w:cs="Times New Roman"/>
          <w:kern w:val="0"/>
          <w:lang w:eastAsia="en-ZA"/>
          <w14:ligatures w14:val="none"/>
        </w:rPr>
        <w:br/>
        <w:t>• Reskilling investments</w:t>
      </w:r>
      <w:r w:rsidRPr="00DE5621">
        <w:rPr>
          <w:rFonts w:ascii="Times New Roman" w:eastAsia="Times New Roman" w:hAnsi="Times New Roman" w:cs="Times New Roman"/>
          <w:kern w:val="0"/>
          <w:lang w:eastAsia="en-ZA"/>
          <w14:ligatures w14:val="none"/>
        </w:rPr>
        <w:br/>
        <w:t>• Transition timeframes</w:t>
      </w:r>
    </w:p>
    <w:p w14:paraId="14F7FDA0" w14:textId="77777777" w:rsidR="00DE5621" w:rsidRPr="00DE5621" w:rsidRDefault="00DE5621" w:rsidP="00DE5621">
      <w:pPr>
        <w:spacing w:before="100" w:beforeAutospacing="1" w:after="100" w:afterAutospacing="1" w:line="240" w:lineRule="auto"/>
        <w:outlineLvl w:val="2"/>
        <w:rPr>
          <w:rFonts w:ascii="Times New Roman" w:eastAsia="Times New Roman" w:hAnsi="Times New Roman" w:cs="Times New Roman"/>
          <w:b/>
          <w:bCs/>
          <w:kern w:val="0"/>
          <w:sz w:val="27"/>
          <w:szCs w:val="27"/>
          <w:lang w:eastAsia="en-ZA"/>
          <w14:ligatures w14:val="none"/>
        </w:rPr>
      </w:pPr>
      <w:r w:rsidRPr="00DE5621">
        <w:rPr>
          <w:rFonts w:ascii="Times New Roman" w:eastAsia="Times New Roman" w:hAnsi="Times New Roman" w:cs="Times New Roman"/>
          <w:b/>
          <w:bCs/>
          <w:kern w:val="0"/>
          <w:sz w:val="27"/>
          <w:szCs w:val="27"/>
          <w:lang w:eastAsia="en-ZA"/>
          <w14:ligatures w14:val="none"/>
        </w:rPr>
        <w:t>4.2 Suggested Indicators</w:t>
      </w:r>
    </w:p>
    <w:p w14:paraId="08C99B7A"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Enterprises may track:</w:t>
      </w:r>
    </w:p>
    <w:p w14:paraId="395E3B3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lastRenderedPageBreak/>
        <w:t>• Percentage of tasks augmented vs. automated</w:t>
      </w:r>
      <w:r w:rsidRPr="00DE5621">
        <w:rPr>
          <w:rFonts w:ascii="Times New Roman" w:eastAsia="Times New Roman" w:hAnsi="Times New Roman" w:cs="Times New Roman"/>
          <w:kern w:val="0"/>
          <w:lang w:eastAsia="en-ZA"/>
          <w14:ligatures w14:val="none"/>
        </w:rPr>
        <w:br/>
        <w:t>• Employee retraining participation rates</w:t>
      </w:r>
      <w:r w:rsidRPr="00DE5621">
        <w:rPr>
          <w:rFonts w:ascii="Times New Roman" w:eastAsia="Times New Roman" w:hAnsi="Times New Roman" w:cs="Times New Roman"/>
          <w:kern w:val="0"/>
          <w:lang w:eastAsia="en-ZA"/>
          <w14:ligatures w14:val="none"/>
        </w:rPr>
        <w:br/>
        <w:t xml:space="preserve">• </w:t>
      </w:r>
      <w:proofErr w:type="gramStart"/>
      <w:r w:rsidRPr="00DE5621">
        <w:rPr>
          <w:rFonts w:ascii="Times New Roman" w:eastAsia="Times New Roman" w:hAnsi="Times New Roman" w:cs="Times New Roman"/>
          <w:kern w:val="0"/>
          <w:lang w:eastAsia="en-ZA"/>
          <w14:ligatures w14:val="none"/>
        </w:rPr>
        <w:t>Post-automation</w:t>
      </w:r>
      <w:proofErr w:type="gramEnd"/>
      <w:r w:rsidRPr="00DE5621">
        <w:rPr>
          <w:rFonts w:ascii="Times New Roman" w:eastAsia="Times New Roman" w:hAnsi="Times New Roman" w:cs="Times New Roman"/>
          <w:kern w:val="0"/>
          <w:lang w:eastAsia="en-ZA"/>
          <w14:ligatures w14:val="none"/>
        </w:rPr>
        <w:t xml:space="preserve"> redeployment success</w:t>
      </w:r>
      <w:r w:rsidRPr="00DE5621">
        <w:rPr>
          <w:rFonts w:ascii="Times New Roman" w:eastAsia="Times New Roman" w:hAnsi="Times New Roman" w:cs="Times New Roman"/>
          <w:kern w:val="0"/>
          <w:lang w:eastAsia="en-ZA"/>
          <w14:ligatures w14:val="none"/>
        </w:rPr>
        <w:br/>
        <w:t>• External hiring vs. internal mobility ratios</w:t>
      </w:r>
    </w:p>
    <w:p w14:paraId="6F1260A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allows governance structures to incorporate workforce resilience metrics into oversight discussions.</w:t>
      </w:r>
    </w:p>
    <w:p w14:paraId="2F13D9CA"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02883683">
          <v:rect id="_x0000_i1058" style="width:0;height:1.5pt" o:hralign="center" o:hrstd="t" o:hr="t" fillcolor="#a0a0a0" stroked="f"/>
        </w:pict>
      </w:r>
    </w:p>
    <w:p w14:paraId="2796E77C"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5. Compliance Reporting Architecture</w:t>
      </w:r>
    </w:p>
    <w:p w14:paraId="633B565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Governance requires structured output mechanisms.</w:t>
      </w:r>
    </w:p>
    <w:p w14:paraId="766D113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 compliance architecture may include:</w:t>
      </w:r>
    </w:p>
    <w:p w14:paraId="513A463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Risk classification dashboards</w:t>
      </w:r>
      <w:r w:rsidRPr="00DE5621">
        <w:rPr>
          <w:rFonts w:ascii="Times New Roman" w:eastAsia="Times New Roman" w:hAnsi="Times New Roman" w:cs="Times New Roman"/>
          <w:kern w:val="0"/>
          <w:lang w:eastAsia="en-ZA"/>
          <w14:ligatures w14:val="none"/>
        </w:rPr>
        <w:br/>
        <w:t>• Exportable regulatory reports</w:t>
      </w:r>
      <w:r w:rsidRPr="00DE5621">
        <w:rPr>
          <w:rFonts w:ascii="Times New Roman" w:eastAsia="Times New Roman" w:hAnsi="Times New Roman" w:cs="Times New Roman"/>
          <w:kern w:val="0"/>
          <w:lang w:eastAsia="en-ZA"/>
          <w14:ligatures w14:val="none"/>
        </w:rPr>
        <w:br/>
        <w:t>• Workforce transition summaries</w:t>
      </w:r>
      <w:r w:rsidRPr="00DE5621">
        <w:rPr>
          <w:rFonts w:ascii="Times New Roman" w:eastAsia="Times New Roman" w:hAnsi="Times New Roman" w:cs="Times New Roman"/>
          <w:kern w:val="0"/>
          <w:lang w:eastAsia="en-ZA"/>
          <w14:ligatures w14:val="none"/>
        </w:rPr>
        <w:br/>
        <w:t>• Internal review logs</w:t>
      </w:r>
      <w:r w:rsidRPr="00DE5621">
        <w:rPr>
          <w:rFonts w:ascii="Times New Roman" w:eastAsia="Times New Roman" w:hAnsi="Times New Roman" w:cs="Times New Roman"/>
          <w:kern w:val="0"/>
          <w:lang w:eastAsia="en-ZA"/>
          <w14:ligatures w14:val="none"/>
        </w:rPr>
        <w:br/>
        <w:t>• Version-controlled documentation</w:t>
      </w:r>
    </w:p>
    <w:p w14:paraId="43A59BA7"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objective is interoperability with evolving regulatory regimes rather than jurisdiction-specific design.</w:t>
      </w:r>
    </w:p>
    <w:p w14:paraId="43513B6C"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3E9FE4D4">
          <v:rect id="_x0000_i1059" style="width:0;height:1.5pt" o:hralign="center" o:hrstd="t" o:hr="t" fillcolor="#a0a0a0" stroked="f"/>
        </w:pict>
      </w:r>
    </w:p>
    <w:p w14:paraId="1E616B57"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6. Institutional Coordination Mechanisms</w:t>
      </w:r>
    </w:p>
    <w:p w14:paraId="1A5F989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Enterprise infrastructure benefits from alignment with broader institutional dialogue.</w:t>
      </w:r>
    </w:p>
    <w:p w14:paraId="606C8961"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Coordination may occur through:</w:t>
      </w:r>
    </w:p>
    <w:p w14:paraId="3EDF298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Voluntary standards development</w:t>
      </w:r>
      <w:r w:rsidRPr="00DE5621">
        <w:rPr>
          <w:rFonts w:ascii="Times New Roman" w:eastAsia="Times New Roman" w:hAnsi="Times New Roman" w:cs="Times New Roman"/>
          <w:kern w:val="0"/>
          <w:lang w:eastAsia="en-ZA"/>
          <w14:ligatures w14:val="none"/>
        </w:rPr>
        <w:br/>
        <w:t>• Benchmarking studies</w:t>
      </w:r>
      <w:r w:rsidRPr="00DE5621">
        <w:rPr>
          <w:rFonts w:ascii="Times New Roman" w:eastAsia="Times New Roman" w:hAnsi="Times New Roman" w:cs="Times New Roman"/>
          <w:kern w:val="0"/>
          <w:lang w:eastAsia="en-ZA"/>
          <w14:ligatures w14:val="none"/>
        </w:rPr>
        <w:br/>
        <w:t xml:space="preserve">• </w:t>
      </w:r>
      <w:proofErr w:type="gramStart"/>
      <w:r w:rsidRPr="00DE5621">
        <w:rPr>
          <w:rFonts w:ascii="Times New Roman" w:eastAsia="Times New Roman" w:hAnsi="Times New Roman" w:cs="Times New Roman"/>
          <w:kern w:val="0"/>
          <w:lang w:eastAsia="en-ZA"/>
          <w14:ligatures w14:val="none"/>
        </w:rPr>
        <w:t>Multi-sector</w:t>
      </w:r>
      <w:proofErr w:type="gramEnd"/>
      <w:r w:rsidRPr="00DE5621">
        <w:rPr>
          <w:rFonts w:ascii="Times New Roman" w:eastAsia="Times New Roman" w:hAnsi="Times New Roman" w:cs="Times New Roman"/>
          <w:kern w:val="0"/>
          <w:lang w:eastAsia="en-ZA"/>
          <w14:ligatures w14:val="none"/>
        </w:rPr>
        <w:t xml:space="preserve"> roundtables</w:t>
      </w:r>
      <w:r w:rsidRPr="00DE5621">
        <w:rPr>
          <w:rFonts w:ascii="Times New Roman" w:eastAsia="Times New Roman" w:hAnsi="Times New Roman" w:cs="Times New Roman"/>
          <w:kern w:val="0"/>
          <w:lang w:eastAsia="en-ZA"/>
          <w14:ligatures w14:val="none"/>
        </w:rPr>
        <w:br/>
        <w:t>• Aggregated anonymized research</w:t>
      </w:r>
    </w:p>
    <w:p w14:paraId="1247F67C"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Relevant multilateral and policy forums include:</w:t>
      </w:r>
    </w:p>
    <w:p w14:paraId="6DC7A47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OECD</w:t>
      </w:r>
      <w:r w:rsidRPr="00DE5621">
        <w:rPr>
          <w:rFonts w:ascii="Times New Roman" w:eastAsia="Times New Roman" w:hAnsi="Times New Roman" w:cs="Times New Roman"/>
          <w:kern w:val="0"/>
          <w:lang w:eastAsia="en-ZA"/>
          <w14:ligatures w14:val="none"/>
        </w:rPr>
        <w:br/>
        <w:t>• International Labour Organization</w:t>
      </w:r>
      <w:r w:rsidRPr="00DE5621">
        <w:rPr>
          <w:rFonts w:ascii="Times New Roman" w:eastAsia="Times New Roman" w:hAnsi="Times New Roman" w:cs="Times New Roman"/>
          <w:kern w:val="0"/>
          <w:lang w:eastAsia="en-ZA"/>
          <w14:ligatures w14:val="none"/>
        </w:rPr>
        <w:br/>
        <w:t>• World Economic Forum</w:t>
      </w:r>
    </w:p>
    <w:p w14:paraId="1EFE97D8"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intent is collaboration, not centralization.</w:t>
      </w:r>
    </w:p>
    <w:p w14:paraId="28140F1D"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171A7D6D">
          <v:rect id="_x0000_i1060" style="width:0;height:1.5pt" o:hralign="center" o:hrstd="t" o:hr="t" fillcolor="#a0a0a0" stroked="f"/>
        </w:pict>
      </w:r>
    </w:p>
    <w:p w14:paraId="2494969E"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lastRenderedPageBreak/>
        <w:t>7. Design Principles</w:t>
      </w:r>
    </w:p>
    <w:p w14:paraId="7362DF0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framework is guided by five principles:</w:t>
      </w:r>
    </w:p>
    <w:p w14:paraId="3312C8CA" w14:textId="77777777" w:rsidR="00DE5621" w:rsidRPr="00DE5621" w:rsidRDefault="00DE5621" w:rsidP="00DE5621">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Infrastructure over abstraction</w:t>
      </w:r>
    </w:p>
    <w:p w14:paraId="72ADBE87" w14:textId="77777777" w:rsidR="00DE5621" w:rsidRPr="00DE5621" w:rsidRDefault="00DE5621" w:rsidP="00DE5621">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Auditability over aspiration</w:t>
      </w:r>
    </w:p>
    <w:p w14:paraId="0E733662" w14:textId="77777777" w:rsidR="00DE5621" w:rsidRPr="00DE5621" w:rsidRDefault="00DE5621" w:rsidP="00DE5621">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Measurable workforce inclusion</w:t>
      </w:r>
    </w:p>
    <w:p w14:paraId="74FA1275" w14:textId="77777777" w:rsidR="00DE5621" w:rsidRPr="00DE5621" w:rsidRDefault="00DE5621" w:rsidP="00DE5621">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Jurisdictional adaptability</w:t>
      </w:r>
    </w:p>
    <w:p w14:paraId="38A30FEF" w14:textId="77777777" w:rsidR="00DE5621" w:rsidRPr="00DE5621" w:rsidRDefault="00DE5621" w:rsidP="00DE5621">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Voluntary, scalable adoption</w:t>
      </w:r>
    </w:p>
    <w:p w14:paraId="62A7205C"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6E4A71FF">
          <v:rect id="_x0000_i1061" style="width:0;height:1.5pt" o:hralign="center" o:hrstd="t" o:hr="t" fillcolor="#a0a0a0" stroked="f"/>
        </w:pict>
      </w:r>
    </w:p>
    <w:p w14:paraId="40914FC6"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8. Implementation Pathway</w:t>
      </w:r>
    </w:p>
    <w:p w14:paraId="21AE3D6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Phase 1: Establish AI registry</w:t>
      </w:r>
      <w:r w:rsidRPr="00DE5621">
        <w:rPr>
          <w:rFonts w:ascii="Times New Roman" w:eastAsia="Times New Roman" w:hAnsi="Times New Roman" w:cs="Times New Roman"/>
          <w:kern w:val="0"/>
          <w:lang w:eastAsia="en-ZA"/>
          <w14:ligatures w14:val="none"/>
        </w:rPr>
        <w:br/>
        <w:t>Phase 2: Integrate workforce impact indicators</w:t>
      </w:r>
      <w:r w:rsidRPr="00DE5621">
        <w:rPr>
          <w:rFonts w:ascii="Times New Roman" w:eastAsia="Times New Roman" w:hAnsi="Times New Roman" w:cs="Times New Roman"/>
          <w:kern w:val="0"/>
          <w:lang w:eastAsia="en-ZA"/>
          <w14:ligatures w14:val="none"/>
        </w:rPr>
        <w:br/>
        <w:t>Phase 3: Standardize reporting outputs</w:t>
      </w:r>
      <w:r w:rsidRPr="00DE5621">
        <w:rPr>
          <w:rFonts w:ascii="Times New Roman" w:eastAsia="Times New Roman" w:hAnsi="Times New Roman" w:cs="Times New Roman"/>
          <w:kern w:val="0"/>
          <w:lang w:eastAsia="en-ZA"/>
          <w14:ligatures w14:val="none"/>
        </w:rPr>
        <w:br/>
        <w:t>Phase 4: Engage in voluntary institutional benchmarking</w:t>
      </w:r>
    </w:p>
    <w:p w14:paraId="3476E73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phased structure enables incremental integration.</w:t>
      </w:r>
    </w:p>
    <w:p w14:paraId="509135C5"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390434B4">
          <v:rect id="_x0000_i1062" style="width:0;height:1.5pt" o:hralign="center" o:hrstd="t" o:hr="t" fillcolor="#a0a0a0" stroked="f"/>
        </w:pict>
      </w:r>
    </w:p>
    <w:p w14:paraId="6DC8AC04"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9. Limitations</w:t>
      </w:r>
    </w:p>
    <w:p w14:paraId="467C1368"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framework:</w:t>
      </w:r>
    </w:p>
    <w:p w14:paraId="210163A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Does not replace regulatory authority</w:t>
      </w:r>
      <w:r w:rsidRPr="00DE5621">
        <w:rPr>
          <w:rFonts w:ascii="Times New Roman" w:eastAsia="Times New Roman" w:hAnsi="Times New Roman" w:cs="Times New Roman"/>
          <w:kern w:val="0"/>
          <w:lang w:eastAsia="en-ZA"/>
          <w14:ligatures w14:val="none"/>
        </w:rPr>
        <w:br/>
        <w:t>• Does not mandate uniform global governance</w:t>
      </w:r>
      <w:r w:rsidRPr="00DE5621">
        <w:rPr>
          <w:rFonts w:ascii="Times New Roman" w:eastAsia="Times New Roman" w:hAnsi="Times New Roman" w:cs="Times New Roman"/>
          <w:kern w:val="0"/>
          <w:lang w:eastAsia="en-ZA"/>
          <w14:ligatures w14:val="none"/>
        </w:rPr>
        <w:br/>
        <w:t>• Does not claim exclusivity</w:t>
      </w:r>
      <w:r w:rsidRPr="00DE5621">
        <w:rPr>
          <w:rFonts w:ascii="Times New Roman" w:eastAsia="Times New Roman" w:hAnsi="Times New Roman" w:cs="Times New Roman"/>
          <w:kern w:val="0"/>
          <w:lang w:eastAsia="en-ZA"/>
          <w14:ligatures w14:val="none"/>
        </w:rPr>
        <w:br/>
        <w:t>• Does not eliminate broader AI risks</w:t>
      </w:r>
    </w:p>
    <w:p w14:paraId="4D590CEE"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It is a structural contribution to operational governance infrastructure.</w:t>
      </w:r>
    </w:p>
    <w:p w14:paraId="6C51EBB0"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7166BAF9">
          <v:rect id="_x0000_i1063" style="width:0;height:1.5pt" o:hralign="center" o:hrstd="t" o:hr="t" fillcolor="#a0a0a0" stroked="f"/>
        </w:pict>
      </w:r>
    </w:p>
    <w:p w14:paraId="1DCBA7FD"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10. Areas for Further Research</w:t>
      </w:r>
    </w:p>
    <w:p w14:paraId="28F861DD"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Cross-jurisdictional registry harmonization</w:t>
      </w:r>
      <w:r w:rsidRPr="00DE5621">
        <w:rPr>
          <w:rFonts w:ascii="Times New Roman" w:eastAsia="Times New Roman" w:hAnsi="Times New Roman" w:cs="Times New Roman"/>
          <w:kern w:val="0"/>
          <w:lang w:eastAsia="en-ZA"/>
          <w14:ligatures w14:val="none"/>
        </w:rPr>
        <w:br/>
        <w:t>• Workforce transition longitudinal studies</w:t>
      </w:r>
      <w:r w:rsidRPr="00DE5621">
        <w:rPr>
          <w:rFonts w:ascii="Times New Roman" w:eastAsia="Times New Roman" w:hAnsi="Times New Roman" w:cs="Times New Roman"/>
          <w:kern w:val="0"/>
          <w:lang w:eastAsia="en-ZA"/>
          <w14:ligatures w14:val="none"/>
        </w:rPr>
        <w:br/>
        <w:t>• Public-sector adaptation models</w:t>
      </w:r>
      <w:r w:rsidRPr="00DE5621">
        <w:rPr>
          <w:rFonts w:ascii="Times New Roman" w:eastAsia="Times New Roman" w:hAnsi="Times New Roman" w:cs="Times New Roman"/>
          <w:kern w:val="0"/>
          <w:lang w:eastAsia="en-ZA"/>
          <w14:ligatures w14:val="none"/>
        </w:rPr>
        <w:br/>
        <w:t>• Interoperability with digital public infrastructure</w:t>
      </w:r>
    </w:p>
    <w:p w14:paraId="5BCF23AA" w14:textId="77777777" w:rsidR="00DE5621" w:rsidRPr="00DE5621" w:rsidRDefault="00DE5621" w:rsidP="00DE5621">
      <w:pPr>
        <w:spacing w:after="0"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pict w14:anchorId="0D1FDDA4">
          <v:rect id="_x0000_i1064" style="width:0;height:1.5pt" o:hralign="center" o:hrstd="t" o:hr="t" fillcolor="#a0a0a0" stroked="f"/>
        </w:pict>
      </w:r>
    </w:p>
    <w:p w14:paraId="34981C6E" w14:textId="77777777" w:rsidR="00DE5621" w:rsidRPr="00DE5621" w:rsidRDefault="00DE5621" w:rsidP="00DE5621">
      <w:pPr>
        <w:spacing w:before="100" w:beforeAutospacing="1" w:after="100" w:afterAutospacing="1" w:line="240" w:lineRule="auto"/>
        <w:outlineLvl w:val="1"/>
        <w:rPr>
          <w:rFonts w:ascii="Times New Roman" w:eastAsia="Times New Roman" w:hAnsi="Times New Roman" w:cs="Times New Roman"/>
          <w:b/>
          <w:bCs/>
          <w:kern w:val="0"/>
          <w:sz w:val="36"/>
          <w:szCs w:val="36"/>
          <w:lang w:eastAsia="en-ZA"/>
          <w14:ligatures w14:val="none"/>
        </w:rPr>
      </w:pPr>
      <w:r w:rsidRPr="00DE5621">
        <w:rPr>
          <w:rFonts w:ascii="Times New Roman" w:eastAsia="Times New Roman" w:hAnsi="Times New Roman" w:cs="Times New Roman"/>
          <w:b/>
          <w:bCs/>
          <w:kern w:val="0"/>
          <w:sz w:val="36"/>
          <w:szCs w:val="36"/>
          <w:lang w:eastAsia="en-ZA"/>
          <w14:ligatures w14:val="none"/>
        </w:rPr>
        <w:t>11. Conclusion</w:t>
      </w:r>
    </w:p>
    <w:p w14:paraId="4A87827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lastRenderedPageBreak/>
        <w:t>AI governance discussions have matured conceptually. The next stage requires operational infrastructure that translates principles into measurable systems.</w:t>
      </w:r>
    </w:p>
    <w:p w14:paraId="4BA545FB"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Enterprise registries, workforce </w:t>
      </w:r>
      <w:proofErr w:type="spellStart"/>
      <w:r w:rsidRPr="00DE5621">
        <w:rPr>
          <w:rFonts w:ascii="Times New Roman" w:eastAsia="Times New Roman" w:hAnsi="Times New Roman" w:cs="Times New Roman"/>
          <w:kern w:val="0"/>
          <w:lang w:eastAsia="en-ZA"/>
          <w14:ligatures w14:val="none"/>
        </w:rPr>
        <w:t>modeling</w:t>
      </w:r>
      <w:proofErr w:type="spellEnd"/>
      <w:r w:rsidRPr="00DE5621">
        <w:rPr>
          <w:rFonts w:ascii="Times New Roman" w:eastAsia="Times New Roman" w:hAnsi="Times New Roman" w:cs="Times New Roman"/>
          <w:kern w:val="0"/>
          <w:lang w:eastAsia="en-ZA"/>
          <w14:ligatures w14:val="none"/>
        </w:rPr>
        <w:t xml:space="preserve"> integration, and institutional coordination offer one pathway toward practical implementation.</w:t>
      </w:r>
    </w:p>
    <w:p w14:paraId="1E7A88D9"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This framework is offered as a collaborative contribution to ongoing global governance development.</w:t>
      </w:r>
    </w:p>
    <w:p w14:paraId="27132147" w14:textId="77777777" w:rsidR="00DE5621" w:rsidRPr="00DE5621" w:rsidRDefault="00DE5621" w:rsidP="00DE5621">
      <w:pPr>
        <w:spacing w:before="100" w:beforeAutospacing="1" w:after="100" w:afterAutospacing="1" w:line="240" w:lineRule="auto"/>
        <w:outlineLvl w:val="0"/>
        <w:rPr>
          <w:rFonts w:ascii="Times New Roman" w:eastAsia="Times New Roman" w:hAnsi="Times New Roman" w:cs="Times New Roman"/>
          <w:b/>
          <w:bCs/>
          <w:kern w:val="36"/>
          <w:sz w:val="48"/>
          <w:szCs w:val="48"/>
          <w:lang w:eastAsia="en-ZA"/>
          <w14:ligatures w14:val="none"/>
        </w:rPr>
      </w:pPr>
      <w:r w:rsidRPr="00DE5621">
        <w:rPr>
          <w:rFonts w:ascii="Times New Roman" w:eastAsia="Times New Roman" w:hAnsi="Times New Roman" w:cs="Times New Roman"/>
          <w:b/>
          <w:bCs/>
          <w:kern w:val="36"/>
          <w:sz w:val="48"/>
          <w:szCs w:val="48"/>
          <w:lang w:eastAsia="en-ZA"/>
          <w14:ligatures w14:val="none"/>
        </w:rPr>
        <w:t>COVER EMAIL TEMPLATE (Neutral, Institutional)</w:t>
      </w:r>
    </w:p>
    <w:p w14:paraId="23F06E1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Subject: Governance Infrastructure Framework for Consideration</w:t>
      </w:r>
    </w:p>
    <w:p w14:paraId="59BD601F"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Dear [Name],</w:t>
      </w:r>
    </w:p>
    <w:p w14:paraId="511D5C54"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I am sharing a recently completed working paper titled </w:t>
      </w:r>
      <w:r w:rsidRPr="00DE5621">
        <w:rPr>
          <w:rFonts w:ascii="Times New Roman" w:eastAsia="Times New Roman" w:hAnsi="Times New Roman" w:cs="Times New Roman"/>
          <w:i/>
          <w:iCs/>
          <w:kern w:val="0"/>
          <w:lang w:eastAsia="en-ZA"/>
          <w14:ligatures w14:val="none"/>
        </w:rPr>
        <w:t>“Toward an Integrated AI Governance Infrastructure Framework.”</w:t>
      </w:r>
    </w:p>
    <w:p w14:paraId="6E6BDEE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The paper focuses on practical mechanisms for translating AI governance principles into enterprise-level operational infrastructure, with particular attention to auditability and workforce impact measurement.</w:t>
      </w:r>
    </w:p>
    <w:p w14:paraId="3B531C55"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 xml:space="preserve">It does not propose new </w:t>
      </w:r>
      <w:proofErr w:type="gramStart"/>
      <w:r w:rsidRPr="00DE5621">
        <w:rPr>
          <w:rFonts w:ascii="Times New Roman" w:eastAsia="Times New Roman" w:hAnsi="Times New Roman" w:cs="Times New Roman"/>
          <w:kern w:val="0"/>
          <w:lang w:eastAsia="en-ZA"/>
          <w14:ligatures w14:val="none"/>
        </w:rPr>
        <w:t>regulation, but</w:t>
      </w:r>
      <w:proofErr w:type="gramEnd"/>
      <w:r w:rsidRPr="00DE5621">
        <w:rPr>
          <w:rFonts w:ascii="Times New Roman" w:eastAsia="Times New Roman" w:hAnsi="Times New Roman" w:cs="Times New Roman"/>
          <w:kern w:val="0"/>
          <w:lang w:eastAsia="en-ZA"/>
          <w14:ligatures w14:val="none"/>
        </w:rPr>
        <w:t xml:space="preserve"> rather outlines implementation structures that may complement ongoing policy development efforts.</w:t>
      </w:r>
    </w:p>
    <w:p w14:paraId="7E72CF9A"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I would welcome any feedback and remain open to collaboration or refinement in alignment with existing initiatives.</w:t>
      </w:r>
    </w:p>
    <w:p w14:paraId="15934846"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Thank you for your time and consideration.</w:t>
      </w:r>
    </w:p>
    <w:p w14:paraId="4E486CB0" w14:textId="77777777" w:rsidR="00DE5621" w:rsidRPr="00DE5621" w:rsidRDefault="00DE5621" w:rsidP="00DE5621">
      <w:pPr>
        <w:spacing w:before="100" w:beforeAutospacing="1" w:after="100" w:afterAutospacing="1" w:line="240" w:lineRule="auto"/>
        <w:rPr>
          <w:rFonts w:ascii="Times New Roman" w:eastAsia="Times New Roman" w:hAnsi="Times New Roman" w:cs="Times New Roman"/>
          <w:kern w:val="0"/>
          <w:lang w:eastAsia="en-ZA"/>
          <w14:ligatures w14:val="none"/>
        </w:rPr>
      </w:pPr>
      <w:r w:rsidRPr="00DE5621">
        <w:rPr>
          <w:rFonts w:ascii="Times New Roman" w:eastAsia="Times New Roman" w:hAnsi="Times New Roman" w:cs="Times New Roman"/>
          <w:kern w:val="0"/>
          <w:lang w:eastAsia="en-ZA"/>
          <w14:ligatures w14:val="none"/>
        </w:rPr>
        <w:t>Kind regards,</w:t>
      </w:r>
      <w:r w:rsidRPr="00DE5621">
        <w:rPr>
          <w:rFonts w:ascii="Times New Roman" w:eastAsia="Times New Roman" w:hAnsi="Times New Roman" w:cs="Times New Roman"/>
          <w:kern w:val="0"/>
          <w:lang w:eastAsia="en-ZA"/>
          <w14:ligatures w14:val="none"/>
        </w:rPr>
        <w:br/>
        <w:t>[Your Name]</w:t>
      </w:r>
      <w:r w:rsidRPr="00DE5621">
        <w:rPr>
          <w:rFonts w:ascii="Times New Roman" w:eastAsia="Times New Roman" w:hAnsi="Times New Roman" w:cs="Times New Roman"/>
          <w:kern w:val="0"/>
          <w:lang w:eastAsia="en-ZA"/>
          <w14:ligatures w14:val="none"/>
        </w:rPr>
        <w:br/>
        <w:t>[Professional Contact Information]</w:t>
      </w:r>
    </w:p>
    <w:p w14:paraId="2324B7B7" w14:textId="77777777" w:rsidR="00DE5621" w:rsidRDefault="00DE5621"/>
    <w:sectPr w:rsidR="00DE56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4455C"/>
    <w:multiLevelType w:val="multilevel"/>
    <w:tmpl w:val="44E0C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154B19"/>
    <w:multiLevelType w:val="multilevel"/>
    <w:tmpl w:val="9F587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2216BF"/>
    <w:multiLevelType w:val="multilevel"/>
    <w:tmpl w:val="9F1C6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997445"/>
    <w:multiLevelType w:val="multilevel"/>
    <w:tmpl w:val="A3D8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8953342">
    <w:abstractNumId w:val="1"/>
  </w:num>
  <w:num w:numId="2" w16cid:durableId="520320728">
    <w:abstractNumId w:val="3"/>
  </w:num>
  <w:num w:numId="3" w16cid:durableId="1490438458">
    <w:abstractNumId w:val="2"/>
  </w:num>
  <w:num w:numId="4" w16cid:durableId="295572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CF5"/>
    <w:rsid w:val="001E5F25"/>
    <w:rsid w:val="00375CF5"/>
    <w:rsid w:val="0098316C"/>
    <w:rsid w:val="00C97407"/>
    <w:rsid w:val="00DE5621"/>
    <w:rsid w:val="00F348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D7502"/>
  <w15:chartTrackingRefBased/>
  <w15:docId w15:val="{2984D19B-265F-4827-AE47-DD40C4C5E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C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C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C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C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C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C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C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C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C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C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C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C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C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C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C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C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C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CF5"/>
    <w:rPr>
      <w:rFonts w:eastAsiaTheme="majorEastAsia" w:cstheme="majorBidi"/>
      <w:color w:val="272727" w:themeColor="text1" w:themeTint="D8"/>
    </w:rPr>
  </w:style>
  <w:style w:type="paragraph" w:styleId="Title">
    <w:name w:val="Title"/>
    <w:basedOn w:val="Normal"/>
    <w:next w:val="Normal"/>
    <w:link w:val="TitleChar"/>
    <w:uiPriority w:val="10"/>
    <w:qFormat/>
    <w:rsid w:val="00375C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C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C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C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CF5"/>
    <w:pPr>
      <w:spacing w:before="160"/>
      <w:jc w:val="center"/>
    </w:pPr>
    <w:rPr>
      <w:i/>
      <w:iCs/>
      <w:color w:val="404040" w:themeColor="text1" w:themeTint="BF"/>
    </w:rPr>
  </w:style>
  <w:style w:type="character" w:customStyle="1" w:styleId="QuoteChar">
    <w:name w:val="Quote Char"/>
    <w:basedOn w:val="DefaultParagraphFont"/>
    <w:link w:val="Quote"/>
    <w:uiPriority w:val="29"/>
    <w:rsid w:val="00375CF5"/>
    <w:rPr>
      <w:i/>
      <w:iCs/>
      <w:color w:val="404040" w:themeColor="text1" w:themeTint="BF"/>
    </w:rPr>
  </w:style>
  <w:style w:type="paragraph" w:styleId="ListParagraph">
    <w:name w:val="List Paragraph"/>
    <w:basedOn w:val="Normal"/>
    <w:uiPriority w:val="34"/>
    <w:qFormat/>
    <w:rsid w:val="00375CF5"/>
    <w:pPr>
      <w:ind w:left="720"/>
      <w:contextualSpacing/>
    </w:pPr>
  </w:style>
  <w:style w:type="character" w:styleId="IntenseEmphasis">
    <w:name w:val="Intense Emphasis"/>
    <w:basedOn w:val="DefaultParagraphFont"/>
    <w:uiPriority w:val="21"/>
    <w:qFormat/>
    <w:rsid w:val="00375CF5"/>
    <w:rPr>
      <w:i/>
      <w:iCs/>
      <w:color w:val="0F4761" w:themeColor="accent1" w:themeShade="BF"/>
    </w:rPr>
  </w:style>
  <w:style w:type="paragraph" w:styleId="IntenseQuote">
    <w:name w:val="Intense Quote"/>
    <w:basedOn w:val="Normal"/>
    <w:next w:val="Normal"/>
    <w:link w:val="IntenseQuoteChar"/>
    <w:uiPriority w:val="30"/>
    <w:qFormat/>
    <w:rsid w:val="00375C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CF5"/>
    <w:rPr>
      <w:i/>
      <w:iCs/>
      <w:color w:val="0F4761" w:themeColor="accent1" w:themeShade="BF"/>
    </w:rPr>
  </w:style>
  <w:style w:type="character" w:styleId="IntenseReference">
    <w:name w:val="Intense Reference"/>
    <w:basedOn w:val="DefaultParagraphFont"/>
    <w:uiPriority w:val="32"/>
    <w:qFormat/>
    <w:rsid w:val="00375C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1946</Words>
  <Characters>11095</Characters>
  <Application>Microsoft Office Word</Application>
  <DocSecurity>0</DocSecurity>
  <Lines>92</Lines>
  <Paragraphs>26</Paragraphs>
  <ScaleCrop>false</ScaleCrop>
  <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Sashin Singh</dc:creator>
  <cp:keywords/>
  <dc:description/>
  <cp:lastModifiedBy>Sashin Singh</cp:lastModifiedBy>
  <cp:revision>2</cp:revision>
  <dcterms:created xsi:type="dcterms:W3CDTF">2026-02-18T06:46:00Z</dcterms:created>
  <dcterms:modified xsi:type="dcterms:W3CDTF">2026-02-18T06:48:00Z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cfa50fe2-3a31-41e3-ab81-ca4fafc93b50</vt:lpwstr>
  </property>
</Properties>
</file>