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A2E4A" w:val="clear"/>
        <w:spacing w:after="80" w:before="0"/>
        <w:jc w:val="center"/>
      </w:pPr>
      <w:r>
        <w:rPr>
          <w:rFonts w:ascii="Arial" w:cs="Arial" w:eastAsia="Arial" w:hAnsi="Arial"/>
          <w:b/>
          <w:bCs/>
          <w:color w:val="FFFFFF"/>
          <w:sz w:val="16"/>
          <w:szCs w:val="16"/>
        </w:rPr>
        <w:t xml:space="preserve">STRICTLY CONFIDENTIAL — LEGAL DOCUMENT — FOR EXECUTION ONLY</w:t>
      </w:r>
    </w:p>
    <w:p>
      <w:r>
        <w:t xml:space="preserve"/>
      </w:r>
    </w:p>
    <w:p>
      <w:r>
        <w:t xml:space="preserve"/>
      </w:r>
    </w:p>
    <w:p>
      <w:pPr>
        <w:spacing w:after="40" w:before="0"/>
        <w:jc w:val="center"/>
      </w:pPr>
      <w:r>
        <w:rPr>
          <w:rFonts w:ascii="Arial" w:cs="Arial" w:eastAsia="Arial" w:hAnsi="Arial"/>
          <w:b/>
          <w:bCs/>
          <w:color w:val="C9A227"/>
          <w:sz w:val="56"/>
          <w:szCs w:val="56"/>
        </w:rPr>
        <w:t xml:space="preserve">G . O . D . S</w:t>
      </w:r>
    </w:p>
    <w:p>
      <w:pPr>
        <w:spacing w:after="80" w:before="0"/>
        <w:jc w:val="center"/>
      </w:pPr>
      <w:r>
        <w:rPr>
          <w:rFonts w:ascii="Arial" w:cs="Arial" w:eastAsia="Arial" w:hAnsi="Arial"/>
          <w:b/>
          <w:bCs/>
          <w:color w:val="1A2E4A"/>
          <w:sz w:val="24"/>
          <w:szCs w:val="24"/>
        </w:rPr>
        <w:t xml:space="preserve">GOOD ORDERLY DIRECTIONAL SYSTEMS</w:t>
      </w:r>
    </w:p>
    <w:p>
      <w:pPr>
        <w:pBdr>
          <w:bottom w:val="single" w:color="C9A227" w:sz="8" w:space="2"/>
        </w:pBdr>
        <w:spacing w:after="120" w:before="120"/>
      </w:pPr>
      <w:r>
        <w:t xml:space="preserve"/>
      </w:r>
    </w:p>
    <w:p>
      <w:r>
        <w:t xml:space="preserve"/>
      </w:r>
    </w:p>
    <w:p>
      <w:pPr>
        <w:spacing w:after="40" w:before="80"/>
        <w:jc w:val="center"/>
      </w:pPr>
      <w:r>
        <w:rPr>
          <w:rFonts w:ascii="Arial" w:cs="Arial" w:eastAsia="Arial" w:hAnsi="Arial"/>
          <w:b/>
          <w:bCs/>
          <w:color w:val="1A2E4A"/>
          <w:sz w:val="36"/>
          <w:szCs w:val="36"/>
        </w:rPr>
        <w:t xml:space="preserve">MUTUAL NON-DISCLOSURE AND</w:t>
      </w:r>
    </w:p>
    <w:p>
      <w:pPr>
        <w:spacing w:after="40" w:before="0"/>
        <w:jc w:val="center"/>
      </w:pPr>
      <w:r>
        <w:rPr>
          <w:rFonts w:ascii="Arial" w:cs="Arial" w:eastAsia="Arial" w:hAnsi="Arial"/>
          <w:b/>
          <w:bCs/>
          <w:color w:val="1A2E4A"/>
          <w:sz w:val="36"/>
          <w:szCs w:val="36"/>
        </w:rPr>
        <w:t xml:space="preserve">CONFIDENTIALITY AGREEMENT</w:t>
      </w:r>
    </w:p>
    <w:p>
      <w:pPr>
        <w:spacing w:after="80" w:before="0"/>
        <w:jc w:val="center"/>
      </w:pPr>
      <w:r>
        <w:rPr>
          <w:rFonts w:ascii="Arial" w:cs="Arial" w:eastAsia="Arial" w:hAnsi="Arial"/>
          <w:color w:val="2C5F8A"/>
          <w:sz w:val="22"/>
          <w:szCs w:val="22"/>
        </w:rPr>
        <w:t xml:space="preserve">(Bilateral — Mutual Obligations — All Parties)</w:t>
      </w:r>
    </w:p>
    <w:p>
      <w:pPr>
        <w:pBdr>
          <w:bottom w:val="single" w:color="2C5F8A" w:sz="4" w:space="2"/>
        </w:pBdr>
        <w:spacing w:after="120" w:before="120"/>
      </w:pPr>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0C0C0" w:sz="1"/>
              <w:left w:val="single" w:color="C0C0C0" w:sz="1"/>
              <w:bottom w:val="single" w:color="C0C0C0" w:sz="1"/>
              <w:right w:val="single" w:color="C0C0C0" w:sz="1"/>
            </w:tcBorders>
            <w:shd w:fill="1A2E4A" w:val="clear"/>
            <w:tcMar>
              <w:top w:type="dxa" w:w="100"/>
              <w:left w:type="dxa" w:w="140"/>
              <w:bottom w:type="dxa" w:w="100"/>
              <w:right w:type="dxa" w:w="140"/>
            </w:tcMar>
          </w:tcPr>
          <w:p>
            <w:r>
              <w:rPr>
                <w:rFonts w:ascii="Arial" w:cs="Arial" w:eastAsia="Arial" w:hAnsi="Arial"/>
                <w:b/>
                <w:bCs/>
                <w:color w:val="FFFFFF"/>
                <w:sz w:val="20"/>
                <w:szCs w:val="20"/>
              </w:rPr>
              <w:t xml:space="preserve">Document Reference</w:t>
            </w:r>
          </w:p>
        </w:tc>
        <w:tc>
          <w:tcPr>
            <w:tcW w:type="dxa" w:w="6560"/>
            <w:tcBorders>
              <w:top w:val="single" w:color="C0C0C0" w:sz="1"/>
              <w:left w:val="single" w:color="C0C0C0" w:sz="1"/>
              <w:bottom w:val="single" w:color="C0C0C0" w:sz="1"/>
              <w:right w:val="single" w:color="C0C0C0" w:sz="1"/>
            </w:tcBorders>
            <w:tcMar>
              <w:top w:type="dxa" w:w="100"/>
              <w:left w:type="dxa" w:w="140"/>
              <w:bottom w:type="dxa" w:w="100"/>
              <w:right w:type="dxa" w:w="140"/>
            </w:tcMar>
          </w:tcPr>
          <w:p>
            <w:r>
              <w:rPr>
                <w:rFonts w:ascii="Arial" w:cs="Arial" w:eastAsia="Arial" w:hAnsi="Arial"/>
                <w:color w:val="4A4A4A"/>
                <w:sz w:val="20"/>
                <w:szCs w:val="20"/>
              </w:rPr>
              <w:t xml:space="preserve">GODS-NDA-001-2026</w:t>
            </w:r>
          </w:p>
        </w:tc>
      </w:tr>
      <w:tr>
        <w:tc>
          <w:tcPr>
            <w:tcW w:type="dxa" w:w="2800"/>
            <w:tcBorders>
              <w:top w:val="single" w:color="C0C0C0" w:sz="1"/>
              <w:left w:val="single" w:color="C0C0C0" w:sz="1"/>
              <w:bottom w:val="single" w:color="C0C0C0" w:sz="1"/>
              <w:right w:val="single" w:color="C0C0C0" w:sz="1"/>
            </w:tcBorders>
            <w:shd w:fill="1A2E4A" w:val="clear"/>
            <w:tcMar>
              <w:top w:type="dxa" w:w="100"/>
              <w:left w:type="dxa" w:w="140"/>
              <w:bottom w:type="dxa" w:w="100"/>
              <w:right w:type="dxa" w:w="140"/>
            </w:tcMar>
          </w:tcPr>
          <w:p>
            <w:r>
              <w:rPr>
                <w:rFonts w:ascii="Arial" w:cs="Arial" w:eastAsia="Arial" w:hAnsi="Arial"/>
                <w:b/>
                <w:bCs/>
                <w:color w:val="FFFFFF"/>
                <w:sz w:val="20"/>
                <w:szCs w:val="20"/>
              </w:rPr>
              <w:t xml:space="preserve">Disclosing Party</w:t>
            </w:r>
          </w:p>
        </w:tc>
        <w:tc>
          <w:tcPr>
            <w:tcW w:type="dxa" w:w="6560"/>
            <w:tcBorders>
              <w:top w:val="single" w:color="C0C0C0" w:sz="1"/>
              <w:left w:val="single" w:color="C0C0C0" w:sz="1"/>
              <w:bottom w:val="single" w:color="C0C0C0" w:sz="1"/>
              <w:right w:val="single" w:color="C0C0C0" w:sz="1"/>
            </w:tcBorders>
            <w:shd w:fill="EEF4FA" w:val="clear"/>
            <w:tcMar>
              <w:top w:type="dxa" w:w="100"/>
              <w:left w:type="dxa" w:w="140"/>
              <w:bottom w:type="dxa" w:w="100"/>
              <w:right w:type="dxa" w:w="140"/>
            </w:tcMar>
          </w:tcPr>
          <w:p>
            <w:r>
              <w:rPr>
                <w:rFonts w:ascii="Arial" w:cs="Arial" w:eastAsia="Arial" w:hAnsi="Arial"/>
                <w:b/>
                <w:bCs/>
                <w:color w:val="1A2E4A"/>
                <w:sz w:val="20"/>
                <w:szCs w:val="20"/>
              </w:rPr>
              <w:t xml:space="preserve">G.O.D.S Holdings (Pty) Ltd (in formation) · Registration No: [TO BE INSERTED] · Johannesburg, South Africa</w:t>
            </w:r>
          </w:p>
        </w:tc>
      </w:tr>
      <w:tr>
        <w:tc>
          <w:tcPr>
            <w:tcW w:type="dxa" w:w="2800"/>
            <w:tcBorders>
              <w:top w:val="single" w:color="C0C0C0" w:sz="1"/>
              <w:left w:val="single" w:color="C0C0C0" w:sz="1"/>
              <w:bottom w:val="single" w:color="C0C0C0" w:sz="1"/>
              <w:right w:val="single" w:color="C0C0C0" w:sz="1"/>
            </w:tcBorders>
            <w:shd w:fill="1A2E4A" w:val="clear"/>
            <w:tcMar>
              <w:top w:type="dxa" w:w="100"/>
              <w:left w:type="dxa" w:w="140"/>
              <w:bottom w:type="dxa" w:w="100"/>
              <w:right w:type="dxa" w:w="140"/>
            </w:tcMar>
          </w:tcPr>
          <w:p>
            <w:r>
              <w:rPr>
                <w:rFonts w:ascii="Arial" w:cs="Arial" w:eastAsia="Arial" w:hAnsi="Arial"/>
                <w:b/>
                <w:bCs/>
                <w:color w:val="FFFFFF"/>
                <w:sz w:val="20"/>
                <w:szCs w:val="20"/>
              </w:rPr>
              <w:t xml:space="preserve">Receiving Party</w:t>
            </w:r>
          </w:p>
        </w:tc>
        <w:tc>
          <w:tcPr>
            <w:tcW w:type="dxa" w:w="6560"/>
            <w:tcBorders>
              <w:top w:val="single" w:color="C0C0C0" w:sz="1"/>
              <w:left w:val="single" w:color="C0C0C0" w:sz="1"/>
              <w:bottom w:val="single" w:color="C0C0C0" w:sz="1"/>
              <w:right w:val="single" w:color="C0C0C0" w:sz="1"/>
            </w:tcBorders>
            <w:tcMar>
              <w:top w:type="dxa" w:w="100"/>
              <w:left w:type="dxa" w:w="140"/>
              <w:bottom w:type="dxa" w:w="100"/>
              <w:right w:type="dxa" w:w="140"/>
            </w:tcMar>
          </w:tcPr>
          <w:p>
            <w:r>
              <w:rPr>
                <w:rFonts w:ascii="Arial" w:cs="Arial" w:eastAsia="Arial" w:hAnsi="Arial"/>
                <w:color w:val="4A4A4A"/>
                <w:sz w:val="20"/>
                <w:szCs w:val="20"/>
              </w:rPr>
              <w:t xml:space="preserve">[FULL LEGAL NAME OF RECEIVING PARTY]</w:t>
            </w:r>
          </w:p>
        </w:tc>
      </w:tr>
      <w:tr>
        <w:tc>
          <w:tcPr>
            <w:tcW w:type="dxa" w:w="2800"/>
            <w:tcBorders>
              <w:top w:val="single" w:color="C0C0C0" w:sz="1"/>
              <w:left w:val="single" w:color="C0C0C0" w:sz="1"/>
              <w:bottom w:val="single" w:color="C0C0C0" w:sz="1"/>
              <w:right w:val="single" w:color="C0C0C0" w:sz="1"/>
            </w:tcBorders>
            <w:shd w:fill="1A2E4A" w:val="clear"/>
            <w:tcMar>
              <w:top w:type="dxa" w:w="100"/>
              <w:left w:type="dxa" w:w="140"/>
              <w:bottom w:type="dxa" w:w="100"/>
              <w:right w:type="dxa" w:w="140"/>
            </w:tcMar>
          </w:tcPr>
          <w:p>
            <w:r>
              <w:rPr>
                <w:rFonts w:ascii="Arial" w:cs="Arial" w:eastAsia="Arial" w:hAnsi="Arial"/>
                <w:b/>
                <w:bCs/>
                <w:color w:val="FFFFFF"/>
                <w:sz w:val="20"/>
                <w:szCs w:val="20"/>
              </w:rPr>
              <w:t xml:space="preserve">Receiving Party Address</w:t>
            </w:r>
          </w:p>
        </w:tc>
        <w:tc>
          <w:tcPr>
            <w:tcW w:type="dxa" w:w="6560"/>
            <w:tcBorders>
              <w:top w:val="single" w:color="C0C0C0" w:sz="1"/>
              <w:left w:val="single" w:color="C0C0C0" w:sz="1"/>
              <w:bottom w:val="single" w:color="C0C0C0" w:sz="1"/>
              <w:right w:val="single" w:color="C0C0C0" w:sz="1"/>
            </w:tcBorders>
            <w:tcMar>
              <w:top w:type="dxa" w:w="100"/>
              <w:left w:type="dxa" w:w="140"/>
              <w:bottom w:type="dxa" w:w="100"/>
              <w:right w:type="dxa" w:w="140"/>
            </w:tcMar>
          </w:tcPr>
          <w:p>
            <w:r>
              <w:rPr>
                <w:rFonts w:ascii="Arial" w:cs="Arial" w:eastAsia="Arial" w:hAnsi="Arial"/>
                <w:color w:val="4A4A4A"/>
                <w:sz w:val="20"/>
                <w:szCs w:val="20"/>
              </w:rPr>
              <w:t xml:space="preserve">[FULL ADDRESS OF RECEIVING PARTY]</w:t>
            </w:r>
          </w:p>
        </w:tc>
      </w:tr>
      <w:tr>
        <w:tc>
          <w:tcPr>
            <w:tcW w:type="dxa" w:w="2800"/>
            <w:tcBorders>
              <w:top w:val="single" w:color="C0C0C0" w:sz="1"/>
              <w:left w:val="single" w:color="C0C0C0" w:sz="1"/>
              <w:bottom w:val="single" w:color="C0C0C0" w:sz="1"/>
              <w:right w:val="single" w:color="C0C0C0" w:sz="1"/>
            </w:tcBorders>
            <w:shd w:fill="1A2E4A" w:val="clear"/>
            <w:tcMar>
              <w:top w:type="dxa" w:w="100"/>
              <w:left w:type="dxa" w:w="140"/>
              <w:bottom w:type="dxa" w:w="100"/>
              <w:right w:type="dxa" w:w="140"/>
            </w:tcMar>
          </w:tcPr>
          <w:p>
            <w:r>
              <w:rPr>
                <w:rFonts w:ascii="Arial" w:cs="Arial" w:eastAsia="Arial" w:hAnsi="Arial"/>
                <w:b/>
                <w:bCs/>
                <w:color w:val="FFFFFF"/>
                <w:sz w:val="20"/>
                <w:szCs w:val="20"/>
              </w:rPr>
              <w:t xml:space="preserve">Governing Law</w:t>
            </w:r>
          </w:p>
        </w:tc>
        <w:tc>
          <w:tcPr>
            <w:tcW w:type="dxa" w:w="6560"/>
            <w:tcBorders>
              <w:top w:val="single" w:color="C0C0C0" w:sz="1"/>
              <w:left w:val="single" w:color="C0C0C0" w:sz="1"/>
              <w:bottom w:val="single" w:color="C0C0C0" w:sz="1"/>
              <w:right w:val="single" w:color="C0C0C0" w:sz="1"/>
            </w:tcBorders>
            <w:shd w:fill="EEF4FA" w:val="clear"/>
            <w:tcMar>
              <w:top w:type="dxa" w:w="100"/>
              <w:left w:type="dxa" w:w="140"/>
              <w:bottom w:type="dxa" w:w="100"/>
              <w:right w:type="dxa" w:w="140"/>
            </w:tcMar>
          </w:tcPr>
          <w:p>
            <w:r>
              <w:rPr>
                <w:rFonts w:ascii="Arial" w:cs="Arial" w:eastAsia="Arial" w:hAnsi="Arial"/>
                <w:color w:val="1A2E4A"/>
                <w:sz w:val="20"/>
                <w:szCs w:val="20"/>
              </w:rPr>
              <w:t xml:space="preserve">Republic of South Africa — Johannesburg High Court jurisdiction</w:t>
            </w:r>
          </w:p>
        </w:tc>
      </w:tr>
      <w:tr>
        <w:tc>
          <w:tcPr>
            <w:tcW w:type="dxa" w:w="2800"/>
            <w:tcBorders>
              <w:top w:val="single" w:color="C0C0C0" w:sz="1"/>
              <w:left w:val="single" w:color="C0C0C0" w:sz="1"/>
              <w:bottom w:val="single" w:color="C0C0C0" w:sz="1"/>
              <w:right w:val="single" w:color="C0C0C0" w:sz="1"/>
            </w:tcBorders>
            <w:shd w:fill="1A2E4A" w:val="clear"/>
            <w:tcMar>
              <w:top w:type="dxa" w:w="100"/>
              <w:left w:type="dxa" w:w="140"/>
              <w:bottom w:type="dxa" w:w="100"/>
              <w:right w:type="dxa" w:w="140"/>
            </w:tcMar>
          </w:tcPr>
          <w:p>
            <w:r>
              <w:rPr>
                <w:rFonts w:ascii="Arial" w:cs="Arial" w:eastAsia="Arial" w:hAnsi="Arial"/>
                <w:b/>
                <w:bCs/>
                <w:color w:val="FFFFFF"/>
                <w:sz w:val="20"/>
                <w:szCs w:val="20"/>
              </w:rPr>
              <w:t xml:space="preserve">Agreement Date</w:t>
            </w:r>
          </w:p>
        </w:tc>
        <w:tc>
          <w:tcPr>
            <w:tcW w:type="dxa" w:w="6560"/>
            <w:tcBorders>
              <w:top w:val="single" w:color="C0C0C0" w:sz="1"/>
              <w:left w:val="single" w:color="C0C0C0" w:sz="1"/>
              <w:bottom w:val="single" w:color="C0C0C0" w:sz="1"/>
              <w:right w:val="single" w:color="C0C0C0" w:sz="1"/>
            </w:tcBorders>
            <w:tcMar>
              <w:top w:type="dxa" w:w="100"/>
              <w:left w:type="dxa" w:w="140"/>
              <w:bottom w:type="dxa" w:w="100"/>
              <w:right w:type="dxa" w:w="140"/>
            </w:tcMar>
          </w:tcPr>
          <w:p>
            <w:r>
              <w:rPr>
                <w:rFonts w:ascii="Arial" w:cs="Arial" w:eastAsia="Arial" w:hAnsi="Arial"/>
                <w:color w:val="4A4A4A"/>
                <w:sz w:val="20"/>
                <w:szCs w:val="20"/>
              </w:rPr>
              <w:t xml:space="preserve">[DATE OF EXECUTION]</w:t>
            </w:r>
          </w:p>
        </w:tc>
      </w:tr>
      <w:tr>
        <w:tc>
          <w:tcPr>
            <w:tcW w:type="dxa" w:w="2800"/>
            <w:tcBorders>
              <w:top w:val="single" w:color="C0C0C0" w:sz="1"/>
              <w:left w:val="single" w:color="C0C0C0" w:sz="1"/>
              <w:bottom w:val="single" w:color="C0C0C0" w:sz="1"/>
              <w:right w:val="single" w:color="C0C0C0" w:sz="1"/>
            </w:tcBorders>
            <w:shd w:fill="1A2E4A" w:val="clear"/>
            <w:tcMar>
              <w:top w:type="dxa" w:w="100"/>
              <w:left w:type="dxa" w:w="140"/>
              <w:bottom w:type="dxa" w:w="100"/>
              <w:right w:type="dxa" w:w="140"/>
            </w:tcMar>
          </w:tcPr>
          <w:p>
            <w:r>
              <w:rPr>
                <w:rFonts w:ascii="Arial" w:cs="Arial" w:eastAsia="Arial" w:hAnsi="Arial"/>
                <w:b/>
                <w:bCs/>
                <w:color w:val="FFFFFF"/>
                <w:sz w:val="20"/>
                <w:szCs w:val="20"/>
              </w:rPr>
              <w:t xml:space="preserve">Confidentiality Period</w:t>
            </w:r>
          </w:p>
        </w:tc>
        <w:tc>
          <w:tcPr>
            <w:tcW w:type="dxa" w:w="6560"/>
            <w:tcBorders>
              <w:top w:val="single" w:color="C0C0C0" w:sz="1"/>
              <w:left w:val="single" w:color="C0C0C0" w:sz="1"/>
              <w:bottom w:val="single" w:color="C0C0C0" w:sz="1"/>
              <w:right w:val="single" w:color="C0C0C0" w:sz="1"/>
            </w:tcBorders>
            <w:shd w:fill="EEF4FA" w:val="clear"/>
            <w:tcMar>
              <w:top w:type="dxa" w:w="100"/>
              <w:left w:type="dxa" w:w="140"/>
              <w:bottom w:type="dxa" w:w="100"/>
              <w:right w:type="dxa" w:w="140"/>
            </w:tcMar>
          </w:tcPr>
          <w:p>
            <w:r>
              <w:rPr>
                <w:rFonts w:ascii="Arial" w:cs="Arial" w:eastAsia="Arial" w:hAnsi="Arial"/>
                <w:b/>
                <w:bCs/>
                <w:color w:val="1A2E4A"/>
                <w:sz w:val="20"/>
                <w:szCs w:val="20"/>
              </w:rPr>
              <w:t xml:space="preserve">5 (five) years from date of execution — survival clauses apply in perpetuity to Trade Secrets</w:t>
            </w:r>
          </w:p>
        </w:tc>
      </w:tr>
    </w:tbl>
    <w:p>
      <w:r>
        <w:t xml:space="preserve"/>
      </w:r>
    </w:p>
    <w:p>
      <w:pPr>
        <w:pBdr>
          <w:left w:val="single" w:color="C9A227" w:sz="16" w:space="8"/>
        </w:pBdr>
        <w:shd w:fill="FDF4DC" w:val="clear"/>
        <w:spacing w:after="80" w:before="80"/>
        <w:ind w:left="0"/>
      </w:pPr>
      <w:r>
        <w:rPr>
          <w:rFonts w:ascii="Arial" w:cs="Arial" w:eastAsia="Arial" w:hAnsi="Arial"/>
          <w:color w:val="6B4F00"/>
          <w:sz w:val="20"/>
          <w:szCs w:val="20"/>
        </w:rPr>
        <w:t xml:space="preserve">This Agreement is entered into in the context of evaluating, negotiating, and/or implementing a potential business, investment, technology partnership, or employment relationship between the Parties relating to G.O.D.S Holdings (Pty) Ltd and its UDOC Sovereign AI Governance Platform, S.E.T.H.S Human Capital System, T.S Industries Infrastructure Division, M.A.D.I.B.A Capital Platform, and all related technologies, systems, and business operations (the "Purpose").</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RECITALS</w:t>
      </w:r>
    </w:p>
    <w:p>
      <w:pPr>
        <w:spacing w:after="100" w:before="80" w:line="280"/>
        <w:jc w:val="both"/>
      </w:pPr>
      <w:r>
        <w:rPr>
          <w:rFonts w:ascii="Arial" w:cs="Arial" w:eastAsia="Arial" w:hAnsi="Arial"/>
          <w:b w:val="false"/>
          <w:bCs w:val="false"/>
          <w:i w:val="false"/>
          <w:iCs w:val="false"/>
          <w:color w:val="4A4A4A"/>
          <w:sz w:val="22"/>
          <w:szCs w:val="22"/>
        </w:rPr>
        <w:t xml:space="preserve">WHEREAS:</w:t>
      </w:r>
    </w:p>
    <w:p>
      <w:r>
        <w:t xml:space="preserve"/>
      </w:r>
    </w:p>
    <w:p>
      <w:pPr>
        <w:spacing w:after="100" w:before="100" w:line="280"/>
        <w:ind w:left="720" w:hanging="360"/>
        <w:jc w:val="both"/>
      </w:pPr>
      <w:r>
        <w:rPr>
          <w:rFonts w:ascii="Arial" w:cs="Arial" w:eastAsia="Arial" w:hAnsi="Arial"/>
          <w:b/>
          <w:bCs/>
          <w:color w:val="1A2E4A"/>
          <w:sz w:val="22"/>
          <w:szCs w:val="22"/>
        </w:rPr>
        <w:t xml:space="preserve">A.	</w:t>
      </w:r>
      <w:r>
        <w:rPr>
          <w:rFonts w:ascii="Arial" w:cs="Arial" w:eastAsia="Arial" w:hAnsi="Arial"/>
          <w:b w:val="false"/>
          <w:bCs w:val="false"/>
          <w:color w:val="4A4A4A"/>
          <w:sz w:val="22"/>
          <w:szCs w:val="22"/>
        </w:rPr>
        <w:t xml:space="preserve">G.O.D.S Holdings (Pty) Ltd ("G.O.D.S" or the "Disclosing Party") is the owner, developer, and operator of the UDOC Sovereign AI Governance Platform and related proprietary technologies, systems, software, data, business operations, financial information, and strategies, all of which constitute valuable proprietary and commercially sensitive information;</w:t>
      </w:r>
    </w:p>
    <w:p>
      <w:pPr>
        <w:spacing w:after="100" w:before="100" w:line="280"/>
        <w:ind w:left="720" w:hanging="360"/>
        <w:jc w:val="both"/>
      </w:pPr>
      <w:r>
        <w:rPr>
          <w:rFonts w:ascii="Arial" w:cs="Arial" w:eastAsia="Arial" w:hAnsi="Arial"/>
          <w:b/>
          <w:bCs/>
          <w:color w:val="1A2E4A"/>
          <w:sz w:val="22"/>
          <w:szCs w:val="22"/>
        </w:rPr>
        <w:t xml:space="preserve">B.	</w:t>
      </w:r>
      <w:r>
        <w:rPr>
          <w:rFonts w:ascii="Arial" w:cs="Arial" w:eastAsia="Arial" w:hAnsi="Arial"/>
          <w:b w:val="false"/>
          <w:bCs w:val="false"/>
          <w:color w:val="4A4A4A"/>
          <w:sz w:val="22"/>
          <w:szCs w:val="22"/>
        </w:rPr>
        <w:t xml:space="preserve">The Receiving Party desires to receive access to certain Confidential Information from G.O.D.S for the sole Purpose of evaluating, negotiating, and/or implementing the potential relationship described on the cover page of this Agreement;</w:t>
      </w:r>
    </w:p>
    <w:p>
      <w:pPr>
        <w:spacing w:after="100" w:before="100" w:line="280"/>
        <w:ind w:left="720" w:hanging="360"/>
        <w:jc w:val="both"/>
      </w:pPr>
      <w:r>
        <w:rPr>
          <w:rFonts w:ascii="Arial" w:cs="Arial" w:eastAsia="Arial" w:hAnsi="Arial"/>
          <w:b/>
          <w:bCs/>
          <w:color w:val="1A2E4A"/>
          <w:sz w:val="22"/>
          <w:szCs w:val="22"/>
        </w:rPr>
        <w:t xml:space="preserve">C.	</w:t>
      </w:r>
      <w:r>
        <w:rPr>
          <w:rFonts w:ascii="Arial" w:cs="Arial" w:eastAsia="Arial" w:hAnsi="Arial"/>
          <w:b w:val="false"/>
          <w:bCs w:val="false"/>
          <w:color w:val="4A4A4A"/>
          <w:sz w:val="22"/>
          <w:szCs w:val="22"/>
        </w:rPr>
        <w:t xml:space="preserve">G.O.D.S is willing to disclose such Confidential Information to the Receiving Party solely for the Purpose and strictly subject to the terms and conditions of this Agreement;</w:t>
      </w:r>
    </w:p>
    <w:p>
      <w:pPr>
        <w:spacing w:after="100" w:before="100" w:line="280"/>
        <w:ind w:left="720" w:hanging="360"/>
        <w:jc w:val="both"/>
      </w:pPr>
      <w:r>
        <w:rPr>
          <w:rFonts w:ascii="Arial" w:cs="Arial" w:eastAsia="Arial" w:hAnsi="Arial"/>
          <w:b/>
          <w:bCs/>
          <w:color w:val="1A2E4A"/>
          <w:sz w:val="22"/>
          <w:szCs w:val="22"/>
        </w:rPr>
        <w:t xml:space="preserve">D.	</w:t>
      </w:r>
      <w:r>
        <w:rPr>
          <w:rFonts w:ascii="Arial" w:cs="Arial" w:eastAsia="Arial" w:hAnsi="Arial"/>
          <w:b w:val="false"/>
          <w:bCs w:val="false"/>
          <w:color w:val="4A4A4A"/>
          <w:sz w:val="22"/>
          <w:szCs w:val="22"/>
        </w:rPr>
        <w:t xml:space="preserve">Both Parties acknowledge that the Confidential Information represents substantial commercial value, constitutes trade secrets and proprietary intellectual property, and that its unauthorised disclosure or use would cause irreparable harm to G.O.D.S for which monetary damages would be an inadequate remedy;</w:t>
      </w:r>
    </w:p>
    <w:p>
      <w:pPr>
        <w:spacing w:after="100" w:before="100" w:line="280"/>
        <w:ind w:left="720" w:hanging="360"/>
        <w:jc w:val="both"/>
      </w:pPr>
      <w:r>
        <w:rPr>
          <w:rFonts w:ascii="Arial" w:cs="Arial" w:eastAsia="Arial" w:hAnsi="Arial"/>
          <w:b/>
          <w:bCs/>
          <w:color w:val="1A2E4A"/>
          <w:sz w:val="22"/>
          <w:szCs w:val="22"/>
        </w:rPr>
        <w:t xml:space="preserve">E.	</w:t>
      </w:r>
      <w:r>
        <w:rPr>
          <w:rFonts w:ascii="Arial" w:cs="Arial" w:eastAsia="Arial" w:hAnsi="Arial"/>
          <w:b w:val="false"/>
          <w:bCs w:val="false"/>
          <w:color w:val="4A4A4A"/>
          <w:sz w:val="22"/>
          <w:szCs w:val="22"/>
        </w:rPr>
        <w:t xml:space="preserve">The Parties intend this Agreement to be legally binding and enforceable under the laws of the Republic of South Africa and, where applicable, under applicable international law;</w:t>
      </w:r>
    </w:p>
    <w:p>
      <w:r>
        <w:t xml:space="preserve"/>
      </w:r>
    </w:p>
    <w:p>
      <w:pPr>
        <w:spacing w:after="100" w:before="80" w:line="280"/>
        <w:jc w:val="both"/>
      </w:pPr>
      <w:r>
        <w:rPr>
          <w:rFonts w:ascii="Arial" w:cs="Arial" w:eastAsia="Arial" w:hAnsi="Arial"/>
          <w:b w:val="false"/>
          <w:bCs w:val="false"/>
          <w:i w:val="false"/>
          <w:iCs w:val="false"/>
          <w:color w:val="4A4A4A"/>
          <w:sz w:val="22"/>
          <w:szCs w:val="22"/>
        </w:rPr>
        <w:t xml:space="preserve">NOW, THEREFORE, in consideration of the mutual promises and covenants contained herein, and for other good and valuable consideration (the receipt and sufficiency of which are hereby acknowledged), the Parties agree as follows:</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1 — DEFINITIONS AND INTERPRETATION</w:t>
      </w:r>
    </w:p>
    <w:p>
      <w:pPr>
        <w:spacing w:after="100" w:before="80" w:line="280"/>
        <w:jc w:val="both"/>
      </w:pPr>
      <w:r>
        <w:rPr>
          <w:rFonts w:ascii="Arial" w:cs="Arial" w:eastAsia="Arial" w:hAnsi="Arial"/>
          <w:b w:val="false"/>
          <w:bCs w:val="false"/>
          <w:i w:val="false"/>
          <w:iCs w:val="false"/>
          <w:color w:val="4A4A4A"/>
          <w:sz w:val="22"/>
          <w:szCs w:val="22"/>
        </w:rPr>
        <w:t xml:space="preserve">1.1  In this Agreement, the following words and expressions shall have the meanings assigned to them below, unless the context otherwise requires:</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0C0C0" w:sz="1"/>
              <w:left w:val="single" w:color="C0C0C0" w:sz="1"/>
              <w:bottom w:val="single" w:color="C0C0C0" w:sz="1"/>
              <w:right w:val="single" w:color="C0C0C0" w:sz="1"/>
            </w:tcBorders>
            <w:shd w:fill="1A2E4A" w:val="clear"/>
            <w:tcMar>
              <w:top w:type="dxa" w:w="80"/>
              <w:left w:type="dxa" w:w="140"/>
              <w:bottom w:type="dxa" w:w="80"/>
              <w:right w:type="dxa" w:w="140"/>
            </w:tcMar>
          </w:tcPr>
          <w:p>
            <w:r>
              <w:rPr>
                <w:rFonts w:ascii="Arial" w:cs="Arial" w:eastAsia="Arial" w:hAnsi="Arial"/>
                <w:b/>
                <w:bCs/>
                <w:color w:val="FFFFFF"/>
                <w:sz w:val="20"/>
                <w:szCs w:val="20"/>
              </w:rPr>
              <w:t xml:space="preserve">Term</w:t>
            </w:r>
          </w:p>
        </w:tc>
        <w:tc>
          <w:tcPr>
            <w:tcW w:type="dxa" w:w="6960"/>
            <w:tcBorders>
              <w:top w:val="single" w:color="C0C0C0" w:sz="1"/>
              <w:left w:val="single" w:color="C0C0C0" w:sz="1"/>
              <w:bottom w:val="single" w:color="C0C0C0" w:sz="1"/>
              <w:right w:val="single" w:color="C0C0C0" w:sz="1"/>
            </w:tcBorders>
            <w:shd w:fill="1A2E4A" w:val="clear"/>
            <w:tcMar>
              <w:top w:type="dxa" w:w="80"/>
              <w:left w:type="dxa" w:w="140"/>
              <w:bottom w:type="dxa" w:w="80"/>
              <w:right w:type="dxa" w:w="140"/>
            </w:tcMar>
          </w:tcPr>
          <w:p>
            <w:r>
              <w:rPr>
                <w:rFonts w:ascii="Arial" w:cs="Arial" w:eastAsia="Arial" w:hAnsi="Arial"/>
                <w:b/>
                <w:bCs/>
                <w:color w:val="FFFFFF"/>
                <w:sz w:val="20"/>
                <w:szCs w:val="20"/>
              </w:rPr>
              <w:t xml:space="preserve">Meaning</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"Agreement"</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This Mutual Non-Disclosure and Confidentiality Agreement, including all annexures and schedules attached hereto.</w:t>
            </w:r>
          </w:p>
        </w:tc>
      </w:tr>
      <w:tr>
        <w:tc>
          <w:tcPr>
            <w:tcW w:type="dxa" w:w="240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r>
              <w:rPr>
                <w:rFonts w:ascii="Arial" w:cs="Arial" w:eastAsia="Arial" w:hAnsi="Arial"/>
                <w:b/>
                <w:bCs/>
                <w:color w:val="1A2E4A"/>
                <w:sz w:val="21"/>
                <w:szCs w:val="21"/>
              </w:rPr>
              <w:t xml:space="preserve">"Affiliate"</w:t>
            </w:r>
          </w:p>
        </w:tc>
        <w:tc>
          <w:tcPr>
            <w:tcW w:type="dxa" w:w="696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pPr>
              <w:jc w:val="both"/>
            </w:pPr>
            <w:r>
              <w:rPr>
                <w:rFonts w:ascii="Arial" w:cs="Arial" w:eastAsia="Arial" w:hAnsi="Arial"/>
                <w:color w:val="4A4A4A"/>
                <w:sz w:val="21"/>
                <w:szCs w:val="21"/>
              </w:rPr>
              <w:t xml:space="preserve">In relation to either Party, any entity that directly or indirectly controls, is controlled by, or is under common control with such Party, where "control" means the power to direct the management and policies of an entity, whether through the ownership of more than 50% of the voting shares, by contract, or otherwise.</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"Authorised Recipients"</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In respect of the Receiving Party, solely those of the Receiving Party's employees, officers, directors, professional advisors (including attorneys, accountants, and financial advisors bound by professional confidentiality obligations), and contractors who: (a) have a strict need to know the Confidential Information for the Purpose; (b) have been informed of the confidential nature of the information; and (c) are bound by confidentiality obligations at least as protective as those contained in this Agreement.</w:t>
            </w:r>
          </w:p>
        </w:tc>
      </w:tr>
      <w:tr>
        <w:tc>
          <w:tcPr>
            <w:tcW w:type="dxa" w:w="240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r>
              <w:rPr>
                <w:rFonts w:ascii="Arial" w:cs="Arial" w:eastAsia="Arial" w:hAnsi="Arial"/>
                <w:b/>
                <w:bCs/>
                <w:color w:val="1A2E4A"/>
                <w:sz w:val="21"/>
                <w:szCs w:val="21"/>
              </w:rPr>
              <w:t xml:space="preserve">"Confidential Information"</w:t>
            </w:r>
          </w:p>
        </w:tc>
        <w:tc>
          <w:tcPr>
            <w:tcW w:type="dxa" w:w="696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pPr>
              <w:jc w:val="both"/>
            </w:pPr>
            <w:r>
              <w:rPr>
                <w:rFonts w:ascii="Arial" w:cs="Arial" w:eastAsia="Arial" w:hAnsi="Arial"/>
                <w:color w:val="4A4A4A"/>
                <w:sz w:val="21"/>
                <w:szCs w:val="21"/>
              </w:rPr>
              <w:t xml:space="preserve">All information, data, know-how, trade secrets, and materials disclosed by or on behalf of G.O.D.S to the Receiving Party, whether disclosed orally, in writing, by electronic means, by demonstration, through access to physical materials or premises, or in any other form or medium, that: (a) is designated as "Confidential", "Proprietary", "Restricted" or with similar designation; (b) is disclosed in circumstances that would reasonably put the Receiving Party on notice of its confidential nature; or (c) is of a nature that is customarily treated as confidential by parties in comparable commercial or technological relationships. For the avoidance of doubt, Confidential Information includes, without limitation, all information described in Clause 2 of this Agreement.</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"Constitutional Pillars"</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The 12 Constitutional Pillars of G.O.D.S Holdings as defined in the G.O.D.S Systems Documentation, governing all systems, decisions, and operations of G.O.D.S Holdings for 250 years.</w:t>
            </w:r>
          </w:p>
        </w:tc>
      </w:tr>
      <w:tr>
        <w:tc>
          <w:tcPr>
            <w:tcW w:type="dxa" w:w="240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r>
              <w:rPr>
                <w:rFonts w:ascii="Arial" w:cs="Arial" w:eastAsia="Arial" w:hAnsi="Arial"/>
                <w:b/>
                <w:bCs/>
                <w:color w:val="1A2E4A"/>
                <w:sz w:val="21"/>
                <w:szCs w:val="21"/>
              </w:rPr>
              <w:t xml:space="preserve">"Disclosing Party"</w:t>
            </w:r>
          </w:p>
        </w:tc>
        <w:tc>
          <w:tcPr>
            <w:tcW w:type="dxa" w:w="696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pPr>
              <w:jc w:val="both"/>
            </w:pPr>
            <w:r>
              <w:rPr>
                <w:rFonts w:ascii="Arial" w:cs="Arial" w:eastAsia="Arial" w:hAnsi="Arial"/>
                <w:color w:val="4A4A4A"/>
                <w:sz w:val="21"/>
                <w:szCs w:val="21"/>
              </w:rPr>
              <w:t xml:space="preserve">G.O.D.S Holdings (Pty) Ltd and/or any of its Affiliates, subsidiaries, directors, officers, employees, agents, or advisors who disclose Confidential Information under or in connection with this Agreement.</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"Effective Date"</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The date on which this Agreement is signed by the last Party to sign.</w:t>
            </w:r>
          </w:p>
        </w:tc>
      </w:tr>
      <w:tr>
        <w:tc>
          <w:tcPr>
            <w:tcW w:type="dxa" w:w="240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r>
              <w:rPr>
                <w:rFonts w:ascii="Arial" w:cs="Arial" w:eastAsia="Arial" w:hAnsi="Arial"/>
                <w:b/>
                <w:bCs/>
                <w:color w:val="1A2E4A"/>
                <w:sz w:val="21"/>
                <w:szCs w:val="21"/>
              </w:rPr>
              <w:t xml:space="preserve">"G.O.D.S IP"</w:t>
            </w:r>
          </w:p>
        </w:tc>
        <w:tc>
          <w:tcPr>
            <w:tcW w:type="dxa" w:w="696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pPr>
              <w:jc w:val="both"/>
            </w:pPr>
            <w:r>
              <w:rPr>
                <w:rFonts w:ascii="Arial" w:cs="Arial" w:eastAsia="Arial" w:hAnsi="Arial"/>
                <w:color w:val="4A4A4A"/>
                <w:sz w:val="21"/>
                <w:szCs w:val="21"/>
              </w:rPr>
              <w:t xml:space="preserve">All intellectual property rights owned by or licensed to G.O.D.S Holdings (Pty) Ltd, including all patents (granted and pending), trademarks (registered and unregistered), copyright works, database rights, design rights, trade secrets, know-how, and all other proprietary rights in and to the UDOC platform, HQ-OS system, EVA engine, S.E.T.H.S system, T.S Industries systems, M.A.D.I.B.A capital platform, and all related technologies.</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"Party"</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Either G.O.D.S Holdings (Pty) Ltd or the Receiving Party individually; "Parties" means both of them collectively.</w:t>
            </w:r>
          </w:p>
        </w:tc>
      </w:tr>
      <w:tr>
        <w:tc>
          <w:tcPr>
            <w:tcW w:type="dxa" w:w="240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r>
              <w:rPr>
                <w:rFonts w:ascii="Arial" w:cs="Arial" w:eastAsia="Arial" w:hAnsi="Arial"/>
                <w:b/>
                <w:bCs/>
                <w:color w:val="1A2E4A"/>
                <w:sz w:val="21"/>
                <w:szCs w:val="21"/>
              </w:rPr>
              <w:t xml:space="preserve">"Personal Information"</w:t>
            </w:r>
          </w:p>
        </w:tc>
        <w:tc>
          <w:tcPr>
            <w:tcW w:type="dxa" w:w="696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pPr>
              <w:jc w:val="both"/>
            </w:pPr>
            <w:r>
              <w:rPr>
                <w:rFonts w:ascii="Arial" w:cs="Arial" w:eastAsia="Arial" w:hAnsi="Arial"/>
                <w:color w:val="4A4A4A"/>
                <w:sz w:val="21"/>
                <w:szCs w:val="21"/>
              </w:rPr>
              <w:t xml:space="preserve">Personal information as defined in the Protection of Personal Information Act 4 of 2013 ("POPIA").</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"Purpose"</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The sole purpose for which the Receiving Party is permitted to use the Confidential Information, as described on the cover page of this Agreement, being the evaluation, negotiation, and/or implementation of a potential business, investment, technology partnership, or employment relationship with G.O.D.S Holdings (Pty) Ltd.</w:t>
            </w:r>
          </w:p>
        </w:tc>
      </w:tr>
      <w:tr>
        <w:tc>
          <w:tcPr>
            <w:tcW w:type="dxa" w:w="240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r>
              <w:rPr>
                <w:rFonts w:ascii="Arial" w:cs="Arial" w:eastAsia="Arial" w:hAnsi="Arial"/>
                <w:b/>
                <w:bCs/>
                <w:color w:val="1A2E4A"/>
                <w:sz w:val="21"/>
                <w:szCs w:val="21"/>
              </w:rPr>
              <w:t xml:space="preserve">"Receiving Party"</w:t>
            </w:r>
          </w:p>
        </w:tc>
        <w:tc>
          <w:tcPr>
            <w:tcW w:type="dxa" w:w="696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pPr>
              <w:jc w:val="both"/>
            </w:pPr>
            <w:r>
              <w:rPr>
                <w:rFonts w:ascii="Arial" w:cs="Arial" w:eastAsia="Arial" w:hAnsi="Arial"/>
                <w:color w:val="4A4A4A"/>
                <w:sz w:val="21"/>
                <w:szCs w:val="21"/>
              </w:rPr>
              <w:t xml:space="preserve">The person or entity identified as the Receiving Party on the cover page of this Agreement, together with its Authorised Recipients.</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"Representative"</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A Party's employees, officers, directors, contractors, advisors, agents, or any other person acting on behalf of that Party in connection with this Agreement.</w:t>
            </w:r>
          </w:p>
        </w:tc>
      </w:tr>
      <w:tr>
        <w:tc>
          <w:tcPr>
            <w:tcW w:type="dxa" w:w="240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r>
              <w:rPr>
                <w:rFonts w:ascii="Arial" w:cs="Arial" w:eastAsia="Arial" w:hAnsi="Arial"/>
                <w:b/>
                <w:bCs/>
                <w:color w:val="1A2E4A"/>
                <w:sz w:val="21"/>
                <w:szCs w:val="21"/>
              </w:rPr>
              <w:t xml:space="preserve">"Trade Secret"</w:t>
            </w:r>
          </w:p>
        </w:tc>
        <w:tc>
          <w:tcPr>
            <w:tcW w:type="dxa" w:w="6960"/>
            <w:tcBorders>
              <w:top w:val="single" w:color="C0C0C0" w:sz="1"/>
              <w:left w:val="single" w:color="C0C0C0" w:sz="1"/>
              <w:bottom w:val="single" w:color="C0C0C0" w:sz="1"/>
              <w:right w:val="single" w:color="C0C0C0" w:sz="1"/>
            </w:tcBorders>
            <w:shd w:fill="F5F5F5" w:val="clear"/>
            <w:tcMar>
              <w:top w:type="dxa" w:w="100"/>
              <w:left w:type="dxa" w:w="140"/>
              <w:bottom w:type="dxa" w:w="100"/>
              <w:right w:type="dxa" w:w="140"/>
            </w:tcMar>
          </w:tcPr>
          <w:p>
            <w:pPr>
              <w:jc w:val="both"/>
            </w:pPr>
            <w:r>
              <w:rPr>
                <w:rFonts w:ascii="Arial" w:cs="Arial" w:eastAsia="Arial" w:hAnsi="Arial"/>
                <w:color w:val="4A4A4A"/>
                <w:sz w:val="21"/>
                <w:szCs w:val="21"/>
              </w:rPr>
              <w:t xml:space="preserve">Confidential Information that: (a) derives independent economic value, actual or potential, from not being generally known to and not being readily ascertainable by proper means by other persons who can obtain economic value from its disclosure or use; and (b) is the subject of reasonable efforts by G.O.D.S to maintain its secrecy.</w:t>
            </w:r>
          </w:p>
        </w:tc>
      </w:tr>
      <w:tr>
        <w:tc>
          <w:tcPr>
            <w:tcW w:type="dxa" w:w="240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r>
              <w:rPr>
                <w:rFonts w:ascii="Arial" w:cs="Arial" w:eastAsia="Arial" w:hAnsi="Arial"/>
                <w:b/>
                <w:bCs/>
                <w:color w:val="1A2E4A"/>
                <w:sz w:val="21"/>
                <w:szCs w:val="21"/>
              </w:rPr>
              <w:t xml:space="preserve">"UDOC Platform"</w:t>
            </w:r>
          </w:p>
        </w:tc>
        <w:tc>
          <w:tcPr>
            <w:tcW w:type="dxa" w:w="6960"/>
            <w:tcBorders>
              <w:top w:val="single" w:color="C0C0C0" w:sz="1"/>
              <w:left w:val="single" w:color="C0C0C0" w:sz="1"/>
              <w:bottom w:val="single" w:color="C0C0C0" w:sz="1"/>
              <w:right w:val="single" w:color="C0C0C0" w:sz="1"/>
            </w:tcBorders>
            <w:shd w:fill="FFFFFF" w:val="clear"/>
            <w:tcMar>
              <w:top w:type="dxa" w:w="100"/>
              <w:left w:type="dxa" w:w="140"/>
              <w:bottom w:type="dxa" w:w="100"/>
              <w:right w:type="dxa" w:w="140"/>
            </w:tcMar>
          </w:tcPr>
          <w:p>
            <w:pPr>
              <w:jc w:val="both"/>
            </w:pPr>
            <w:r>
              <w:rPr>
                <w:rFonts w:ascii="Arial" w:cs="Arial" w:eastAsia="Arial" w:hAnsi="Arial"/>
                <w:color w:val="4A4A4A"/>
                <w:sz w:val="21"/>
                <w:szCs w:val="21"/>
              </w:rPr>
              <w:t xml:space="preserve">The Unified Digital Oversight &amp; Coordination platform, including all software, hardware architectures, specifications, API designs, governance frameworks, cryptographic systems, quantum-hybrid architectures, and all related components developed, owned, or operated by G.O.D.S Holdings.</w:t>
            </w:r>
          </w:p>
        </w:tc>
      </w:tr>
    </w:tbl>
    <w:p>
      <w:r>
        <w:t xml:space="preserve"/>
      </w:r>
    </w:p>
    <w:p>
      <w:pPr>
        <w:spacing w:after="100" w:before="80" w:line="280"/>
        <w:jc w:val="both"/>
      </w:pPr>
      <w:r>
        <w:rPr>
          <w:rFonts w:ascii="Arial" w:cs="Arial" w:eastAsia="Arial" w:hAnsi="Arial"/>
          <w:b w:val="false"/>
          <w:bCs w:val="false"/>
          <w:i w:val="false"/>
          <w:iCs w:val="false"/>
          <w:color w:val="4A4A4A"/>
          <w:sz w:val="22"/>
          <w:szCs w:val="22"/>
        </w:rPr>
        <w:t xml:space="preserve">1.2  In this Agreement, unless the context otherwise requires:</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Words importing the singular include the plural and vice versa;</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Words importing any gender include all other genders;</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References to "writing" include electronic communications sent from verified business email addresses;</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References to any legislation include amendments, re-enactments, and successor legislation;</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Clause headings are for convenience only and shall not affect interpretation;</w:t>
      </w:r>
    </w:p>
    <w:p>
      <w:pPr>
        <w:spacing w:after="80" w:before="80" w:line="280"/>
        <w:ind w:left="1080" w:hanging="360"/>
        <w:jc w:val="both"/>
      </w:pPr>
      <w:r>
        <w:rPr>
          <w:rFonts w:ascii="Arial" w:cs="Arial" w:eastAsia="Arial" w:hAnsi="Arial"/>
          <w:b/>
          <w:bCs/>
          <w:color w:val="2C5F8A"/>
          <w:sz w:val="22"/>
          <w:szCs w:val="22"/>
        </w:rPr>
        <w:t xml:space="preserve">(f)	</w:t>
      </w:r>
      <w:r>
        <w:rPr>
          <w:rFonts w:ascii="Arial" w:cs="Arial" w:eastAsia="Arial" w:hAnsi="Arial"/>
          <w:color w:val="4A4A4A"/>
          <w:sz w:val="22"/>
          <w:szCs w:val="22"/>
        </w:rPr>
        <w:t xml:space="preserve">The words "include", "includes", "including", and "in particular" are to be construed without limitation;</w:t>
      </w:r>
    </w:p>
    <w:p>
      <w:pPr>
        <w:spacing w:after="80" w:before="80" w:line="280"/>
        <w:ind w:left="1080" w:hanging="360"/>
        <w:jc w:val="both"/>
      </w:pPr>
      <w:r>
        <w:rPr>
          <w:rFonts w:ascii="Arial" w:cs="Arial" w:eastAsia="Arial" w:hAnsi="Arial"/>
          <w:b/>
          <w:bCs/>
          <w:color w:val="2C5F8A"/>
          <w:sz w:val="22"/>
          <w:szCs w:val="22"/>
        </w:rPr>
        <w:t xml:space="preserve">(g)	</w:t>
      </w:r>
      <w:r>
        <w:rPr>
          <w:rFonts w:ascii="Arial" w:cs="Arial" w:eastAsia="Arial" w:hAnsi="Arial"/>
          <w:color w:val="4A4A4A"/>
          <w:sz w:val="22"/>
          <w:szCs w:val="22"/>
        </w:rPr>
        <w:t xml:space="preserve">Where any obligation is imposed on a Party, that Party shall procure that its Affiliates and Representatives comply with that obligation.</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2 — SCOPE AND NATURE OF CONFIDENTIAL INFORMATION</w:t>
      </w:r>
    </w:p>
    <w:p>
      <w:pPr>
        <w:spacing w:after="100" w:before="80" w:line="280"/>
        <w:jc w:val="both"/>
      </w:pPr>
      <w:r>
        <w:rPr>
          <w:rFonts w:ascii="Arial" w:cs="Arial" w:eastAsia="Arial" w:hAnsi="Arial"/>
          <w:b w:val="false"/>
          <w:bCs w:val="false"/>
          <w:i w:val="false"/>
          <w:iCs w:val="false"/>
          <w:color w:val="4A4A4A"/>
          <w:sz w:val="22"/>
          <w:szCs w:val="22"/>
        </w:rPr>
        <w:t xml:space="preserve">2.1  Without limiting the general definition in Clause 1, Confidential Information specifically includes, in relation to G.O.D.S Holdings (Pty) Ltd, the following categories of information:</w:t>
      </w:r>
    </w:p>
    <w:p>
      <w:r>
        <w:t xml:space="preserve"/>
      </w:r>
    </w:p>
    <w:p>
      <w:pPr>
        <w:pStyle w:val="Heading3"/>
        <w:spacing w:after="80" w:before="240"/>
      </w:pPr>
      <w:r>
        <w:rPr>
          <w:rFonts w:ascii="Arial" w:cs="Arial" w:eastAsia="Arial" w:hAnsi="Arial"/>
          <w:b/>
          <w:bCs/>
          <w:color w:val="4A4A4A"/>
          <w:sz w:val="24"/>
          <w:szCs w:val="24"/>
        </w:rPr>
        <w:t xml:space="preserve">2.1.1  Technology &amp; Intellectual Property</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The complete software architecture, source code, object code, algorithms, data structures, APIs, database schemas, and technical specifications of the UDOC Sovereign AI Governance Platform and all its components (including the FastAPI governance engine, Node.js MVP, React TypeScript dashboard, Kubernetes deployment manifests, Docker configurations, and all related software);</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The HQ-OS Hybrid Classical-Quantum Operating System architecture, including the quantum-classical interface middleware, task classification algorithms, quantum circuit compilation methods, result aggregation engines, decoherence monitoring systems, and constitutional enforcement middleware;</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The EVA (Evaluating Valiant Algorithms) six-dimensional AI decision evaluation engine, including scoring formulae, composite weighting algorithms, policy rule configurations, EVA Certificate generation methods, and constitutional breach declaration systems;</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All patent applications (provisional and non-provisional), patent claims, patent specifications, and inventions described therein, whether or not yet filed;</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Post-quantum cryptographic implementations, key management architectures, HSM configuration parameters, Merkle tree audit chain designs, and all related security architecture specifications;</w:t>
      </w:r>
    </w:p>
    <w:p>
      <w:pPr>
        <w:spacing w:after="80" w:before="80" w:line="280"/>
        <w:ind w:left="1080" w:hanging="360"/>
        <w:jc w:val="both"/>
      </w:pPr>
      <w:r>
        <w:rPr>
          <w:rFonts w:ascii="Arial" w:cs="Arial" w:eastAsia="Arial" w:hAnsi="Arial"/>
          <w:b/>
          <w:bCs/>
          <w:color w:val="2C5F8A"/>
          <w:sz w:val="22"/>
          <w:szCs w:val="22"/>
        </w:rPr>
        <w:t xml:space="preserve">(f)	</w:t>
      </w:r>
      <w:r>
        <w:rPr>
          <w:rFonts w:ascii="Arial" w:cs="Arial" w:eastAsia="Arial" w:hAnsi="Arial"/>
          <w:color w:val="4A4A4A"/>
          <w:sz w:val="22"/>
          <w:szCs w:val="22"/>
        </w:rPr>
        <w:t xml:space="preserve">The UDOC database schema designs, Cassandra immutable audit patterns, PostgreSQL governance state configurations, and Kafka event streaming topologies;</w:t>
      </w:r>
    </w:p>
    <w:p>
      <w:pPr>
        <w:spacing w:after="80" w:before="80" w:line="280"/>
        <w:ind w:left="1080" w:hanging="360"/>
        <w:jc w:val="both"/>
      </w:pPr>
      <w:r>
        <w:rPr>
          <w:rFonts w:ascii="Arial" w:cs="Arial" w:eastAsia="Arial" w:hAnsi="Arial"/>
          <w:b/>
          <w:bCs/>
          <w:color w:val="2C5F8A"/>
          <w:sz w:val="22"/>
          <w:szCs w:val="22"/>
        </w:rPr>
        <w:t xml:space="preserve">(g)	</w:t>
      </w:r>
      <w:r>
        <w:rPr>
          <w:rFonts w:ascii="Arial" w:cs="Arial" w:eastAsia="Arial" w:hAnsi="Arial"/>
          <w:color w:val="4A4A4A"/>
          <w:sz w:val="22"/>
          <w:szCs w:val="22"/>
        </w:rPr>
        <w:t xml:space="preserve">All infrastructure specifications including the Carnarvon Tri-Tunnel data centre design, hardware bill of materials, power and cooling designs, and sovereign facility architectural drawings;</w:t>
      </w:r>
    </w:p>
    <w:p>
      <w:r>
        <w:t xml:space="preserve"/>
      </w:r>
    </w:p>
    <w:p>
      <w:pPr>
        <w:pStyle w:val="Heading3"/>
        <w:spacing w:after="80" w:before="240"/>
      </w:pPr>
      <w:r>
        <w:rPr>
          <w:rFonts w:ascii="Arial" w:cs="Arial" w:eastAsia="Arial" w:hAnsi="Arial"/>
          <w:b/>
          <w:bCs/>
          <w:color w:val="4A4A4A"/>
          <w:sz w:val="24"/>
          <w:szCs w:val="24"/>
        </w:rPr>
        <w:t xml:space="preserve">2.1.2  Business, Commercial &amp; Financial Information</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Business plans, strategic plans, growth projections, investor presentations, pitch decks, term sheets, and capital raise documentation;</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Financial statements, management accounts, cash flow projections, revenue models, cost structures, and valuation methodologies;</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Investor identities, investor pipeline information, DFI relationships, government contact networks, and capital commitment discussions;</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Pricing models, licensing fee structures, ACV targets, margin analyses, and commercial terms with existing or prospective clients;</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The G.O.D.S compounding loop financial model and cross-division capital allocation methodology;</w:t>
      </w:r>
    </w:p>
    <w:p>
      <w:pPr>
        <w:spacing w:after="80" w:before="80" w:line="280"/>
        <w:ind w:left="1080" w:hanging="360"/>
        <w:jc w:val="both"/>
      </w:pPr>
      <w:r>
        <w:rPr>
          <w:rFonts w:ascii="Arial" w:cs="Arial" w:eastAsia="Arial" w:hAnsi="Arial"/>
          <w:b/>
          <w:bCs/>
          <w:color w:val="2C5F8A"/>
          <w:sz w:val="22"/>
          <w:szCs w:val="22"/>
        </w:rPr>
        <w:t xml:space="preserve">(f)	</w:t>
      </w:r>
      <w:r>
        <w:rPr>
          <w:rFonts w:ascii="Arial" w:cs="Arial" w:eastAsia="Arial" w:hAnsi="Arial"/>
          <w:color w:val="4A4A4A"/>
          <w:sz w:val="22"/>
          <w:szCs w:val="22"/>
        </w:rPr>
        <w:t xml:space="preserve">Seed funding strategy, Series A trigger metrics, and all M.A.D.I.B.A Capital deployment plans;</w:t>
      </w:r>
    </w:p>
    <w:p>
      <w:r>
        <w:t xml:space="preserve"/>
      </w:r>
    </w:p>
    <w:p>
      <w:pPr>
        <w:pStyle w:val="Heading3"/>
        <w:spacing w:after="80" w:before="240"/>
      </w:pPr>
      <w:r>
        <w:rPr>
          <w:rFonts w:ascii="Arial" w:cs="Arial" w:eastAsia="Arial" w:hAnsi="Arial"/>
          <w:b/>
          <w:bCs/>
          <w:color w:val="4A4A4A"/>
          <w:sz w:val="24"/>
          <w:szCs w:val="24"/>
        </w:rPr>
        <w:t xml:space="preserve">2.1.3  Programme Design &amp; Operational Information</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The S.E.T.H.S programme design, participant intake methodology, psychometric assessment battery, employer matching algorithms, and post-placement monitoring systems;</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Employer partner identities, MOU terms, placement capacity commitments, and employer relationship details;</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T.S Industries project pipeline, SPV structures, government partnership terms, and sector subsidiary operations;</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The G.O.D.S 12 Constitutional Pillars framework as a governance architecture and all operational procedures derived therefrom;</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COB recruitment pipeline, prospective COB member identities, and COB operational procedures;</w:t>
      </w:r>
    </w:p>
    <w:p>
      <w:r>
        <w:t xml:space="preserve"/>
      </w:r>
    </w:p>
    <w:p>
      <w:pPr>
        <w:pStyle w:val="Heading3"/>
        <w:spacing w:after="80" w:before="240"/>
      </w:pPr>
      <w:r>
        <w:rPr>
          <w:rFonts w:ascii="Arial" w:cs="Arial" w:eastAsia="Arial" w:hAnsi="Arial"/>
          <w:b/>
          <w:bCs/>
          <w:color w:val="4A4A4A"/>
          <w:sz w:val="24"/>
          <w:szCs w:val="24"/>
        </w:rPr>
        <w:t xml:space="preserve">2.1.4  Government &amp; Regulatory Relationships</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All information relating to government procurement discussions, ministerial contact relationships, DCDT engagement strategy, and regulatory submission contents;</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Contents of submissions to the GG54477 public comment process and related regulatory engagement strategies;</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Information Regulator engagement plans, POPIA compliance strategies, and Section 57 prior authorisation applications;</w:t>
      </w:r>
    </w:p>
    <w:p>
      <w:r>
        <w:t xml:space="preserve"/>
      </w:r>
    </w:p>
    <w:p>
      <w:pPr>
        <w:spacing w:after="100" w:before="80" w:line="280"/>
        <w:jc w:val="both"/>
      </w:pPr>
      <w:r>
        <w:rPr>
          <w:rFonts w:ascii="Arial" w:cs="Arial" w:eastAsia="Arial" w:hAnsi="Arial"/>
          <w:b w:val="false"/>
          <w:bCs w:val="false"/>
          <w:i w:val="false"/>
          <w:iCs w:val="false"/>
          <w:color w:val="4A4A4A"/>
          <w:sz w:val="22"/>
          <w:szCs w:val="22"/>
        </w:rPr>
        <w:t xml:space="preserve">2.2  The Parties acknowledge that all Confidential Information described in Clause 2.1 constitutes Trade Secrets of G.O.D.S Holdings and that unauthorised disclosure thereof would cause irreparable harm for which damages would be an inadequate remedy.</w:t>
      </w:r>
    </w:p>
    <w:p>
      <w:pPr>
        <w:spacing w:after="100" w:before="80" w:line="280"/>
        <w:jc w:val="both"/>
      </w:pPr>
      <w:r>
        <w:rPr>
          <w:rFonts w:ascii="Arial" w:cs="Arial" w:eastAsia="Arial" w:hAnsi="Arial"/>
          <w:b w:val="false"/>
          <w:bCs w:val="false"/>
          <w:i w:val="false"/>
          <w:iCs w:val="false"/>
          <w:color w:val="4A4A4A"/>
          <w:sz w:val="22"/>
          <w:szCs w:val="22"/>
        </w:rPr>
        <w:t xml:space="preserve">2.3  The following information is NOT Confidential Information under this Agreement:</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Information that is or becomes publicly known through no act or omission of the Receiving Party or any of its Representatives;</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Information that was in the Receiving Party's possession before disclosure by G.O.D.S, provided the Receiving Party can demonstrate this with contemporaneous written records;</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Information independently developed by the Receiving Party without use of or reference to the Confidential Information, provided the Receiving Party can demonstrate this by clear and convincing written evidence;</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Information received from a third party who is not under any obligation of confidentiality to G.O.D.S with respect to such information and who discloses it lawfully;</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Information that G.O.D.S has expressly agreed in writing is no longer confidential.</w:t>
      </w:r>
    </w:p>
    <w:p>
      <w:pPr>
        <w:spacing w:after="100" w:before="80" w:line="280"/>
        <w:jc w:val="both"/>
      </w:pPr>
      <w:r>
        <w:rPr>
          <w:rFonts w:ascii="Arial" w:cs="Arial" w:eastAsia="Arial" w:hAnsi="Arial"/>
          <w:b w:val="false"/>
          <w:bCs w:val="false"/>
          <w:i w:val="false"/>
          <w:iCs w:val="false"/>
          <w:color w:val="4A4A4A"/>
          <w:sz w:val="22"/>
          <w:szCs w:val="22"/>
        </w:rPr>
        <w:t xml:space="preserve">2.4  The exceptions in Clause 2.3 shall be construed narrowly. The burden of proving that any information falls within an exception lies entirely on the Receiving Party. Where only a portion of the Confidential Information falls within an exception, only that portion is excluded; the remaining Confidential Information retains its protected status.</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3 — CONFIDENTIALITY OBLIGATIONS</w:t>
      </w:r>
    </w:p>
    <w:p>
      <w:pPr>
        <w:spacing w:after="100" w:before="80" w:line="280"/>
        <w:jc w:val="both"/>
      </w:pPr>
      <w:r>
        <w:rPr>
          <w:rFonts w:ascii="Arial" w:cs="Arial" w:eastAsia="Arial" w:hAnsi="Arial"/>
          <w:b/>
          <w:bCs/>
          <w:i w:val="false"/>
          <w:iCs w:val="false"/>
          <w:color w:val="4A4A4A"/>
          <w:sz w:val="22"/>
          <w:szCs w:val="22"/>
        </w:rPr>
        <w:t xml:space="preserve">3.1  Receiving Party's Core Obligations. The Receiving Party shall:</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Hold all Confidential Information in strict confidence using at least the same degree of care it uses to protect its own most sensitive confidential information, but in no event less than reasonable care;</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Not disclose any Confidential Information to any person or entity other than Authorised Recipients, without the prior written consent of G.O.D.S;</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Use the Confidential Information solely for the Purpose and for no other purpose whatsoever;</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Not reverse engineer, decompile, disassemble, reproduce, copy, adapt, modify, translate, create derivative works from, or otherwise exploit the Confidential Information or any part thereof;</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Inform each Authorised Recipient of the confidential nature of the information and of the obligations of this Agreement before disclosing any Confidential Information to them;</w:t>
      </w:r>
    </w:p>
    <w:p>
      <w:pPr>
        <w:spacing w:after="80" w:before="80" w:line="280"/>
        <w:ind w:left="1080" w:hanging="360"/>
        <w:jc w:val="both"/>
      </w:pPr>
      <w:r>
        <w:rPr>
          <w:rFonts w:ascii="Arial" w:cs="Arial" w:eastAsia="Arial" w:hAnsi="Arial"/>
          <w:b/>
          <w:bCs/>
          <w:color w:val="2C5F8A"/>
          <w:sz w:val="22"/>
          <w:szCs w:val="22"/>
        </w:rPr>
        <w:t xml:space="preserve">(f)	</w:t>
      </w:r>
      <w:r>
        <w:rPr>
          <w:rFonts w:ascii="Arial" w:cs="Arial" w:eastAsia="Arial" w:hAnsi="Arial"/>
          <w:color w:val="4A4A4A"/>
          <w:sz w:val="22"/>
          <w:szCs w:val="22"/>
        </w:rPr>
        <w:t xml:space="preserve">Procure that each Authorised Recipient complies with obligations equivalent to those set out in this Agreement;</w:t>
      </w:r>
    </w:p>
    <w:p>
      <w:pPr>
        <w:spacing w:after="80" w:before="80" w:line="280"/>
        <w:ind w:left="1080" w:hanging="360"/>
        <w:jc w:val="both"/>
      </w:pPr>
      <w:r>
        <w:rPr>
          <w:rFonts w:ascii="Arial" w:cs="Arial" w:eastAsia="Arial" w:hAnsi="Arial"/>
          <w:b/>
          <w:bCs/>
          <w:color w:val="2C5F8A"/>
          <w:sz w:val="22"/>
          <w:szCs w:val="22"/>
        </w:rPr>
        <w:t xml:space="preserve">(g)	</w:t>
      </w:r>
      <w:r>
        <w:rPr>
          <w:rFonts w:ascii="Arial" w:cs="Arial" w:eastAsia="Arial" w:hAnsi="Arial"/>
          <w:color w:val="4A4A4A"/>
          <w:sz w:val="22"/>
          <w:szCs w:val="22"/>
        </w:rPr>
        <w:t xml:space="preserve">Implement and maintain appropriate technical and organisational security measures to protect the Confidential Information against unauthorised access, disclosure, or use;</w:t>
      </w:r>
    </w:p>
    <w:p>
      <w:pPr>
        <w:spacing w:after="80" w:before="80" w:line="280"/>
        <w:ind w:left="1080" w:hanging="360"/>
        <w:jc w:val="both"/>
      </w:pPr>
      <w:r>
        <w:rPr>
          <w:rFonts w:ascii="Arial" w:cs="Arial" w:eastAsia="Arial" w:hAnsi="Arial"/>
          <w:b/>
          <w:bCs/>
          <w:color w:val="2C5F8A"/>
          <w:sz w:val="22"/>
          <w:szCs w:val="22"/>
        </w:rPr>
        <w:t xml:space="preserve">(h)	</w:t>
      </w:r>
      <w:r>
        <w:rPr>
          <w:rFonts w:ascii="Arial" w:cs="Arial" w:eastAsia="Arial" w:hAnsi="Arial"/>
          <w:color w:val="4A4A4A"/>
          <w:sz w:val="22"/>
          <w:szCs w:val="22"/>
        </w:rPr>
        <w:t xml:space="preserve">Store all physical or electronic copies of Confidential Information in secure, access-controlled environments;</w:t>
      </w:r>
    </w:p>
    <w:p>
      <w:pPr>
        <w:spacing w:after="80" w:before="80" w:line="280"/>
        <w:ind w:left="1080" w:hanging="360"/>
        <w:jc w:val="both"/>
      </w:pPr>
      <w:r>
        <w:rPr>
          <w:rFonts w:ascii="Arial" w:cs="Arial" w:eastAsia="Arial" w:hAnsi="Arial"/>
          <w:b/>
          <w:bCs/>
          <w:color w:val="2C5F8A"/>
          <w:sz w:val="22"/>
          <w:szCs w:val="22"/>
        </w:rPr>
        <w:t xml:space="preserve">(i)	</w:t>
      </w:r>
      <w:r>
        <w:rPr>
          <w:rFonts w:ascii="Arial" w:cs="Arial" w:eastAsia="Arial" w:hAnsi="Arial"/>
          <w:color w:val="4A4A4A"/>
          <w:sz w:val="22"/>
          <w:szCs w:val="22"/>
        </w:rPr>
        <w:t xml:space="preserve">Not create any copies, summaries, extracts, notes, or analyses of the Confidential Information except to the minimum extent necessary for the Purpose;</w:t>
      </w:r>
    </w:p>
    <w:p>
      <w:pPr>
        <w:spacing w:after="80" w:before="80" w:line="280"/>
        <w:ind w:left="1080" w:hanging="360"/>
        <w:jc w:val="both"/>
      </w:pPr>
      <w:r>
        <w:rPr>
          <w:rFonts w:ascii="Arial" w:cs="Arial" w:eastAsia="Arial" w:hAnsi="Arial"/>
          <w:b/>
          <w:bCs/>
          <w:color w:val="2C5F8A"/>
          <w:sz w:val="22"/>
          <w:szCs w:val="22"/>
        </w:rPr>
        <w:t xml:space="preserve">(j)	</w:t>
      </w:r>
      <w:r>
        <w:rPr>
          <w:rFonts w:ascii="Arial" w:cs="Arial" w:eastAsia="Arial" w:hAnsi="Arial"/>
          <w:color w:val="4A4A4A"/>
          <w:sz w:val="22"/>
          <w:szCs w:val="22"/>
        </w:rPr>
        <w:t xml:space="preserve">Immediately notify G.O.D.S in writing upon becoming aware of any actual or suspected unauthorised access to, disclosure of, or use of the Confidential Information.</w:t>
      </w:r>
    </w:p>
    <w:p>
      <w:r>
        <w:t xml:space="preserve"/>
      </w:r>
    </w:p>
    <w:p>
      <w:pPr>
        <w:spacing w:after="100" w:before="80" w:line="280"/>
        <w:jc w:val="both"/>
      </w:pPr>
      <w:r>
        <w:rPr>
          <w:rFonts w:ascii="Arial" w:cs="Arial" w:eastAsia="Arial" w:hAnsi="Arial"/>
          <w:b/>
          <w:bCs/>
          <w:i w:val="false"/>
          <w:iCs w:val="false"/>
          <w:color w:val="4A4A4A"/>
          <w:sz w:val="22"/>
          <w:szCs w:val="22"/>
        </w:rPr>
        <w:t xml:space="preserve">3.2  Use Restriction. The Receiving Party expressly acknowledges and agrees that:</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The Confidential Information may not be used in any way to compete with G.O.D.S Holdings, to develop competing products or services, to advise or assist a competitor of G.O.D.S Holdings, or to solicit any of G.O.D.S Holdings' clients, employees, contractors, investors, or partners;</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The Receiving Party shall not use the Confidential Information as the basis for, or in the preparation of, any patent application, trademark application, copyright registration, or other intellectual property application;</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The Receiving Party's exposure to G.O.D.S Confidential Information does not confer any right, licence, or interest in the G.O.D.S IP or in the Confidential Information itself;</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Nothing in this Agreement grants the Receiving Party any licence under any patent, trademark, copyright, or other intellectual property right of G.O.D.S Holdings.</w:t>
      </w:r>
    </w:p>
    <w:p>
      <w:r>
        <w:t xml:space="preserve"/>
      </w:r>
    </w:p>
    <w:p>
      <w:pPr>
        <w:spacing w:after="100" w:before="80" w:line="280"/>
        <w:jc w:val="both"/>
      </w:pPr>
      <w:r>
        <w:rPr>
          <w:rFonts w:ascii="Arial" w:cs="Arial" w:eastAsia="Arial" w:hAnsi="Arial"/>
          <w:b/>
          <w:bCs/>
          <w:i w:val="false"/>
          <w:iCs w:val="false"/>
          <w:color w:val="4A4A4A"/>
          <w:sz w:val="22"/>
          <w:szCs w:val="22"/>
        </w:rPr>
        <w:t xml:space="preserve">3.3  Compelled Disclosure. If the Receiving Party is required by law, regulation, court order, or governmental authority to disclose any Confidential Information, the Receiving Party shall:</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Give G.O.D.S the maximum practicable advance written notice before making such disclosure;</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Reasonably cooperate with G.O.D.S in seeking a protective order, confidential treatment, or other appropriate remedy;</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Disclose only that portion of the Confidential Information that is legally required to be disclosed;</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Use reasonable efforts to ensure that any such disclosure is treated confidentially by the receiving authority.</w:t>
      </w:r>
    </w:p>
    <w:p>
      <w:pPr>
        <w:spacing w:after="100" w:before="80" w:line="280"/>
        <w:jc w:val="both"/>
      </w:pPr>
      <w:r>
        <w:rPr>
          <w:rFonts w:ascii="Arial" w:cs="Arial" w:eastAsia="Arial" w:hAnsi="Arial"/>
          <w:b w:val="false"/>
          <w:bCs w:val="false"/>
          <w:i/>
          <w:iCs/>
          <w:color w:val="4A4A4A"/>
          <w:sz w:val="22"/>
          <w:szCs w:val="22"/>
        </w:rPr>
        <w:t xml:space="preserve">Compelled disclosure of Confidential Information shall not relieve the Receiving Party of its confidentiality obligations with respect to all other Confidential Information.</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4 — NON-SOLICITATION AND NON-CIRCUMVENTION</w:t>
      </w:r>
    </w:p>
    <w:p>
      <w:pPr>
        <w:spacing w:after="100" w:before="80" w:line="280"/>
        <w:jc w:val="both"/>
      </w:pPr>
      <w:r>
        <w:rPr>
          <w:rFonts w:ascii="Arial" w:cs="Arial" w:eastAsia="Arial" w:hAnsi="Arial"/>
          <w:b w:val="false"/>
          <w:bCs w:val="false"/>
          <w:i w:val="false"/>
          <w:iCs w:val="false"/>
          <w:color w:val="4A4A4A"/>
          <w:sz w:val="22"/>
          <w:szCs w:val="22"/>
        </w:rPr>
        <w:t xml:space="preserve">4.1  Non-Solicitation of Personnel. During the term of this Agreement and for a period of 24 (twenty-four) months following its termination or expiry, the Receiving Party shall not, directly or indirectly:</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Solicit, recruit, induce, or encourage any employee, contractor, officer, director, or consultant of G.O.D.S Holdings to terminate their relationship with G.O.D.S Holdings;</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Employ, engage, or contract with any person who was an employee, contractor, officer, director, or consultant of G.O.D.S Holdings at any time during the 12 months preceding the date of such engagement, without the prior written consent of G.O.D.S Holdings.</w:t>
      </w:r>
    </w:p>
    <w:p>
      <w:r>
        <w:t xml:space="preserve"/>
      </w:r>
    </w:p>
    <w:p>
      <w:pPr>
        <w:spacing w:after="100" w:before="80" w:line="280"/>
        <w:jc w:val="both"/>
      </w:pPr>
      <w:r>
        <w:rPr>
          <w:rFonts w:ascii="Arial" w:cs="Arial" w:eastAsia="Arial" w:hAnsi="Arial"/>
          <w:b w:val="false"/>
          <w:bCs w:val="false"/>
          <w:i w:val="false"/>
          <w:iCs w:val="false"/>
          <w:color w:val="4A4A4A"/>
          <w:sz w:val="22"/>
          <w:szCs w:val="22"/>
        </w:rPr>
        <w:t xml:space="preserve">4.2  Non-Solicitation of Business Relationships. During the term of this Agreement and for a period of 24 (twenty-four) months following its termination or expiry, the Receiving Party shall not, directly or indirectly:</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Solicit, divert, or attempt to divert the business of any client, customer, government partner, DFI relationship, investor, or employer partner of G.O.D.S Holdings of whom the Receiving Party became aware through the disclosure of Confidential Information;</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Interfere with, disrupt, or attempt to disrupt any business relationship between G.O.D.S Holdings and any of its clients, partners, investors, government counterparties, or suppliers.</w:t>
      </w:r>
    </w:p>
    <w:p>
      <w:r>
        <w:t xml:space="preserve"/>
      </w:r>
    </w:p>
    <w:p>
      <w:pPr>
        <w:spacing w:after="100" w:before="80" w:line="280"/>
        <w:jc w:val="both"/>
      </w:pPr>
      <w:r>
        <w:rPr>
          <w:rFonts w:ascii="Arial" w:cs="Arial" w:eastAsia="Arial" w:hAnsi="Arial"/>
          <w:b w:val="false"/>
          <w:bCs w:val="false"/>
          <w:i w:val="false"/>
          <w:iCs w:val="false"/>
          <w:color w:val="4A4A4A"/>
          <w:sz w:val="22"/>
          <w:szCs w:val="22"/>
        </w:rPr>
        <w:t xml:space="preserve">4.3  Non-Circumvention. The Receiving Party agrees not to circumvent, avoid, bypass, or obviate the interests of G.O.D.S Holdings in connection with any transaction, opportunity, or relationship that the Receiving Party became aware of through the disclosure of Confidential Information. The Receiving Party shall not approach, contact, or enter into any arrangement with any government body, DFI, investor, employer partner, or other third party introduced or identified through the Confidential Information without the prior written consent of G.O.D.S Holdings.</w:t>
      </w:r>
    </w:p>
    <w:p>
      <w:pPr>
        <w:spacing w:after="100" w:before="80" w:line="280"/>
        <w:jc w:val="both"/>
      </w:pPr>
      <w:r>
        <w:rPr>
          <w:rFonts w:ascii="Arial" w:cs="Arial" w:eastAsia="Arial" w:hAnsi="Arial"/>
          <w:b w:val="false"/>
          <w:bCs w:val="false"/>
          <w:i w:val="false"/>
          <w:iCs w:val="false"/>
          <w:color w:val="4A4A4A"/>
          <w:sz w:val="22"/>
          <w:szCs w:val="22"/>
        </w:rPr>
        <w:t xml:space="preserve">4.4  Non-Competition. During the term of this Agreement, the Receiving Party shall not, directly or indirectly, develop, design, build, invest in, advise, or assist any person or entity in developing or operating a product or service that is competitive with the UDOC Sovereign AI Governance Platform, the EVA engine, the HQ-OS system, the S.E.T.H.S programme, the T.S Industries operations, or the M.A.D.I.B.A capital platform, using any information, concepts, architectural approaches, or methodologies derived from or informed by the Confidential Information.</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5 — INTELLECTUAL PROPERTY AND OWNERSHIP</w:t>
      </w:r>
    </w:p>
    <w:p>
      <w:pPr>
        <w:spacing w:after="100" w:before="80" w:line="280"/>
        <w:jc w:val="both"/>
      </w:pPr>
      <w:r>
        <w:rPr>
          <w:rFonts w:ascii="Arial" w:cs="Arial" w:eastAsia="Arial" w:hAnsi="Arial"/>
          <w:b w:val="false"/>
          <w:bCs w:val="false"/>
          <w:i w:val="false"/>
          <w:iCs w:val="false"/>
          <w:color w:val="4A4A4A"/>
          <w:sz w:val="22"/>
          <w:szCs w:val="22"/>
        </w:rPr>
        <w:t xml:space="preserve">5.1  Ownership. All Confidential Information, and all intellectual property rights subsisting therein, shall at all times remain the exclusive property of G.O.D.S Holdings (Pty) Ltd. Nothing in this Agreement shall be construed as transferring, assigning, or licensing any intellectual property rights to the Receiving Party.</w:t>
      </w:r>
    </w:p>
    <w:p>
      <w:pPr>
        <w:spacing w:after="100" w:before="80" w:line="280"/>
        <w:jc w:val="both"/>
      </w:pPr>
      <w:r>
        <w:rPr>
          <w:rFonts w:ascii="Arial" w:cs="Arial" w:eastAsia="Arial" w:hAnsi="Arial"/>
          <w:b w:val="false"/>
          <w:bCs w:val="false"/>
          <w:i w:val="false"/>
          <w:iCs w:val="false"/>
          <w:color w:val="4A4A4A"/>
          <w:sz w:val="22"/>
          <w:szCs w:val="22"/>
        </w:rPr>
        <w:t xml:space="preserve">5.2  No Implied Licence. The disclosure of Confidential Information to the Receiving Party shall not be construed as granting any licence, right, title, or interest (express or implied) in or to any patent, trademark, copyright, trade secret, or other intellectual property right of G.O.D.S Holdings.</w:t>
      </w:r>
    </w:p>
    <w:p>
      <w:pPr>
        <w:spacing w:after="100" w:before="80" w:line="280"/>
        <w:jc w:val="both"/>
      </w:pPr>
      <w:r>
        <w:rPr>
          <w:rFonts w:ascii="Arial" w:cs="Arial" w:eastAsia="Arial" w:hAnsi="Arial"/>
          <w:b w:val="false"/>
          <w:bCs w:val="false"/>
          <w:i w:val="false"/>
          <w:iCs w:val="false"/>
          <w:color w:val="4A4A4A"/>
          <w:sz w:val="22"/>
          <w:szCs w:val="22"/>
        </w:rPr>
        <w:t xml:space="preserve">5.3  Derivative Works. If the Receiving Party creates any work, development, or derivative work that incorporates, is based upon, is derived from, or is informed by any Confidential Information, such work shall be deemed to be the sole and exclusive property of G.O.D.S Holdings, and the Receiving Party hereby irrevocably assigns all rights, title, and interest in such work to G.O.D.S Holdings with effect from creation.</w:t>
      </w:r>
    </w:p>
    <w:p>
      <w:pPr>
        <w:spacing w:after="100" w:before="80" w:line="280"/>
        <w:jc w:val="both"/>
      </w:pPr>
      <w:r>
        <w:rPr>
          <w:rFonts w:ascii="Arial" w:cs="Arial" w:eastAsia="Arial" w:hAnsi="Arial"/>
          <w:b w:val="false"/>
          <w:bCs w:val="false"/>
          <w:i w:val="false"/>
          <w:iCs w:val="false"/>
          <w:color w:val="4A4A4A"/>
          <w:sz w:val="22"/>
          <w:szCs w:val="22"/>
        </w:rPr>
        <w:t xml:space="preserve">5.4  Patent Application Prohibition. The Receiving Party expressly warrants that it will not, directly or indirectly, file, procure, support, or assist in the filing of any patent application, trademark application, copyright registration, design registration, or other intellectual property application that discloses, incorporates, or is based upon any Confidential Information, without the prior written consent of G.O.D.S Holdings.</w:t>
      </w:r>
    </w:p>
    <w:p>
      <w:pPr>
        <w:spacing w:after="100" w:before="80" w:line="280"/>
        <w:jc w:val="both"/>
      </w:pPr>
      <w:r>
        <w:rPr>
          <w:rFonts w:ascii="Arial" w:cs="Arial" w:eastAsia="Arial" w:hAnsi="Arial"/>
          <w:b w:val="false"/>
          <w:bCs w:val="false"/>
          <w:i w:val="false"/>
          <w:iCs w:val="false"/>
          <w:color w:val="4A4A4A"/>
          <w:sz w:val="22"/>
          <w:szCs w:val="22"/>
        </w:rPr>
        <w:t xml:space="preserve">5.5  Reverse Engineering Prohibition. The Receiving Party shall not reverse engineer, decompile, disassemble, or attempt to derive the source code, architecture, algorithms, or structure of any software, hardware specification, or system forming part of the Confidential Information.</w:t>
      </w:r>
    </w:p>
    <w:p>
      <w:pPr>
        <w:spacing w:after="100" w:before="80" w:line="280"/>
        <w:jc w:val="both"/>
      </w:pPr>
      <w:r>
        <w:rPr>
          <w:rFonts w:ascii="Arial" w:cs="Arial" w:eastAsia="Arial" w:hAnsi="Arial"/>
          <w:b w:val="false"/>
          <w:bCs w:val="false"/>
          <w:i w:val="false"/>
          <w:iCs w:val="false"/>
          <w:color w:val="4A4A4A"/>
          <w:sz w:val="22"/>
          <w:szCs w:val="22"/>
        </w:rPr>
        <w:t xml:space="preserve">5.6  Open Source Restriction. The Receiving Party shall not, under any circumstances, publish, contribute, or otherwise make available any Confidential Information (or any work derived therefrom) under any open source licence, creative commons licence, or any other licence that would require G.O.D.S Holdings to make its proprietary information available to third parties.</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6 — DATA PROTECTION AND POPIA COMPLIANCE</w:t>
      </w:r>
    </w:p>
    <w:p>
      <w:pPr>
        <w:spacing w:after="100" w:before="80" w:line="280"/>
        <w:jc w:val="both"/>
      </w:pPr>
      <w:r>
        <w:rPr>
          <w:rFonts w:ascii="Arial" w:cs="Arial" w:eastAsia="Arial" w:hAnsi="Arial"/>
          <w:b w:val="false"/>
          <w:bCs w:val="false"/>
          <w:i w:val="false"/>
          <w:iCs w:val="false"/>
          <w:color w:val="4A4A4A"/>
          <w:sz w:val="22"/>
          <w:szCs w:val="22"/>
        </w:rPr>
        <w:t xml:space="preserve">6.1  POPIA Compliance. The Parties acknowledge that any Personal Information disclosed under this Agreement must be processed in full compliance with the Protection of Personal Information Act 4 of 2013 ("POPIA") and all regulations promulgated thereunder.</w:t>
      </w:r>
    </w:p>
    <w:p>
      <w:pPr>
        <w:spacing w:after="100" w:before="80" w:line="280"/>
        <w:jc w:val="both"/>
      </w:pPr>
      <w:r>
        <w:rPr>
          <w:rFonts w:ascii="Arial" w:cs="Arial" w:eastAsia="Arial" w:hAnsi="Arial"/>
          <w:b w:val="false"/>
          <w:bCs w:val="false"/>
          <w:i w:val="false"/>
          <w:iCs w:val="false"/>
          <w:color w:val="4A4A4A"/>
          <w:sz w:val="22"/>
          <w:szCs w:val="22"/>
        </w:rPr>
        <w:t xml:space="preserve">6.2  Processing Limitation. The Receiving Party shall:</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Process any Personal Information received as Confidential Information only to the extent necessary for the Purpose and for no other purpose;</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Not retain Personal Information for longer than is necessary for the Purpose;</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Implement appropriate technical and organisational measures to protect Personal Information against unauthorised access, disclosure, loss, or destruction;</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Not transfer Personal Information to any jurisdiction outside the Republic of South Africa without the prior written consent of G.O.D.S Holdings and without ensuring adequate data protection safeguards are in place;</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Immediately notify G.O.D.S Holdings in writing upon becoming aware of any actual or suspected breach of Personal Information security, providing full details of the breach, the Personal Information affected, and the remediation steps taken or proposed.</w:t>
      </w:r>
    </w:p>
    <w:p>
      <w:pPr>
        <w:spacing w:after="100" w:before="80" w:line="280"/>
        <w:jc w:val="both"/>
      </w:pPr>
      <w:r>
        <w:rPr>
          <w:rFonts w:ascii="Arial" w:cs="Arial" w:eastAsia="Arial" w:hAnsi="Arial"/>
          <w:b w:val="false"/>
          <w:bCs w:val="false"/>
          <w:i w:val="false"/>
          <w:iCs w:val="false"/>
          <w:color w:val="4A4A4A"/>
          <w:sz w:val="22"/>
          <w:szCs w:val="22"/>
        </w:rPr>
        <w:t xml:space="preserve">6.3  Data Subject Rights. The Receiving Party shall assist G.O.D.S Holdings in responding to data subject access requests and other data subject rights under POPIA in respect of any Personal Information processed by the Receiving Party pursuant to this Agreement.</w:t>
      </w:r>
    </w:p>
    <w:p>
      <w:pPr>
        <w:spacing w:after="100" w:before="80" w:line="280"/>
        <w:jc w:val="both"/>
      </w:pPr>
      <w:r>
        <w:rPr>
          <w:rFonts w:ascii="Arial" w:cs="Arial" w:eastAsia="Arial" w:hAnsi="Arial"/>
          <w:b w:val="false"/>
          <w:bCs w:val="false"/>
          <w:i w:val="false"/>
          <w:iCs w:val="false"/>
          <w:color w:val="4A4A4A"/>
          <w:sz w:val="22"/>
          <w:szCs w:val="22"/>
        </w:rPr>
        <w:t xml:space="preserve">6.4  Special Personal Information. The Receiving Party acknowledges that the S.E.T.H.S programme involves Special Personal Information as defined in Section 26 of POPIA (including health information, criminal records, and biometric data) and that such information must be treated with the highest level of protection required under POPIA, with access strictly limited to the minimum necessary for the Purpose.</w:t>
      </w:r>
    </w:p>
    <w:p>
      <w:pPr>
        <w:spacing w:after="100" w:before="80" w:line="280"/>
        <w:jc w:val="both"/>
      </w:pPr>
      <w:r>
        <w:rPr>
          <w:rFonts w:ascii="Arial" w:cs="Arial" w:eastAsia="Arial" w:hAnsi="Arial"/>
          <w:b w:val="false"/>
          <w:bCs w:val="false"/>
          <w:i w:val="false"/>
          <w:iCs w:val="false"/>
          <w:color w:val="4A4A4A"/>
          <w:sz w:val="22"/>
          <w:szCs w:val="22"/>
        </w:rPr>
        <w:t xml:space="preserve">6.5  SA AI Policy Alignment. The Receiving Party acknowledges that the Confidential Information is subject to, and G.O.D.S Holdings operates under, the Draft South African National AI Policy (Government Gazette No.54477) and any regulations promulgated thereunder. The Receiving Party shall not use the Confidential Information in any manner that would cause G.O.D.S Holdings to breach its obligations under applicable South African AI governance legislation.</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7 — TERM AND TERMINATION</w:t>
      </w:r>
    </w:p>
    <w:p>
      <w:pPr>
        <w:spacing w:after="100" w:before="80" w:line="280"/>
        <w:jc w:val="both"/>
      </w:pPr>
      <w:r>
        <w:rPr>
          <w:rFonts w:ascii="Arial" w:cs="Arial" w:eastAsia="Arial" w:hAnsi="Arial"/>
          <w:b w:val="false"/>
          <w:bCs w:val="false"/>
          <w:i w:val="false"/>
          <w:iCs w:val="false"/>
          <w:color w:val="4A4A4A"/>
          <w:sz w:val="22"/>
          <w:szCs w:val="22"/>
        </w:rPr>
        <w:t xml:space="preserve">7.1  Term. This Agreement shall commence on the Effective Date and shall continue in full force and effect for a period of 5 (five) years, unless terminated earlier in accordance with this Clause 7.</w:t>
      </w:r>
    </w:p>
    <w:p>
      <w:pPr>
        <w:spacing w:after="100" w:before="80" w:line="280"/>
        <w:jc w:val="both"/>
      </w:pPr>
      <w:r>
        <w:rPr>
          <w:rFonts w:ascii="Arial" w:cs="Arial" w:eastAsia="Arial" w:hAnsi="Arial"/>
          <w:b w:val="false"/>
          <w:bCs w:val="false"/>
          <w:i w:val="false"/>
          <w:iCs w:val="false"/>
          <w:color w:val="4A4A4A"/>
          <w:sz w:val="22"/>
          <w:szCs w:val="22"/>
        </w:rPr>
        <w:t xml:space="preserve">7.2  Termination by Notice. Either Party may terminate this Agreement at any time by giving 30 (thirty) days' written notice to the other Party. Termination shall not affect any obligations that have already accrued.</w:t>
      </w:r>
    </w:p>
    <w:p>
      <w:pPr>
        <w:spacing w:after="100" w:before="80" w:line="280"/>
        <w:jc w:val="both"/>
      </w:pPr>
      <w:r>
        <w:rPr>
          <w:rFonts w:ascii="Arial" w:cs="Arial" w:eastAsia="Arial" w:hAnsi="Arial"/>
          <w:b w:val="false"/>
          <w:bCs w:val="false"/>
          <w:i w:val="false"/>
          <w:iCs w:val="false"/>
          <w:color w:val="4A4A4A"/>
          <w:sz w:val="22"/>
          <w:szCs w:val="22"/>
        </w:rPr>
        <w:t xml:space="preserve">7.3  Termination for Breach. G.O.D.S Holdings may terminate this Agreement immediately upon written notice if the Receiving Party:</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Commits a material breach of any provision of this Agreement and fails to remedy such breach within 5 (five) business days of receiving written notice from G.O.D.S Holdings requiring it to do so;</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Commits any breach of Clause 3 (Confidentiality Obligations), Clause 4 (Non-Solicitation and Non-Circumvention), Clause 5 (Intellectual Property), or Clause 6 (Data Protection) — which the Parties agree are material breaches that cannot be remedied;</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Becomes insolvent, enters into provisional or final liquidation, business rescue, or any analogous proceedings;</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Is convicted of any criminal offence or found to have engaged in fraudulent, dishonest, or unconscionable conduct.</w:t>
      </w:r>
    </w:p>
    <w:p>
      <w:pPr>
        <w:spacing w:after="100" w:before="80" w:line="280"/>
        <w:jc w:val="both"/>
      </w:pPr>
      <w:r>
        <w:rPr>
          <w:rFonts w:ascii="Arial" w:cs="Arial" w:eastAsia="Arial" w:hAnsi="Arial"/>
          <w:b w:val="false"/>
          <w:bCs w:val="false"/>
          <w:i w:val="false"/>
          <w:iCs w:val="false"/>
          <w:color w:val="4A4A4A"/>
          <w:sz w:val="22"/>
          <w:szCs w:val="22"/>
        </w:rPr>
        <w:t xml:space="preserve">7.4  Survival of Obligations. The following obligations shall survive termination or expiry of this Agreement:</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The confidentiality obligations in Clause 3 shall survive for a period of 5 (five) years after termination or expiry;</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All obligations relating to Trade Secrets shall survive indefinitely;</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The intellectual property provisions in Clause 5 shall survive indefinitely;</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The non-solicitation and non-circumvention provisions in Clause 4 shall survive for 24 (twenty-four) months after termination or expiry;</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The data protection obligations in Clause 6 shall survive until all Personal Information has been deleted or returned;</w:t>
      </w:r>
    </w:p>
    <w:p>
      <w:pPr>
        <w:spacing w:after="80" w:before="80" w:line="280"/>
        <w:ind w:left="1080" w:hanging="360"/>
        <w:jc w:val="both"/>
      </w:pPr>
      <w:r>
        <w:rPr>
          <w:rFonts w:ascii="Arial" w:cs="Arial" w:eastAsia="Arial" w:hAnsi="Arial"/>
          <w:b/>
          <w:bCs/>
          <w:color w:val="2C5F8A"/>
          <w:sz w:val="22"/>
          <w:szCs w:val="22"/>
        </w:rPr>
        <w:t xml:space="preserve">(f)	</w:t>
      </w:r>
      <w:r>
        <w:rPr>
          <w:rFonts w:ascii="Arial" w:cs="Arial" w:eastAsia="Arial" w:hAnsi="Arial"/>
          <w:color w:val="4A4A4A"/>
          <w:sz w:val="22"/>
          <w:szCs w:val="22"/>
        </w:rPr>
        <w:t xml:space="preserve">All provisions relating to remedies, indemnification, and dispute resolution shall survive indefinitely.</w:t>
      </w:r>
    </w:p>
    <w:p>
      <w:pPr>
        <w:spacing w:after="100" w:before="80" w:line="280"/>
        <w:jc w:val="both"/>
      </w:pPr>
      <w:r>
        <w:rPr>
          <w:rFonts w:ascii="Arial" w:cs="Arial" w:eastAsia="Arial" w:hAnsi="Arial"/>
          <w:b w:val="false"/>
          <w:bCs w:val="false"/>
          <w:i w:val="false"/>
          <w:iCs w:val="false"/>
          <w:color w:val="4A4A4A"/>
          <w:sz w:val="22"/>
          <w:szCs w:val="22"/>
        </w:rPr>
        <w:t xml:space="preserve">7.5  Return and Destruction of Confidential Information. Upon termination or expiry of this Agreement, or upon request by G.O.D.S Holdings at any time:</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The Receiving Party shall immediately return to G.O.D.S Holdings all tangible materials containing Confidential Information;</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The Receiving Party shall permanently and securely delete or destroy all electronic copies of Confidential Information in its possession or control, including all backups, and shall certify in writing that it has done so within 5 (five) business days of such request;</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The Receiving Party shall procure that all Authorised Recipients similarly return, delete, or destroy all Confidential Information in their possession;</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The Receiving Party may retain one archival copy of Confidential Information solely to the extent required by applicable law, subject to ongoing confidentiality obligations.</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8 — REMEDIES AND CONSEQUENCES OF BREACH</w:t>
      </w:r>
    </w:p>
    <w:p>
      <w:pPr>
        <w:spacing w:after="100" w:before="80" w:line="280"/>
        <w:jc w:val="both"/>
      </w:pPr>
      <w:r>
        <w:rPr>
          <w:rFonts w:ascii="Arial" w:cs="Arial" w:eastAsia="Arial" w:hAnsi="Arial"/>
          <w:b w:val="false"/>
          <w:bCs w:val="false"/>
          <w:i w:val="false"/>
          <w:iCs w:val="false"/>
          <w:color w:val="4A4A4A"/>
          <w:sz w:val="22"/>
          <w:szCs w:val="22"/>
        </w:rPr>
        <w:t xml:space="preserve">8.1  Acknowledgement of Harm. The Receiving Party expressly acknowledges and agrees that:</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Any breach or threatened breach of this Agreement would cause irreparable harm and damage to G.O.D.S Holdings for which monetary compensation would be an inadequate remedy;</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G.O.D.S Holdings shall be entitled to seek immediate interdict (injunctive relief), specific performance, or any other equitable remedy from any court of competent jurisdiction, without the need to post security and without prejudice to any other remedy available;</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G.O.D.S Holdings shall not be required to establish actual damages or that monetary damages would be inadequate as a condition of obtaining equitable relief.</w:t>
      </w:r>
    </w:p>
    <w:p>
      <w:pPr>
        <w:spacing w:after="100" w:before="80" w:line="280"/>
        <w:jc w:val="both"/>
      </w:pPr>
      <w:r>
        <w:rPr>
          <w:rFonts w:ascii="Arial" w:cs="Arial" w:eastAsia="Arial" w:hAnsi="Arial"/>
          <w:b w:val="false"/>
          <w:bCs w:val="false"/>
          <w:i w:val="false"/>
          <w:iCs w:val="false"/>
          <w:color w:val="4A4A4A"/>
          <w:sz w:val="22"/>
          <w:szCs w:val="22"/>
        </w:rPr>
        <w:t xml:space="preserve">8.2  Damages. Without limiting Clause 8.1, the Receiving Party shall be liable to G.O.D.S Holdings for all actual, direct, indirect, consequential, special, and incidental loss or damage arising from any breach of this Agreement, including:</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Loss of profits, revenue, and business opportunity;</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Loss of competitive advantage and market position;</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Costs of remediation, investigation, and security measures;</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Legal costs on an attorney-and-own-client scale;</w:t>
      </w:r>
    </w:p>
    <w:p>
      <w:pPr>
        <w:spacing w:after="80" w:before="80" w:line="280"/>
        <w:ind w:left="1080" w:hanging="360"/>
        <w:jc w:val="both"/>
      </w:pPr>
      <w:r>
        <w:rPr>
          <w:rFonts w:ascii="Arial" w:cs="Arial" w:eastAsia="Arial" w:hAnsi="Arial"/>
          <w:b/>
          <w:bCs/>
          <w:color w:val="2C5F8A"/>
          <w:sz w:val="22"/>
          <w:szCs w:val="22"/>
        </w:rPr>
        <w:t xml:space="preserve">(e)	</w:t>
      </w:r>
      <w:r>
        <w:rPr>
          <w:rFonts w:ascii="Arial" w:cs="Arial" w:eastAsia="Arial" w:hAnsi="Arial"/>
          <w:color w:val="4A4A4A"/>
          <w:sz w:val="22"/>
          <w:szCs w:val="22"/>
        </w:rPr>
        <w:t xml:space="preserve">Reputational damage and loss of goodwill;</w:t>
      </w:r>
    </w:p>
    <w:p>
      <w:pPr>
        <w:spacing w:after="80" w:before="80" w:line="280"/>
        <w:ind w:left="1080" w:hanging="360"/>
        <w:jc w:val="both"/>
      </w:pPr>
      <w:r>
        <w:rPr>
          <w:rFonts w:ascii="Arial" w:cs="Arial" w:eastAsia="Arial" w:hAnsi="Arial"/>
          <w:b/>
          <w:bCs/>
          <w:color w:val="2C5F8A"/>
          <w:sz w:val="22"/>
          <w:szCs w:val="22"/>
        </w:rPr>
        <w:t xml:space="preserve">(f)	</w:t>
      </w:r>
      <w:r>
        <w:rPr>
          <w:rFonts w:ascii="Arial" w:cs="Arial" w:eastAsia="Arial" w:hAnsi="Arial"/>
          <w:color w:val="4A4A4A"/>
          <w:sz w:val="22"/>
          <w:szCs w:val="22"/>
        </w:rPr>
        <w:t xml:space="preserve">Any regulatory fines or penalties incurred by G.O.D.S Holdings as a result of the breach.</w:t>
      </w:r>
    </w:p>
    <w:p>
      <w:pPr>
        <w:spacing w:after="100" w:before="80" w:line="280"/>
        <w:jc w:val="both"/>
      </w:pPr>
      <w:r>
        <w:rPr>
          <w:rFonts w:ascii="Arial" w:cs="Arial" w:eastAsia="Arial" w:hAnsi="Arial"/>
          <w:b w:val="false"/>
          <w:bCs w:val="false"/>
          <w:i w:val="false"/>
          <w:iCs w:val="false"/>
          <w:color w:val="4A4A4A"/>
          <w:sz w:val="22"/>
          <w:szCs w:val="22"/>
        </w:rPr>
        <w:t xml:space="preserve">8.3  Penalty. Without prejudice to any other remedy, and as a genuine pre-estimate of harm that would be suffered by G.O.D.S Holdings in the event of a breach of Clause 3, 4, or 5 of this Agreement (and not as a penalty), the Receiving Party agrees to pay G.O.D.S Holdings a liquidated penalty of ZAR 5,000,000 (five million Rand) per material breach. The Parties agree that this amount represents a genuine pre-estimate of the minimum harm likely to be suffered by G.O.D.S Holdings and that it is not a penalty but rather a genuine contractual penalty as contemplated by the Conventional Penalties Act 15 of 1962. This penalty is in addition to, and not in substitution for, any other remedy available to G.O.D.S Holdings.</w:t>
      </w:r>
    </w:p>
    <w:p>
      <w:pPr>
        <w:spacing w:after="100" w:before="80" w:line="280"/>
        <w:jc w:val="both"/>
      </w:pPr>
      <w:r>
        <w:rPr>
          <w:rFonts w:ascii="Arial" w:cs="Arial" w:eastAsia="Arial" w:hAnsi="Arial"/>
          <w:b w:val="false"/>
          <w:bCs w:val="false"/>
          <w:i w:val="false"/>
          <w:iCs w:val="false"/>
          <w:color w:val="4A4A4A"/>
          <w:sz w:val="22"/>
          <w:szCs w:val="22"/>
        </w:rPr>
        <w:t xml:space="preserve">8.4  Indemnity. The Receiving Party shall indemnify, defend, and hold harmless G.O.D.S Holdings and its directors, officers, employees, and affiliates from and against any and all claims, proceedings, losses, damages, costs (including legal costs on an attorney-and-own-client scale), and expenses arising from or relating to any breach of this Agreement by the Receiving Party or its Representatives.</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9 — REPRESENTATIONS AND WARRANTIES</w:t>
      </w:r>
    </w:p>
    <w:p>
      <w:pPr>
        <w:spacing w:after="100" w:before="80" w:line="280"/>
        <w:jc w:val="both"/>
      </w:pPr>
      <w:r>
        <w:rPr>
          <w:rFonts w:ascii="Arial" w:cs="Arial" w:eastAsia="Arial" w:hAnsi="Arial"/>
          <w:b w:val="false"/>
          <w:bCs w:val="false"/>
          <w:i w:val="false"/>
          <w:iCs w:val="false"/>
          <w:color w:val="4A4A4A"/>
          <w:sz w:val="22"/>
          <w:szCs w:val="22"/>
        </w:rPr>
        <w:t xml:space="preserve">9.1  Each Party represents and warrants to the other Party that:</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It has the full legal capacity, power, and authority to enter into this Agreement and to perform its obligations hereunder;</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This Agreement constitutes a valid, binding, and enforceable obligation of the relevant Party;</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The execution of this Agreement and the performance of its obligations hereunder do not and will not conflict with or contravene any applicable law, regulation, or court order, or any contract or agreement to which it is a party;</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No consent, approval, or authorisation from any third party or governmental authority is required for its execution and performance of this Agreement that has not already been obtained.</w:t>
      </w:r>
    </w:p>
    <w:p>
      <w:pPr>
        <w:spacing w:after="100" w:before="80" w:line="280"/>
        <w:jc w:val="both"/>
      </w:pPr>
      <w:r>
        <w:rPr>
          <w:rFonts w:ascii="Arial" w:cs="Arial" w:eastAsia="Arial" w:hAnsi="Arial"/>
          <w:b w:val="false"/>
          <w:bCs w:val="false"/>
          <w:i w:val="false"/>
          <w:iCs w:val="false"/>
          <w:color w:val="4A4A4A"/>
          <w:sz w:val="22"/>
          <w:szCs w:val="22"/>
        </w:rPr>
        <w:t xml:space="preserve">9.2  The Receiving Party additionally represents and warrants to G.O.D.S Holdings that:</w:t>
      </w:r>
    </w:p>
    <w:p>
      <w:pPr>
        <w:spacing w:after="80" w:before="80" w:line="280"/>
        <w:ind w:left="1080" w:hanging="360"/>
        <w:jc w:val="both"/>
      </w:pPr>
      <w:r>
        <w:rPr>
          <w:rFonts w:ascii="Arial" w:cs="Arial" w:eastAsia="Arial" w:hAnsi="Arial"/>
          <w:b/>
          <w:bCs/>
          <w:color w:val="2C5F8A"/>
          <w:sz w:val="22"/>
          <w:szCs w:val="22"/>
        </w:rPr>
        <w:t xml:space="preserve">(a)	</w:t>
      </w:r>
      <w:r>
        <w:rPr>
          <w:rFonts w:ascii="Arial" w:cs="Arial" w:eastAsia="Arial" w:hAnsi="Arial"/>
          <w:color w:val="4A4A4A"/>
          <w:sz w:val="22"/>
          <w:szCs w:val="22"/>
        </w:rPr>
        <w:t xml:space="preserve">It does not currently and will not, as a result of receiving the Confidential Information, enter into any transaction that would constitute a conflict of interest with G.O.D.S Holdings without prior written disclosure and consent;</w:t>
      </w:r>
    </w:p>
    <w:p>
      <w:pPr>
        <w:spacing w:after="80" w:before="80" w:line="280"/>
        <w:ind w:left="1080" w:hanging="360"/>
        <w:jc w:val="both"/>
      </w:pPr>
      <w:r>
        <w:rPr>
          <w:rFonts w:ascii="Arial" w:cs="Arial" w:eastAsia="Arial" w:hAnsi="Arial"/>
          <w:b/>
          <w:bCs/>
          <w:color w:val="2C5F8A"/>
          <w:sz w:val="22"/>
          <w:szCs w:val="22"/>
        </w:rPr>
        <w:t xml:space="preserve">(b)	</w:t>
      </w:r>
      <w:r>
        <w:rPr>
          <w:rFonts w:ascii="Arial" w:cs="Arial" w:eastAsia="Arial" w:hAnsi="Arial"/>
          <w:color w:val="4A4A4A"/>
          <w:sz w:val="22"/>
          <w:szCs w:val="22"/>
        </w:rPr>
        <w:t xml:space="preserve">It has not been convicted of any offence under the Prevention and Combating of Corrupt Activities Act 12 of 2004, the Financial Intelligence Centre Act 38 of 2001, or any analogous legislation in any jurisdiction;</w:t>
      </w:r>
    </w:p>
    <w:p>
      <w:pPr>
        <w:spacing w:after="80" w:before="80" w:line="280"/>
        <w:ind w:left="1080" w:hanging="360"/>
        <w:jc w:val="both"/>
      </w:pPr>
      <w:r>
        <w:rPr>
          <w:rFonts w:ascii="Arial" w:cs="Arial" w:eastAsia="Arial" w:hAnsi="Arial"/>
          <w:b/>
          <w:bCs/>
          <w:color w:val="2C5F8A"/>
          <w:sz w:val="22"/>
          <w:szCs w:val="22"/>
        </w:rPr>
        <w:t xml:space="preserve">(c)	</w:t>
      </w:r>
      <w:r>
        <w:rPr>
          <w:rFonts w:ascii="Arial" w:cs="Arial" w:eastAsia="Arial" w:hAnsi="Arial"/>
          <w:color w:val="4A4A4A"/>
          <w:sz w:val="22"/>
          <w:szCs w:val="22"/>
        </w:rPr>
        <w:t xml:space="preserve">It is not subject to any sanctions, debarment, or exclusion from doing business with any government body or financial institution;</w:t>
      </w:r>
    </w:p>
    <w:p>
      <w:pPr>
        <w:spacing w:after="80" w:before="80" w:line="280"/>
        <w:ind w:left="1080" w:hanging="360"/>
        <w:jc w:val="both"/>
      </w:pPr>
      <w:r>
        <w:rPr>
          <w:rFonts w:ascii="Arial" w:cs="Arial" w:eastAsia="Arial" w:hAnsi="Arial"/>
          <w:b/>
          <w:bCs/>
          <w:color w:val="2C5F8A"/>
          <w:sz w:val="22"/>
          <w:szCs w:val="22"/>
        </w:rPr>
        <w:t xml:space="preserve">(d)	</w:t>
      </w:r>
      <w:r>
        <w:rPr>
          <w:rFonts w:ascii="Arial" w:cs="Arial" w:eastAsia="Arial" w:hAnsi="Arial"/>
          <w:color w:val="4A4A4A"/>
          <w:sz w:val="22"/>
          <w:szCs w:val="22"/>
        </w:rPr>
        <w:t xml:space="preserve">It will promptly disclose to G.O.D.S Holdings any circumstances that arise during the term of this Agreement that would cause any of its representations and warranties to become untrue or misleading.</w:t>
      </w:r>
    </w:p>
    <w:p>
      <w:pPr>
        <w:spacing w:after="100" w:before="80" w:line="280"/>
        <w:jc w:val="both"/>
      </w:pPr>
      <w:r>
        <w:rPr>
          <w:rFonts w:ascii="Arial" w:cs="Arial" w:eastAsia="Arial" w:hAnsi="Arial"/>
          <w:b w:val="false"/>
          <w:bCs w:val="false"/>
          <w:i w:val="false"/>
          <w:iCs w:val="false"/>
          <w:color w:val="4A4A4A"/>
          <w:sz w:val="22"/>
          <w:szCs w:val="22"/>
        </w:rPr>
        <w:t xml:space="preserve">9.3  G.O.D.S Holdings warrants that it has the right to disclose the Confidential Information to the Receiving Party for the Purpose, but makes no other warranty regarding the accuracy, completeness, or fitness for any purpose of the Confidential Information. The Confidential Information is provided on an "as is" basis. G.O.D.S Holdings shall not be liable for any decision made by the Receiving Party in reliance on the Confidential Information.</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CLAUSE 10 — GENERAL PROVISIONS</w:t>
      </w:r>
    </w:p>
    <w:p>
      <w:pPr>
        <w:spacing w:after="100" w:before="80" w:line="280"/>
        <w:jc w:val="both"/>
      </w:pPr>
      <w:r>
        <w:rPr>
          <w:rFonts w:ascii="Arial" w:cs="Arial" w:eastAsia="Arial" w:hAnsi="Arial"/>
          <w:b w:val="false"/>
          <w:bCs w:val="false"/>
          <w:i w:val="false"/>
          <w:iCs w:val="false"/>
          <w:color w:val="4A4A4A"/>
          <w:sz w:val="22"/>
          <w:szCs w:val="22"/>
        </w:rPr>
        <w:t xml:space="preserve">10.1  Governing Law. This Agreement shall be governed by and construed in accordance with the laws of the Republic of South Africa.</w:t>
      </w:r>
    </w:p>
    <w:p>
      <w:pPr>
        <w:spacing w:after="100" w:before="80" w:line="280"/>
        <w:jc w:val="both"/>
      </w:pPr>
      <w:r>
        <w:rPr>
          <w:rFonts w:ascii="Arial" w:cs="Arial" w:eastAsia="Arial" w:hAnsi="Arial"/>
          <w:b w:val="false"/>
          <w:bCs w:val="false"/>
          <w:i w:val="false"/>
          <w:iCs w:val="false"/>
          <w:color w:val="4A4A4A"/>
          <w:sz w:val="22"/>
          <w:szCs w:val="22"/>
        </w:rPr>
        <w:t xml:space="preserve">10.2  Jurisdiction. The Parties hereby irrevocably submit to the exclusive jurisdiction of the High Court of South Africa, Gauteng Local Division, Johannesburg, for the resolution of all disputes arising out of or in connection with this Agreement, provided that either Party may seek urgent or interlocutory relief in any court of competent jurisdiction.</w:t>
      </w:r>
    </w:p>
    <w:p>
      <w:pPr>
        <w:spacing w:after="100" w:before="80" w:line="280"/>
        <w:jc w:val="both"/>
      </w:pPr>
      <w:r>
        <w:rPr>
          <w:rFonts w:ascii="Arial" w:cs="Arial" w:eastAsia="Arial" w:hAnsi="Arial"/>
          <w:b w:val="false"/>
          <w:bCs w:val="false"/>
          <w:i w:val="false"/>
          <w:iCs w:val="false"/>
          <w:color w:val="4A4A4A"/>
          <w:sz w:val="22"/>
          <w:szCs w:val="22"/>
        </w:rPr>
        <w:t xml:space="preserve">10.3  Dispute Resolution. In the event of any dispute arising from this Agreement, the Parties shall attempt to resolve such dispute by good faith negotiation for a period of 15 (fifteen) business days. If the dispute cannot be resolved by negotiation within such period, either Party may refer the dispute to a mediator agreed upon by the Parties, or, failing agreement within 5 (five) business days, a mediator appointed by the Arbitration Foundation of Southern Africa ("AFSA"). If mediation fails within 30 (thirty) days, either Party may refer the dispute to binding arbitration under the AFSA rules.</w:t>
      </w:r>
    </w:p>
    <w:p>
      <w:pPr>
        <w:spacing w:after="100" w:before="80" w:line="280"/>
        <w:jc w:val="both"/>
      </w:pPr>
      <w:r>
        <w:rPr>
          <w:rFonts w:ascii="Arial" w:cs="Arial" w:eastAsia="Arial" w:hAnsi="Arial"/>
          <w:b w:val="false"/>
          <w:bCs w:val="false"/>
          <w:i w:val="false"/>
          <w:iCs w:val="false"/>
          <w:color w:val="4A4A4A"/>
          <w:sz w:val="22"/>
          <w:szCs w:val="22"/>
        </w:rPr>
        <w:t xml:space="preserve">10.4  Entire Agreement. This Agreement constitutes the entire agreement between the Parties with respect to its subject matter and supersedes all prior oral or written agreements, understandings, representations, or arrangements between the Parties relating to confidentiality and non-disclosure.</w:t>
      </w:r>
    </w:p>
    <w:p>
      <w:pPr>
        <w:spacing w:after="100" w:before="80" w:line="280"/>
        <w:jc w:val="both"/>
      </w:pPr>
      <w:r>
        <w:rPr>
          <w:rFonts w:ascii="Arial" w:cs="Arial" w:eastAsia="Arial" w:hAnsi="Arial"/>
          <w:b w:val="false"/>
          <w:bCs w:val="false"/>
          <w:i w:val="false"/>
          <w:iCs w:val="false"/>
          <w:color w:val="4A4A4A"/>
          <w:sz w:val="22"/>
          <w:szCs w:val="22"/>
        </w:rPr>
        <w:t xml:space="preserve">10.5  Amendments. No amendment or variation of this Agreement shall be of any force or effect unless made in writing and signed by duly authorised representatives of both Parties.</w:t>
      </w:r>
    </w:p>
    <w:p>
      <w:pPr>
        <w:spacing w:after="100" w:before="80" w:line="280"/>
        <w:jc w:val="both"/>
      </w:pPr>
      <w:r>
        <w:rPr>
          <w:rFonts w:ascii="Arial" w:cs="Arial" w:eastAsia="Arial" w:hAnsi="Arial"/>
          <w:b w:val="false"/>
          <w:bCs w:val="false"/>
          <w:i w:val="false"/>
          <w:iCs w:val="false"/>
          <w:color w:val="4A4A4A"/>
          <w:sz w:val="22"/>
          <w:szCs w:val="22"/>
        </w:rPr>
        <w:t xml:space="preserve">10.6  Waiver. No failure or delay by either Party in exercising any right, power, or privilege under this Agreement shall operate as a waiver thereof, nor shall any single or partial exercise of any right, power, or privilege preclude any further or other exercise thereof.</w:t>
      </w:r>
    </w:p>
    <w:p>
      <w:pPr>
        <w:spacing w:after="100" w:before="80" w:line="280"/>
        <w:jc w:val="both"/>
      </w:pPr>
      <w:r>
        <w:rPr>
          <w:rFonts w:ascii="Arial" w:cs="Arial" w:eastAsia="Arial" w:hAnsi="Arial"/>
          <w:b w:val="false"/>
          <w:bCs w:val="false"/>
          <w:i w:val="false"/>
          <w:iCs w:val="false"/>
          <w:color w:val="4A4A4A"/>
          <w:sz w:val="22"/>
          <w:szCs w:val="22"/>
        </w:rPr>
        <w:t xml:space="preserve">10.7  Severability. If any provision of this Agreement is held to be invalid, illegal, or unenforceable under applicable law, such provision shall be modified to the minimum extent necessary to make it valid, legal, and enforceable, and the remaining provisions shall continue in full force and effect.</w:t>
      </w:r>
    </w:p>
    <w:p>
      <w:pPr>
        <w:spacing w:after="100" w:before="80" w:line="280"/>
        <w:jc w:val="both"/>
      </w:pPr>
      <w:r>
        <w:rPr>
          <w:rFonts w:ascii="Arial" w:cs="Arial" w:eastAsia="Arial" w:hAnsi="Arial"/>
          <w:b w:val="false"/>
          <w:bCs w:val="false"/>
          <w:i w:val="false"/>
          <w:iCs w:val="false"/>
          <w:color w:val="4A4A4A"/>
          <w:sz w:val="22"/>
          <w:szCs w:val="22"/>
        </w:rPr>
        <w:t xml:space="preserve">10.8  Assignment. The Receiving Party shall not assign, transfer, novate, or delegate any of its rights or obligations under this Agreement without the prior written consent of G.O.D.S Holdings. G.O.D.S Holdings may assign this Agreement and all rights hereunder to any successor entity, parent company, or entity to which it transfers all or substantially all of its business.</w:t>
      </w:r>
    </w:p>
    <w:p>
      <w:pPr>
        <w:spacing w:after="100" w:before="80" w:line="280"/>
        <w:jc w:val="both"/>
      </w:pPr>
      <w:r>
        <w:rPr>
          <w:rFonts w:ascii="Arial" w:cs="Arial" w:eastAsia="Arial" w:hAnsi="Arial"/>
          <w:b w:val="false"/>
          <w:bCs w:val="false"/>
          <w:i w:val="false"/>
          <w:iCs w:val="false"/>
          <w:color w:val="4A4A4A"/>
          <w:sz w:val="22"/>
          <w:szCs w:val="22"/>
        </w:rPr>
        <w:t xml:space="preserve">10.9  Notices. All notices and other communications under this Agreement shall be in writing and shall be delivered by hand, registered post, or email with read receipt confirmation to the addresses set out on the cover page. Notices shall be deemed received: (a) if by hand, on the date of delivery; (b) if by registered post, 5 (five) business days after posting; (c) if by email, on the date of transmission if sent during business hours, or the next business day if sent outside business hours.</w:t>
      </w:r>
    </w:p>
    <w:p>
      <w:pPr>
        <w:spacing w:after="100" w:before="80" w:line="280"/>
        <w:jc w:val="both"/>
      </w:pPr>
      <w:r>
        <w:rPr>
          <w:rFonts w:ascii="Arial" w:cs="Arial" w:eastAsia="Arial" w:hAnsi="Arial"/>
          <w:b w:val="false"/>
          <w:bCs w:val="false"/>
          <w:i w:val="false"/>
          <w:iCs w:val="false"/>
          <w:color w:val="4A4A4A"/>
          <w:sz w:val="22"/>
          <w:szCs w:val="22"/>
        </w:rPr>
        <w:t xml:space="preserve">10.10  No Agency or Partnership. Nothing in this Agreement shall be construed as creating any agency, partnership, joint venture, franchise, employment, or fiduciary relationship between the Parties.</w:t>
      </w:r>
    </w:p>
    <w:p>
      <w:pPr>
        <w:spacing w:after="100" w:before="80" w:line="280"/>
        <w:jc w:val="both"/>
      </w:pPr>
      <w:r>
        <w:rPr>
          <w:rFonts w:ascii="Arial" w:cs="Arial" w:eastAsia="Arial" w:hAnsi="Arial"/>
          <w:b w:val="false"/>
          <w:bCs w:val="false"/>
          <w:i w:val="false"/>
          <w:iCs w:val="false"/>
          <w:color w:val="4A4A4A"/>
          <w:sz w:val="22"/>
          <w:szCs w:val="22"/>
        </w:rPr>
        <w:t xml:space="preserve">10.11  Counterparts. This Agreement may be signed in one or more counterparts, each of which shall be deemed an original and all of which, taken together, shall constitute one and the same instrument. Electronic signatures shall be binding and have the same legal effect as original handwritten signatures under the Electronic Communications and Transactions Act 25 of 2002.</w:t>
      </w:r>
    </w:p>
    <w:p>
      <w:pPr>
        <w:spacing w:after="100" w:before="80" w:line="280"/>
        <w:jc w:val="both"/>
      </w:pPr>
      <w:r>
        <w:rPr>
          <w:rFonts w:ascii="Arial" w:cs="Arial" w:eastAsia="Arial" w:hAnsi="Arial"/>
          <w:b w:val="false"/>
          <w:bCs w:val="false"/>
          <w:i w:val="false"/>
          <w:iCs w:val="false"/>
          <w:color w:val="4A4A4A"/>
          <w:sz w:val="22"/>
          <w:szCs w:val="22"/>
        </w:rPr>
        <w:t xml:space="preserve">10.12  Costs. Each Party shall bear its own legal costs in connection with the negotiation and execution of this Agreement, unless a dispute arises in which case costs shall be borne as ordered by the relevant court, arbitrator, or mediator.</w:t>
      </w:r>
    </w:p>
    <w:p>
      <w:pPr>
        <w:spacing w:after="100" w:before="80" w:line="280"/>
        <w:jc w:val="both"/>
      </w:pPr>
      <w:r>
        <w:rPr>
          <w:rFonts w:ascii="Arial" w:cs="Arial" w:eastAsia="Arial" w:hAnsi="Arial"/>
          <w:b w:val="false"/>
          <w:bCs w:val="false"/>
          <w:i w:val="false"/>
          <w:iCs w:val="false"/>
          <w:color w:val="4A4A4A"/>
          <w:sz w:val="22"/>
          <w:szCs w:val="22"/>
        </w:rPr>
        <w:t xml:space="preserve">10.13  Constitutional Governance. The Receiving Party acknowledges that G.O.D.S Holdings operates under its 12 Constitutional Pillars, which form the governance backbone of the organisation. The Receiving Party agrees not to act in any manner that would require G.O.D.S Holdings to breach any of its Constitutional Pillars, and acknowledges that any such requirement would constitute a material breach of this Agreement.</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SIGNATURE PAGE</w:t>
      </w:r>
    </w:p>
    <w:p>
      <w:pPr>
        <w:pBdr>
          <w:left w:val="single" w:color="C9A227" w:sz="16" w:space="8"/>
        </w:pBdr>
        <w:shd w:fill="FDF4DC" w:val="clear"/>
        <w:spacing w:after="80" w:before="80"/>
        <w:ind w:left="0"/>
      </w:pPr>
      <w:r>
        <w:rPr>
          <w:rFonts w:ascii="Arial" w:cs="Arial" w:eastAsia="Arial" w:hAnsi="Arial"/>
          <w:color w:val="1A2E4A"/>
          <w:sz w:val="20"/>
          <w:szCs w:val="20"/>
        </w:rPr>
        <w:t xml:space="preserve">IN WITNESS WHEREOF, the Parties have caused this Agreement to be executed by their duly authorised representatives as of the date first written above. This Agreement becomes effective upon signature by the last Party to sign.</w:t>
      </w:r>
    </w:p>
    <w:p>
      <w:r>
        <w:t xml:space="preserve"/>
      </w:r>
    </w:p>
    <w:p>
      <w:pPr>
        <w:pBdr>
          <w:bottom w:val="single" w:color="C9A227" w:sz="6" w:space="2"/>
        </w:pBdr>
        <w:spacing w:after="120" w:before="120"/>
      </w:pPr>
      <w:r>
        <w:t xml:space="preserve"/>
      </w:r>
    </w:p>
    <w:p>
      <w:pPr>
        <w:spacing w:after="100" w:before="80" w:line="280"/>
        <w:jc w:val="both"/>
      </w:pPr>
      <w:r>
        <w:rPr>
          <w:rFonts w:ascii="Arial" w:cs="Arial" w:eastAsia="Arial" w:hAnsi="Arial"/>
          <w:b/>
          <w:bCs/>
          <w:i w:val="false"/>
          <w:iCs w:val="false"/>
          <w:color w:val="4A4A4A"/>
          <w:sz w:val="22"/>
          <w:szCs w:val="22"/>
        </w:rPr>
        <w:t xml:space="preserve">SIGNED for and on behalf of G.O.D.S HOLDINGS (PTY) LTD:</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4860"/>
      </w:tblGrid>
      <w:tr>
        <w:tc>
          <w:tcPr>
            <w:tcW w:type="dxa" w:w="4500"/>
            <w:tcBorders>
              <w:top w:val="none" w:color="FFFFFF" w:sz="0"/>
              <w:left w:val="none" w:color="FFFFFF" w:sz="0"/>
              <w:bottom w:val="none" w:color="FFFFFF" w:sz="0"/>
              <w:right w:val="none" w:color="FFFFFF" w:sz="0"/>
            </w:tcBorders>
            <w:tcMar>
              <w:top w:type="dxa" w:w="200"/>
              <w:left w:type="dxa" w:w="200"/>
              <w:bottom w:type="dxa" w:w="200"/>
              <w:right w:type="dxa" w:w="200"/>
            </w:tcMar>
          </w:tcPr>
          <w:p>
            <w:pPr>
              <w:spacing w:after="60" w:before="60"/>
            </w:pPr>
            <w:r>
              <w:rPr>
                <w:rFonts w:ascii="Arial" w:cs="Arial" w:eastAsia="Arial" w:hAnsi="Arial"/>
                <w:color w:val="4A4A4A"/>
                <w:sz w:val="21"/>
                <w:szCs w:val="21"/>
              </w:rPr>
              <w:t xml:space="preserve">Signature: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Full Name:  Sashin J. Singh</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Designation:  Founder &amp; Systems Architect</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Date: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Capacity:  Duly authorised signatory</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Witness Name: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Witness Signature:  ____________________________</w:t>
            </w:r>
          </w:p>
        </w:tc>
        <w:tc>
          <w:tcPr>
            <w:tcW w:type="dxa" w:w="4860"/>
            <w:tcBorders>
              <w:top w:val="none" w:color="FFFFFF" w:sz="0"/>
              <w:left w:val="none" w:color="FFFFFF" w:sz="0"/>
              <w:bottom w:val="none" w:color="FFFFFF" w:sz="0"/>
              <w:right w:val="none" w:color="FFFFFF" w:sz="0"/>
            </w:tcBorders>
            <w:tcMar>
              <w:top w:type="dxa" w:w="200"/>
              <w:left w:type="dxa" w:w="200"/>
              <w:bottom w:type="dxa" w:w="200"/>
              <w:right w:type="dxa" w:w="200"/>
            </w:tcMar>
          </w:tcPr>
          <w:p>
            <w:pPr>
              <w:spacing w:after="60" w:before="60"/>
            </w:pPr>
            <w:r>
              <w:rPr>
                <w:rFonts w:ascii="Arial" w:cs="Arial" w:eastAsia="Arial" w:hAnsi="Arial"/>
                <w:color w:val="4A4A4A"/>
                <w:sz w:val="21"/>
                <w:szCs w:val="21"/>
              </w:rPr>
              <w:t xml:space="preserve">Company Stamp / Seal:</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Registration No:  [TO BE INSERTED]</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Address:  Johannesburg, South Africa</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Email:  info@gods.systems</w:t>
            </w:r>
          </w:p>
        </w:tc>
      </w:tr>
    </w:tbl>
    <w:p>
      <w:r>
        <w:t xml:space="preserve"/>
      </w:r>
    </w:p>
    <w:p>
      <w:pPr>
        <w:pBdr>
          <w:bottom w:val="single" w:color="C9A227" w:sz="6" w:space="2"/>
        </w:pBdr>
        <w:spacing w:after="120" w:before="120"/>
      </w:pPr>
      <w:r>
        <w:t xml:space="preserve"/>
      </w:r>
    </w:p>
    <w:p>
      <w:pPr>
        <w:spacing w:after="100" w:before="80" w:line="280"/>
        <w:jc w:val="both"/>
      </w:pPr>
      <w:r>
        <w:rPr>
          <w:rFonts w:ascii="Arial" w:cs="Arial" w:eastAsia="Arial" w:hAnsi="Arial"/>
          <w:b/>
          <w:bCs/>
          <w:i w:val="false"/>
          <w:iCs w:val="false"/>
          <w:color w:val="4A4A4A"/>
          <w:sz w:val="22"/>
          <w:szCs w:val="22"/>
        </w:rPr>
        <w:t xml:space="preserve">SIGNED by / for and on behalf of the RECEIVING PARTY:</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4860"/>
      </w:tblGrid>
      <w:tr>
        <w:tc>
          <w:tcPr>
            <w:tcW w:type="dxa" w:w="4500"/>
            <w:tcBorders>
              <w:top w:val="none" w:color="FFFFFF" w:sz="0"/>
              <w:left w:val="none" w:color="FFFFFF" w:sz="0"/>
              <w:bottom w:val="none" w:color="FFFFFF" w:sz="0"/>
              <w:right w:val="none" w:color="FFFFFF" w:sz="0"/>
            </w:tcBorders>
            <w:tcMar>
              <w:top w:type="dxa" w:w="200"/>
              <w:left w:type="dxa" w:w="200"/>
              <w:bottom w:type="dxa" w:w="200"/>
              <w:right w:type="dxa" w:w="200"/>
            </w:tcMar>
          </w:tcPr>
          <w:p>
            <w:pPr>
              <w:spacing w:after="60" w:before="60"/>
            </w:pPr>
            <w:r>
              <w:rPr>
                <w:rFonts w:ascii="Arial" w:cs="Arial" w:eastAsia="Arial" w:hAnsi="Arial"/>
                <w:color w:val="4A4A4A"/>
                <w:sz w:val="21"/>
                <w:szCs w:val="21"/>
              </w:rPr>
              <w:t xml:space="preserve">Signature: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Full Name: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Designation: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Date: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Capacity:  Duly authorised signatory</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Witness Name: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Witness Signature:  ____________________________</w:t>
            </w:r>
          </w:p>
        </w:tc>
        <w:tc>
          <w:tcPr>
            <w:tcW w:type="dxa" w:w="4860"/>
            <w:tcBorders>
              <w:top w:val="none" w:color="FFFFFF" w:sz="0"/>
              <w:left w:val="none" w:color="FFFFFF" w:sz="0"/>
              <w:bottom w:val="none" w:color="FFFFFF" w:sz="0"/>
              <w:right w:val="none" w:color="FFFFFF" w:sz="0"/>
            </w:tcBorders>
            <w:tcMar>
              <w:top w:type="dxa" w:w="200"/>
              <w:left w:type="dxa" w:w="200"/>
              <w:bottom w:type="dxa" w:w="200"/>
              <w:right w:type="dxa" w:w="200"/>
            </w:tcMar>
          </w:tcPr>
          <w:p>
            <w:pPr>
              <w:spacing w:after="60" w:before="60"/>
            </w:pPr>
            <w:r>
              <w:rPr>
                <w:rFonts w:ascii="Arial" w:cs="Arial" w:eastAsia="Arial" w:hAnsi="Arial"/>
                <w:color w:val="4A4A4A"/>
                <w:sz w:val="21"/>
                <w:szCs w:val="21"/>
              </w:rPr>
              <w:t xml:space="preserve">Company Stamp / Seal (if applicable):</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Registration No: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Address:  ____________________________</w:t>
            </w:r>
          </w:p>
          <w:p>
            <w:pPr>
              <w:spacing w:after="60" w:before="60"/>
            </w:pPr>
            <w:r>
              <w:rPr>
                <w:rFonts w:ascii="Arial" w:cs="Arial" w:eastAsia="Arial" w:hAnsi="Arial"/>
                <w:color w:val="4A4A4A"/>
                <w:sz w:val="21"/>
                <w:szCs w:val="21"/>
              </w:rPr>
              <w:t xml:space="preserve"/>
            </w:r>
          </w:p>
          <w:p>
            <w:pPr>
              <w:spacing w:after="60" w:before="60"/>
            </w:pPr>
            <w:r>
              <w:rPr>
                <w:rFonts w:ascii="Arial" w:cs="Arial" w:eastAsia="Arial" w:hAnsi="Arial"/>
                <w:color w:val="4A4A4A"/>
                <w:sz w:val="21"/>
                <w:szCs w:val="21"/>
              </w:rPr>
              <w:t xml:space="preserve">Email:  ____________________________</w:t>
            </w:r>
          </w:p>
        </w:tc>
      </w:tr>
    </w:tbl>
    <w:p>
      <w:r>
        <w:t xml:space="preserve"/>
      </w:r>
    </w:p>
    <w:p>
      <w:pPr>
        <w:pBdr>
          <w:bottom w:val="single" w:color="2C5F8A" w:sz="6" w:space="2"/>
        </w:pBdr>
        <w:spacing w:after="120" w:before="120"/>
      </w:pPr>
      <w:r>
        <w:t xml:space="preserve"/>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SCHEDULE A — AUTHORISED RECIPIENTS REGISTER</w:t>
      </w:r>
    </w:p>
    <w:p>
      <w:pPr>
        <w:spacing w:after="100" w:before="80" w:line="280"/>
        <w:jc w:val="both"/>
      </w:pPr>
      <w:r>
        <w:rPr>
          <w:rFonts w:ascii="Arial" w:cs="Arial" w:eastAsia="Arial" w:hAnsi="Arial"/>
          <w:b w:val="false"/>
          <w:bCs w:val="false"/>
          <w:i w:val="false"/>
          <w:iCs w:val="false"/>
          <w:color w:val="4A4A4A"/>
          <w:sz w:val="22"/>
          <w:szCs w:val="22"/>
        </w:rPr>
        <w:t xml:space="preserve">In accordance with Clause 3.1(b) of this Agreement, the Receiving Party shall maintain a register of all Authorised Recipients. The following persons are approved as Authorised Recipients as at the date of this Agreement: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2200"/>
        <w:gridCol w:w="2000"/>
        <w:gridCol w:w="2460"/>
      </w:tblGrid>
      <w:tr>
        <w:tc>
          <w:tcPr>
            <w:tcW w:type="dxa" w:w="500"/>
            <w:tcBorders>
              <w:top w:val="single" w:color="C0C0C0" w:sz="1"/>
              <w:left w:val="single" w:color="C0C0C0" w:sz="1"/>
              <w:bottom w:val="single" w:color="C0C0C0" w:sz="1"/>
              <w:right w:val="single" w:color="C0C0C0" w:sz="1"/>
            </w:tcBorders>
            <w:shd w:fill="1A2E4A" w:val="clear"/>
            <w:tcMar>
              <w:top w:type="dxa" w:w="80"/>
              <w:left w:type="dxa" w:w="80"/>
              <w:bottom w:type="dxa" w:w="80"/>
              <w:right w:type="dxa" w:w="80"/>
            </w:tcMar>
          </w:tcPr>
          <w:p>
            <w:r>
              <w:rPr>
                <w:rFonts w:ascii="Arial" w:cs="Arial" w:eastAsia="Arial" w:hAnsi="Arial"/>
                <w:b/>
                <w:bCs/>
                <w:color w:val="FFFFFF"/>
                <w:sz w:val="20"/>
                <w:szCs w:val="20"/>
              </w:rPr>
              <w:t xml:space="preserve">#</w:t>
            </w:r>
          </w:p>
        </w:tc>
        <w:tc>
          <w:tcPr>
            <w:tcW w:type="dxa" w:w="2200"/>
            <w:tcBorders>
              <w:top w:val="single" w:color="C0C0C0" w:sz="1"/>
              <w:left w:val="single" w:color="C0C0C0" w:sz="1"/>
              <w:bottom w:val="single" w:color="C0C0C0" w:sz="1"/>
              <w:right w:val="single" w:color="C0C0C0" w:sz="1"/>
            </w:tcBorders>
            <w:shd w:fill="1A2E4A" w:val="clear"/>
            <w:tcMar>
              <w:top w:type="dxa" w:w="80"/>
              <w:left w:type="dxa" w:w="100"/>
              <w:bottom w:type="dxa" w:w="80"/>
              <w:right w:type="dxa" w:w="100"/>
            </w:tcMar>
          </w:tcPr>
          <w:p>
            <w:r>
              <w:rPr>
                <w:rFonts w:ascii="Arial" w:cs="Arial" w:eastAsia="Arial" w:hAnsi="Arial"/>
                <w:b/>
                <w:bCs/>
                <w:color w:val="FFFFFF"/>
                <w:sz w:val="20"/>
                <w:szCs w:val="20"/>
              </w:rPr>
              <w:t xml:space="preserve">Full Name</w:t>
            </w:r>
          </w:p>
        </w:tc>
        <w:tc>
          <w:tcPr>
            <w:tcW w:type="dxa" w:w="2200"/>
            <w:tcBorders>
              <w:top w:val="single" w:color="C0C0C0" w:sz="1"/>
              <w:left w:val="single" w:color="C0C0C0" w:sz="1"/>
              <w:bottom w:val="single" w:color="C0C0C0" w:sz="1"/>
              <w:right w:val="single" w:color="C0C0C0" w:sz="1"/>
            </w:tcBorders>
            <w:shd w:fill="1A2E4A" w:val="clear"/>
            <w:tcMar>
              <w:top w:type="dxa" w:w="80"/>
              <w:left w:type="dxa" w:w="100"/>
              <w:bottom w:type="dxa" w:w="80"/>
              <w:right w:type="dxa" w:w="100"/>
            </w:tcMar>
          </w:tcPr>
          <w:p>
            <w:r>
              <w:rPr>
                <w:rFonts w:ascii="Arial" w:cs="Arial" w:eastAsia="Arial" w:hAnsi="Arial"/>
                <w:b/>
                <w:bCs/>
                <w:color w:val="FFFFFF"/>
                <w:sz w:val="20"/>
                <w:szCs w:val="20"/>
              </w:rPr>
              <w:t xml:space="preserve">Designation / Role</w:t>
            </w:r>
          </w:p>
        </w:tc>
        <w:tc>
          <w:tcPr>
            <w:tcW w:type="dxa" w:w="2000"/>
            <w:tcBorders>
              <w:top w:val="single" w:color="C0C0C0" w:sz="1"/>
              <w:left w:val="single" w:color="C0C0C0" w:sz="1"/>
              <w:bottom w:val="single" w:color="C0C0C0" w:sz="1"/>
              <w:right w:val="single" w:color="C0C0C0" w:sz="1"/>
            </w:tcBorders>
            <w:shd w:fill="1A2E4A" w:val="clear"/>
            <w:tcMar>
              <w:top w:type="dxa" w:w="80"/>
              <w:left w:type="dxa" w:w="100"/>
              <w:bottom w:type="dxa" w:w="80"/>
              <w:right w:type="dxa" w:w="100"/>
            </w:tcMar>
          </w:tcPr>
          <w:p>
            <w:r>
              <w:rPr>
                <w:rFonts w:ascii="Arial" w:cs="Arial" w:eastAsia="Arial" w:hAnsi="Arial"/>
                <w:b/>
                <w:bCs/>
                <w:color w:val="FFFFFF"/>
                <w:sz w:val="20"/>
                <w:szCs w:val="20"/>
              </w:rPr>
              <w:t xml:space="preserve">Email Address</w:t>
            </w:r>
          </w:p>
        </w:tc>
        <w:tc>
          <w:tcPr>
            <w:tcW w:type="dxa" w:w="2460"/>
            <w:tcBorders>
              <w:top w:val="single" w:color="C0C0C0" w:sz="1"/>
              <w:left w:val="single" w:color="C0C0C0" w:sz="1"/>
              <w:bottom w:val="single" w:color="C0C0C0" w:sz="1"/>
              <w:right w:val="single" w:color="C0C0C0" w:sz="1"/>
            </w:tcBorders>
            <w:shd w:fill="1A2E4A" w:val="clear"/>
            <w:tcMar>
              <w:top w:type="dxa" w:w="80"/>
              <w:left w:type="dxa" w:w="100"/>
              <w:bottom w:type="dxa" w:w="80"/>
              <w:right w:type="dxa" w:w="100"/>
            </w:tcMar>
          </w:tcPr>
          <w:p>
            <w:r>
              <w:rPr>
                <w:rFonts w:ascii="Arial" w:cs="Arial" w:eastAsia="Arial" w:hAnsi="Arial"/>
                <w:b/>
                <w:bCs/>
                <w:color w:val="FFFFFF"/>
                <w:sz w:val="20"/>
                <w:szCs w:val="20"/>
              </w:rPr>
              <w:t xml:space="preserve">Signature (confirming receipt of and agreement to obligations)</w:t>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20"/>
                <w:szCs w:val="20"/>
              </w:rPr>
              <w:t xml:space="preserve">1.</w:t>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0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46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20"/>
                <w:szCs w:val="20"/>
              </w:rPr>
              <w:t xml:space="preserve">2.</w:t>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0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46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20"/>
                <w:szCs w:val="20"/>
              </w:rPr>
              <w:t xml:space="preserve">3.</w:t>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0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46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20"/>
                <w:szCs w:val="20"/>
              </w:rPr>
              <w:t xml:space="preserve">4.</w:t>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0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46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20"/>
                <w:szCs w:val="20"/>
              </w:rPr>
              <w:t xml:space="preserve">5.</w:t>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2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00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c>
          <w:tcPr>
            <w:tcW w:type="dxa" w:w="2460"/>
            <w:tcBorders>
              <w:top w:val="single" w:color="C0C0C0" w:sz="1"/>
              <w:left w:val="single" w:color="C0C0C0" w:sz="1"/>
              <w:bottom w:val="single" w:color="C0C0C0" w:sz="1"/>
              <w:right w:val="single" w:color="C0C0C0" w:sz="1"/>
            </w:tcBorders>
            <w:tcMar>
              <w:top w:type="dxa" w:w="200"/>
              <w:left w:type="dxa" w:w="100"/>
              <w:bottom w:type="dxa" w:w="200"/>
              <w:right w:type="dxa" w:w="100"/>
            </w:tcMar>
          </w:tcPr>
          <w:p>
            <w:r>
              <w:rPr>
                <w:rFonts w:ascii="Arial" w:cs="Arial" w:eastAsia="Arial" w:hAnsi="Arial"/>
                <w:sz w:val="20"/>
                <w:szCs w:val="20"/>
              </w:rPr>
              <w:t xml:space="preserve"/>
            </w:r>
          </w:p>
        </w:tc>
      </w:tr>
    </w:tbl>
    <w:p>
      <w:r>
        <w:t xml:space="preserve"/>
      </w:r>
    </w:p>
    <w:p>
      <w:pPr>
        <w:spacing w:after="100" w:before="80" w:line="280"/>
        <w:jc w:val="both"/>
      </w:pPr>
      <w:r>
        <w:rPr>
          <w:rFonts w:ascii="Arial" w:cs="Arial" w:eastAsia="Arial" w:hAnsi="Arial"/>
          <w:b w:val="false"/>
          <w:bCs w:val="false"/>
          <w:i/>
          <w:iCs/>
          <w:color w:val="4A4A4A"/>
          <w:sz w:val="22"/>
          <w:szCs w:val="22"/>
        </w:rPr>
        <w:t xml:space="preserve">Additional recipients may be added by written amendment signed by both Parties. Each Authorised Recipient must sign this Schedule before receiving any Confidential Information.</w:t>
      </w:r>
    </w:p>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SCHEDULE B — CONFIDENTIAL INFORMATION DISCLOSURE LOG</w:t>
      </w:r>
    </w:p>
    <w:p>
      <w:pPr>
        <w:spacing w:after="100" w:before="80" w:line="280"/>
        <w:jc w:val="both"/>
      </w:pPr>
      <w:r>
        <w:rPr>
          <w:rFonts w:ascii="Arial" w:cs="Arial" w:eastAsia="Arial" w:hAnsi="Arial"/>
          <w:b w:val="false"/>
          <w:bCs w:val="false"/>
          <w:i w:val="false"/>
          <w:iCs w:val="false"/>
          <w:color w:val="4A4A4A"/>
          <w:sz w:val="22"/>
          <w:szCs w:val="22"/>
        </w:rPr>
        <w:t xml:space="preserve">The Parties shall maintain a record of all Confidential Information disclosed. The following disclosures have been made as at the date of this Agreement: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1400"/>
        <w:gridCol w:w="2000"/>
        <w:gridCol w:w="2200"/>
        <w:gridCol w:w="1500"/>
        <w:gridCol w:w="1760"/>
      </w:tblGrid>
      <w:tr>
        <w:tc>
          <w:tcPr>
            <w:tcW w:type="dxa" w:w="500"/>
            <w:tcBorders>
              <w:top w:val="single" w:color="C0C0C0" w:sz="1"/>
              <w:left w:val="single" w:color="C0C0C0" w:sz="1"/>
              <w:bottom w:val="single" w:color="C0C0C0" w:sz="1"/>
              <w:right w:val="single" w:color="C0C0C0" w:sz="1"/>
            </w:tcBorders>
            <w:shd w:fill="1A2E4A" w:val="clear"/>
            <w:tcMar>
              <w:top w:type="dxa" w:w="80"/>
              <w:left w:type="dxa" w:w="80"/>
              <w:bottom w:type="dxa" w:w="80"/>
              <w:right w:type="dxa" w:w="80"/>
            </w:tcMar>
          </w:tcPr>
          <w:p>
            <w:r>
              <w:rPr>
                <w:rFonts w:ascii="Arial" w:cs="Arial" w:eastAsia="Arial" w:hAnsi="Arial"/>
                <w:b/>
                <w:bCs/>
                <w:color w:val="FFFFFF"/>
                <w:sz w:val="19"/>
                <w:szCs w:val="19"/>
              </w:rPr>
              <w:t xml:space="preserve">#</w:t>
            </w:r>
          </w:p>
        </w:tc>
        <w:tc>
          <w:tcPr>
            <w:tcW w:type="dxa" w:w="1400"/>
            <w:tcBorders>
              <w:top w:val="single" w:color="C0C0C0" w:sz="1"/>
              <w:left w:val="single" w:color="C0C0C0" w:sz="1"/>
              <w:bottom w:val="single" w:color="C0C0C0" w:sz="1"/>
              <w:right w:val="single" w:color="C0C0C0" w:sz="1"/>
            </w:tcBorders>
            <w:shd w:fill="1A2E4A" w:val="clear"/>
            <w:tcMar>
              <w:top w:type="dxa" w:w="80"/>
              <w:left w:type="dxa" w:w="80"/>
              <w:bottom w:type="dxa" w:w="80"/>
              <w:right w:type="dxa" w:w="80"/>
            </w:tcMar>
          </w:tcPr>
          <w:p>
            <w:r>
              <w:rPr>
                <w:rFonts w:ascii="Arial" w:cs="Arial" w:eastAsia="Arial" w:hAnsi="Arial"/>
                <w:b/>
                <w:bCs/>
                <w:color w:val="FFFFFF"/>
                <w:sz w:val="19"/>
                <w:szCs w:val="19"/>
              </w:rPr>
              <w:t xml:space="preserve">Date</w:t>
            </w:r>
          </w:p>
        </w:tc>
        <w:tc>
          <w:tcPr>
            <w:tcW w:type="dxa" w:w="2000"/>
            <w:tcBorders>
              <w:top w:val="single" w:color="C0C0C0" w:sz="1"/>
              <w:left w:val="single" w:color="C0C0C0" w:sz="1"/>
              <w:bottom w:val="single" w:color="C0C0C0" w:sz="1"/>
              <w:right w:val="single" w:color="C0C0C0" w:sz="1"/>
            </w:tcBorders>
            <w:shd w:fill="1A2E4A" w:val="clear"/>
            <w:tcMar>
              <w:top w:type="dxa" w:w="80"/>
              <w:left w:type="dxa" w:w="80"/>
              <w:bottom w:type="dxa" w:w="80"/>
              <w:right w:type="dxa" w:w="80"/>
            </w:tcMar>
          </w:tcPr>
          <w:p>
            <w:r>
              <w:rPr>
                <w:rFonts w:ascii="Arial" w:cs="Arial" w:eastAsia="Arial" w:hAnsi="Arial"/>
                <w:b/>
                <w:bCs/>
                <w:color w:val="FFFFFF"/>
                <w:sz w:val="19"/>
                <w:szCs w:val="19"/>
              </w:rPr>
              <w:t xml:space="preserve">Category of Information</w:t>
            </w:r>
          </w:p>
        </w:tc>
        <w:tc>
          <w:tcPr>
            <w:tcW w:type="dxa" w:w="2200"/>
            <w:tcBorders>
              <w:top w:val="single" w:color="C0C0C0" w:sz="1"/>
              <w:left w:val="single" w:color="C0C0C0" w:sz="1"/>
              <w:bottom w:val="single" w:color="C0C0C0" w:sz="1"/>
              <w:right w:val="single" w:color="C0C0C0" w:sz="1"/>
            </w:tcBorders>
            <w:shd w:fill="1A2E4A" w:val="clear"/>
            <w:tcMar>
              <w:top w:type="dxa" w:w="80"/>
              <w:left w:type="dxa" w:w="80"/>
              <w:bottom w:type="dxa" w:w="80"/>
              <w:right w:type="dxa" w:w="80"/>
            </w:tcMar>
          </w:tcPr>
          <w:p>
            <w:r>
              <w:rPr>
                <w:rFonts w:ascii="Arial" w:cs="Arial" w:eastAsia="Arial" w:hAnsi="Arial"/>
                <w:b/>
                <w:bCs/>
                <w:color w:val="FFFFFF"/>
                <w:sz w:val="19"/>
                <w:szCs w:val="19"/>
              </w:rPr>
              <w:t xml:space="preserve">Format / Medium</w:t>
            </w:r>
          </w:p>
        </w:tc>
        <w:tc>
          <w:tcPr>
            <w:tcW w:type="dxa" w:w="1500"/>
            <w:tcBorders>
              <w:top w:val="single" w:color="C0C0C0" w:sz="1"/>
              <w:left w:val="single" w:color="C0C0C0" w:sz="1"/>
              <w:bottom w:val="single" w:color="C0C0C0" w:sz="1"/>
              <w:right w:val="single" w:color="C0C0C0" w:sz="1"/>
            </w:tcBorders>
            <w:shd w:fill="1A2E4A" w:val="clear"/>
            <w:tcMar>
              <w:top w:type="dxa" w:w="80"/>
              <w:left w:type="dxa" w:w="80"/>
              <w:bottom w:type="dxa" w:w="80"/>
              <w:right w:type="dxa" w:w="80"/>
            </w:tcMar>
          </w:tcPr>
          <w:p>
            <w:r>
              <w:rPr>
                <w:rFonts w:ascii="Arial" w:cs="Arial" w:eastAsia="Arial" w:hAnsi="Arial"/>
                <w:b/>
                <w:bCs/>
                <w:color w:val="FFFFFF"/>
                <w:sz w:val="19"/>
                <w:szCs w:val="19"/>
              </w:rPr>
              <w:t xml:space="preserve">Disclosed by</w:t>
            </w:r>
          </w:p>
        </w:tc>
        <w:tc>
          <w:tcPr>
            <w:tcW w:type="dxa" w:w="1760"/>
            <w:tcBorders>
              <w:top w:val="single" w:color="C0C0C0" w:sz="1"/>
              <w:left w:val="single" w:color="C0C0C0" w:sz="1"/>
              <w:bottom w:val="single" w:color="C0C0C0" w:sz="1"/>
              <w:right w:val="single" w:color="C0C0C0" w:sz="1"/>
            </w:tcBorders>
            <w:shd w:fill="1A2E4A" w:val="clear"/>
            <w:tcMar>
              <w:top w:type="dxa" w:w="80"/>
              <w:left w:type="dxa" w:w="80"/>
              <w:bottom w:type="dxa" w:w="80"/>
              <w:right w:type="dxa" w:w="80"/>
            </w:tcMar>
          </w:tcPr>
          <w:p>
            <w:r>
              <w:rPr>
                <w:rFonts w:ascii="Arial" w:cs="Arial" w:eastAsia="Arial" w:hAnsi="Arial"/>
                <w:b/>
                <w:bCs/>
                <w:color w:val="FFFFFF"/>
                <w:sz w:val="19"/>
                <w:szCs w:val="19"/>
              </w:rPr>
              <w:t xml:space="preserve">Received by</w:t>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19"/>
                <w:szCs w:val="19"/>
              </w:rPr>
              <w:t xml:space="preserve">1.</w:t>
            </w:r>
          </w:p>
        </w:tc>
        <w:tc>
          <w:tcPr>
            <w:tcW w:type="dxa" w:w="14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0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2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76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19"/>
                <w:szCs w:val="19"/>
              </w:rPr>
              <w:t xml:space="preserve">2.</w:t>
            </w:r>
          </w:p>
        </w:tc>
        <w:tc>
          <w:tcPr>
            <w:tcW w:type="dxa" w:w="14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0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2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76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19"/>
                <w:szCs w:val="19"/>
              </w:rPr>
              <w:t xml:space="preserve">3.</w:t>
            </w:r>
          </w:p>
        </w:tc>
        <w:tc>
          <w:tcPr>
            <w:tcW w:type="dxa" w:w="14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0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2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76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r>
      <w:tr>
        <w:tc>
          <w:tcPr>
            <w:tcW w:type="dxa" w:w="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color w:val="4A4A4A"/>
                <w:sz w:val="19"/>
                <w:szCs w:val="19"/>
              </w:rPr>
              <w:t xml:space="preserve">4.</w:t>
            </w:r>
          </w:p>
        </w:tc>
        <w:tc>
          <w:tcPr>
            <w:tcW w:type="dxa" w:w="14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0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22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50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c>
          <w:tcPr>
            <w:tcW w:type="dxa" w:w="1760"/>
            <w:tcBorders>
              <w:top w:val="single" w:color="C0C0C0" w:sz="1"/>
              <w:left w:val="single" w:color="C0C0C0" w:sz="1"/>
              <w:bottom w:val="single" w:color="C0C0C0" w:sz="1"/>
              <w:right w:val="single" w:color="C0C0C0" w:sz="1"/>
            </w:tcBorders>
            <w:tcMar>
              <w:top w:type="dxa" w:w="200"/>
              <w:left w:type="dxa" w:w="80"/>
              <w:bottom w:type="dxa" w:w="200"/>
              <w:right w:type="dxa" w:w="80"/>
            </w:tcMar>
          </w:tcPr>
          <w:p>
            <w:r>
              <w:rPr>
                <w:rFonts w:ascii="Arial" w:cs="Arial" w:eastAsia="Arial" w:hAnsi="Arial"/>
                <w:sz w:val="19"/>
                <w:szCs w:val="19"/>
              </w:rPr>
              <w:t xml:space="preserve"/>
            </w:r>
          </w:p>
        </w:tc>
      </w:tr>
    </w:tbl>
    <w:p>
      <w:r>
        <w:t xml:space="preserve"/>
      </w:r>
    </w:p>
    <w:p>
      <w:r>
        <w:br w:type="page"/>
      </w:r>
    </w:p>
    <w:p>
      <w:pPr>
        <w:pStyle w:val="Heading1"/>
        <w:pBdr>
          <w:bottom w:val="single" w:color="C9A227" w:sz="6" w:space="4"/>
        </w:pBdr>
        <w:spacing w:after="160" w:before="400"/>
      </w:pPr>
      <w:r>
        <w:rPr>
          <w:rFonts w:ascii="Arial" w:cs="Arial" w:eastAsia="Arial" w:hAnsi="Arial"/>
          <w:b/>
          <w:bCs/>
          <w:color w:val="1A2E4A"/>
          <w:sz w:val="36"/>
          <w:szCs w:val="36"/>
        </w:rPr>
        <w:t xml:space="preserve">SCHEDULE C — BREACH NOTIFICATION PROTOCOL</w:t>
      </w:r>
    </w:p>
    <w:p>
      <w:pPr>
        <w:spacing w:after="100" w:before="80" w:line="280"/>
        <w:jc w:val="both"/>
      </w:pPr>
      <w:r>
        <w:rPr>
          <w:rFonts w:ascii="Arial" w:cs="Arial" w:eastAsia="Arial" w:hAnsi="Arial"/>
          <w:b w:val="false"/>
          <w:bCs w:val="false"/>
          <w:i w:val="false"/>
          <w:iCs w:val="false"/>
          <w:color w:val="4A4A4A"/>
          <w:sz w:val="22"/>
          <w:szCs w:val="22"/>
        </w:rPr>
        <w:t xml:space="preserve">In the event of an actual or suspected breach of this Agreement, the Receiving Party shall immediately follow the below protocol:</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600"/>
        <w:gridCol w:w="5960"/>
      </w:tblGrid>
      <w:tr>
        <w:tc>
          <w:tcPr>
            <w:tcW w:type="dxa" w:w="800"/>
            <w:tcBorders>
              <w:top w:val="single" w:color="C0C0C0" w:sz="1"/>
              <w:left w:val="single" w:color="C0C0C0" w:sz="1"/>
              <w:bottom w:val="single" w:color="C0C0C0" w:sz="1"/>
              <w:right w:val="single" w:color="C0C0C0" w:sz="1"/>
            </w:tcBorders>
            <w:shd w:fill="1A2E4A" w:val="clear"/>
            <w:tcMar>
              <w:top w:type="dxa" w:w="80"/>
              <w:left w:type="dxa" w:w="100"/>
              <w:bottom w:type="dxa" w:w="80"/>
              <w:right w:type="dxa" w:w="100"/>
            </w:tcMar>
          </w:tcPr>
          <w:p>
            <w:r>
              <w:rPr>
                <w:rFonts w:ascii="Arial" w:cs="Arial" w:eastAsia="Arial" w:hAnsi="Arial"/>
                <w:b/>
                <w:bCs/>
                <w:color w:val="FFFFFF"/>
                <w:sz w:val="20"/>
                <w:szCs w:val="20"/>
              </w:rPr>
              <w:t xml:space="preserve">Phase</w:t>
            </w:r>
          </w:p>
        </w:tc>
        <w:tc>
          <w:tcPr>
            <w:tcW w:type="dxa" w:w="2600"/>
            <w:tcBorders>
              <w:top w:val="single" w:color="C0C0C0" w:sz="1"/>
              <w:left w:val="single" w:color="C0C0C0" w:sz="1"/>
              <w:bottom w:val="single" w:color="C0C0C0" w:sz="1"/>
              <w:right w:val="single" w:color="C0C0C0" w:sz="1"/>
            </w:tcBorders>
            <w:shd w:fill="1A2E4A" w:val="clear"/>
            <w:tcMar>
              <w:top w:type="dxa" w:w="80"/>
              <w:left w:type="dxa" w:w="100"/>
              <w:bottom w:type="dxa" w:w="80"/>
              <w:right w:type="dxa" w:w="100"/>
            </w:tcMar>
          </w:tcPr>
          <w:p>
            <w:r>
              <w:rPr>
                <w:rFonts w:ascii="Arial" w:cs="Arial" w:eastAsia="Arial" w:hAnsi="Arial"/>
                <w:b/>
                <w:bCs/>
                <w:color w:val="FFFFFF"/>
                <w:sz w:val="20"/>
                <w:szCs w:val="20"/>
              </w:rPr>
              <w:t xml:space="preserve">Timeframe</w:t>
            </w:r>
          </w:p>
        </w:tc>
        <w:tc>
          <w:tcPr>
            <w:tcW w:type="dxa" w:w="5960"/>
            <w:tcBorders>
              <w:top w:val="single" w:color="C0C0C0" w:sz="1"/>
              <w:left w:val="single" w:color="C0C0C0" w:sz="1"/>
              <w:bottom w:val="single" w:color="C0C0C0" w:sz="1"/>
              <w:right w:val="single" w:color="C0C0C0" w:sz="1"/>
            </w:tcBorders>
            <w:shd w:fill="1A2E4A" w:val="clear"/>
            <w:tcMar>
              <w:top w:type="dxa" w:w="80"/>
              <w:left w:type="dxa" w:w="100"/>
              <w:bottom w:type="dxa" w:w="80"/>
              <w:right w:type="dxa" w:w="100"/>
            </w:tcMar>
          </w:tcPr>
          <w:p>
            <w:r>
              <w:rPr>
                <w:rFonts w:ascii="Arial" w:cs="Arial" w:eastAsia="Arial" w:hAnsi="Arial"/>
                <w:b/>
                <w:bCs/>
                <w:color w:val="FFFFFF"/>
                <w:sz w:val="20"/>
                <w:szCs w:val="20"/>
              </w:rPr>
              <w:t xml:space="preserve">Required Action</w:t>
            </w:r>
          </w:p>
        </w:tc>
      </w:tr>
      <w:tr>
        <w:tc>
          <w:tcPr>
            <w:tcW w:type="dxa" w:w="800"/>
            <w:tcBorders>
              <w:top w:val="single" w:color="C0C0C0" w:sz="1"/>
              <w:left w:val="single" w:color="C0C0C0" w:sz="1"/>
              <w:bottom w:val="single" w:color="C0C0C0" w:sz="1"/>
              <w:right w:val="single" w:color="C0C0C0" w:sz="1"/>
            </w:tcBorders>
            <w:shd w:fill="EEF4FA" w:val="clear"/>
            <w:tcMar>
              <w:top w:type="dxa" w:w="100"/>
              <w:left w:type="dxa" w:w="100"/>
              <w:bottom w:type="dxa" w:w="100"/>
              <w:right w:type="dxa" w:w="100"/>
            </w:tcMar>
          </w:tcPr>
          <w:p>
            <w:r>
              <w:rPr>
                <w:rFonts w:ascii="Arial" w:cs="Arial" w:eastAsia="Arial" w:hAnsi="Arial"/>
                <w:b/>
                <w:bCs/>
                <w:color w:val="1A2E4A"/>
                <w:sz w:val="20"/>
                <w:szCs w:val="20"/>
              </w:rPr>
              <w:t xml:space="preserve">1 — CONTAIN</w:t>
            </w:r>
          </w:p>
        </w:tc>
        <w:tc>
          <w:tcPr>
            <w:tcW w:type="dxa" w:w="260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b/>
                <w:bCs/>
                <w:color w:val="4A4A4A"/>
                <w:sz w:val="20"/>
                <w:szCs w:val="20"/>
              </w:rPr>
              <w:t xml:space="preserve">Within 1 hour of discovery</w:t>
            </w:r>
          </w:p>
        </w:tc>
        <w:tc>
          <w:tcPr>
            <w:tcW w:type="dxa" w:w="596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color w:val="4A4A4A"/>
                <w:sz w:val="20"/>
                <w:szCs w:val="20"/>
              </w:rPr>
              <w:t xml:space="preserve">Immediately isolate and cease the breach. Revoke access of any person responsible. Preserve evidence. Do not delete any records. Notify the Receiving Party's most senior executive immediately.</w:t>
            </w:r>
          </w:p>
        </w:tc>
      </w:tr>
      <w:tr>
        <w:tc>
          <w:tcPr>
            <w:tcW w:type="dxa" w:w="800"/>
            <w:tcBorders>
              <w:top w:val="single" w:color="C0C0C0" w:sz="1"/>
              <w:left w:val="single" w:color="C0C0C0" w:sz="1"/>
              <w:bottom w:val="single" w:color="C0C0C0" w:sz="1"/>
              <w:right w:val="single" w:color="C0C0C0" w:sz="1"/>
            </w:tcBorders>
            <w:shd w:fill="EEF4FA" w:val="clear"/>
            <w:tcMar>
              <w:top w:type="dxa" w:w="100"/>
              <w:left w:type="dxa" w:w="100"/>
              <w:bottom w:type="dxa" w:w="100"/>
              <w:right w:type="dxa" w:w="100"/>
            </w:tcMar>
          </w:tcPr>
          <w:p>
            <w:r>
              <w:rPr>
                <w:rFonts w:ascii="Arial" w:cs="Arial" w:eastAsia="Arial" w:hAnsi="Arial"/>
                <w:b/>
                <w:bCs/>
                <w:color w:val="1A2E4A"/>
                <w:sz w:val="20"/>
                <w:szCs w:val="20"/>
              </w:rPr>
              <w:t xml:space="preserve">2 — NOTIFY</w:t>
            </w:r>
          </w:p>
        </w:tc>
        <w:tc>
          <w:tcPr>
            <w:tcW w:type="dxa" w:w="260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b/>
                <w:bCs/>
                <w:color w:val="4A4A4A"/>
                <w:sz w:val="20"/>
                <w:szCs w:val="20"/>
              </w:rPr>
              <w:t xml:space="preserve">Within 4 hours of discovery</w:t>
            </w:r>
          </w:p>
        </w:tc>
        <w:tc>
          <w:tcPr>
            <w:tcW w:type="dxa" w:w="596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color w:val="4A4A4A"/>
                <w:sz w:val="20"/>
                <w:szCs w:val="20"/>
              </w:rPr>
              <w:t xml:space="preserve">Send written notification to G.O.D.S Holdings at info@gods.systems and directly to Sashin J. Singh. Notification must include: (a) nature of the breach; (b) Confidential Information involved; (c) persons involved; (d) steps taken; (e) estimated impact.</w:t>
            </w:r>
          </w:p>
        </w:tc>
      </w:tr>
      <w:tr>
        <w:tc>
          <w:tcPr>
            <w:tcW w:type="dxa" w:w="800"/>
            <w:tcBorders>
              <w:top w:val="single" w:color="C0C0C0" w:sz="1"/>
              <w:left w:val="single" w:color="C0C0C0" w:sz="1"/>
              <w:bottom w:val="single" w:color="C0C0C0" w:sz="1"/>
              <w:right w:val="single" w:color="C0C0C0" w:sz="1"/>
            </w:tcBorders>
            <w:shd w:fill="EEF4FA" w:val="clear"/>
            <w:tcMar>
              <w:top w:type="dxa" w:w="100"/>
              <w:left w:type="dxa" w:w="100"/>
              <w:bottom w:type="dxa" w:w="100"/>
              <w:right w:type="dxa" w:w="100"/>
            </w:tcMar>
          </w:tcPr>
          <w:p>
            <w:r>
              <w:rPr>
                <w:rFonts w:ascii="Arial" w:cs="Arial" w:eastAsia="Arial" w:hAnsi="Arial"/>
                <w:b/>
                <w:bCs/>
                <w:color w:val="1A2E4A"/>
                <w:sz w:val="20"/>
                <w:szCs w:val="20"/>
              </w:rPr>
              <w:t xml:space="preserve">3 — INVESTIGATE</w:t>
            </w:r>
          </w:p>
        </w:tc>
        <w:tc>
          <w:tcPr>
            <w:tcW w:type="dxa" w:w="260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b/>
                <w:bCs/>
                <w:color w:val="4A4A4A"/>
                <w:sz w:val="20"/>
                <w:szCs w:val="20"/>
              </w:rPr>
              <w:t xml:space="preserve">Within 24 hours of notification</w:t>
            </w:r>
          </w:p>
        </w:tc>
        <w:tc>
          <w:tcPr>
            <w:tcW w:type="dxa" w:w="596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color w:val="4A4A4A"/>
                <w:sz w:val="20"/>
                <w:szCs w:val="20"/>
              </w:rPr>
              <w:t xml:space="preserve">Conduct a full investigation and provide G.O.D.S Holdings with a written report detailing the full scope of the breach, all Authorised Recipients affected, all third parties who may have received the information, and a remediation plan.</w:t>
            </w:r>
          </w:p>
        </w:tc>
      </w:tr>
      <w:tr>
        <w:tc>
          <w:tcPr>
            <w:tcW w:type="dxa" w:w="800"/>
            <w:tcBorders>
              <w:top w:val="single" w:color="C0C0C0" w:sz="1"/>
              <w:left w:val="single" w:color="C0C0C0" w:sz="1"/>
              <w:bottom w:val="single" w:color="C0C0C0" w:sz="1"/>
              <w:right w:val="single" w:color="C0C0C0" w:sz="1"/>
            </w:tcBorders>
            <w:shd w:fill="EEF4FA" w:val="clear"/>
            <w:tcMar>
              <w:top w:type="dxa" w:w="100"/>
              <w:left w:type="dxa" w:w="100"/>
              <w:bottom w:type="dxa" w:w="100"/>
              <w:right w:type="dxa" w:w="100"/>
            </w:tcMar>
          </w:tcPr>
          <w:p>
            <w:r>
              <w:rPr>
                <w:rFonts w:ascii="Arial" w:cs="Arial" w:eastAsia="Arial" w:hAnsi="Arial"/>
                <w:b/>
                <w:bCs/>
                <w:color w:val="1A2E4A"/>
                <w:sz w:val="20"/>
                <w:szCs w:val="20"/>
              </w:rPr>
              <w:t xml:space="preserve">4 — REMEDIATE</w:t>
            </w:r>
          </w:p>
        </w:tc>
        <w:tc>
          <w:tcPr>
            <w:tcW w:type="dxa" w:w="260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b/>
                <w:bCs/>
                <w:color w:val="4A4A4A"/>
                <w:sz w:val="20"/>
                <w:szCs w:val="20"/>
              </w:rPr>
              <w:t xml:space="preserve">Within 48 hours of notification</w:t>
            </w:r>
          </w:p>
        </w:tc>
        <w:tc>
          <w:tcPr>
            <w:tcW w:type="dxa" w:w="5960"/>
            <w:tcBorders>
              <w:top w:val="single" w:color="C0C0C0" w:sz="1"/>
              <w:left w:val="single" w:color="C0C0C0" w:sz="1"/>
              <w:bottom w:val="single" w:color="C0C0C0" w:sz="1"/>
              <w:right w:val="single" w:color="C0C0C0" w:sz="1"/>
            </w:tcBorders>
            <w:tcMar>
              <w:top w:type="dxa" w:w="100"/>
              <w:left w:type="dxa" w:w="100"/>
              <w:bottom w:type="dxa" w:w="100"/>
              <w:right w:type="dxa" w:w="100"/>
            </w:tcMar>
          </w:tcPr>
          <w:p>
            <w:r>
              <w:rPr>
                <w:rFonts w:ascii="Arial" w:cs="Arial" w:eastAsia="Arial" w:hAnsi="Arial"/>
                <w:color w:val="4A4A4A"/>
                <w:sz w:val="20"/>
                <w:szCs w:val="20"/>
              </w:rPr>
              <w:t xml:space="preserve">Implement all remediation measures. Retrieve all copies of disclosed information where possible. Cooperate fully with G.O.D.S Holdings and its legal advisors. G.O.D.S Holdings reserves all rights under Clause 8 pending and following remediation.</w:t>
            </w:r>
          </w:p>
        </w:tc>
      </w:tr>
    </w:tbl>
    <w:p>
      <w:r>
        <w:t xml:space="preserve"/>
      </w:r>
    </w:p>
    <w:p>
      <w:pPr>
        <w:spacing w:after="100" w:before="80" w:line="280"/>
        <w:jc w:val="both"/>
      </w:pPr>
      <w:r>
        <w:rPr>
          <w:rFonts w:ascii="Arial" w:cs="Arial" w:eastAsia="Arial" w:hAnsi="Arial"/>
          <w:b/>
          <w:bCs/>
          <w:i w:val="false"/>
          <w:iCs w:val="false"/>
          <w:color w:val="4A4A4A"/>
          <w:sz w:val="22"/>
          <w:szCs w:val="22"/>
        </w:rPr>
        <w:t xml:space="preserve">G.O.D.S Holdings Breach Notification Contact:</w:t>
      </w:r>
    </w:p>
    <w:p>
      <w:pPr>
        <w:spacing w:after="100" w:before="80" w:line="280"/>
        <w:jc w:val="both"/>
      </w:pPr>
      <w:r>
        <w:rPr>
          <w:rFonts w:ascii="Arial" w:cs="Arial" w:eastAsia="Arial" w:hAnsi="Arial"/>
          <w:b w:val="false"/>
          <w:bCs w:val="false"/>
          <w:i w:val="false"/>
          <w:iCs w:val="false"/>
          <w:color w:val="4A4A4A"/>
          <w:sz w:val="22"/>
          <w:szCs w:val="22"/>
        </w:rPr>
        <w:t xml:space="preserve">Email: info@gods.systems  |  Direct: Sashin J. Singh, Founder  |  Address: Johannesburg, South Africa</w:t>
      </w:r>
    </w:p>
    <w:p>
      <w:r>
        <w:t xml:space="preserve"/>
      </w:r>
    </w:p>
    <w:p>
      <w:pPr>
        <w:pBdr>
          <w:bottom w:val="single" w:color="C9A227" w:sz="6" w:space="2"/>
        </w:pBdr>
        <w:spacing w:after="120" w:before="120"/>
      </w:pPr>
      <w:r>
        <w:t xml:space="preserve"/>
      </w:r>
    </w:p>
    <w:p>
      <w:r>
        <w:t xml:space="preserve"/>
      </w:r>
    </w:p>
    <w:p>
      <w:pPr>
        <w:spacing w:after="40" w:before="80"/>
        <w:jc w:val="center"/>
      </w:pPr>
      <w:r>
        <w:rPr>
          <w:rFonts w:ascii="Arial" w:cs="Arial" w:eastAsia="Arial" w:hAnsi="Arial"/>
          <w:b/>
          <w:bCs/>
          <w:color w:val="1A2E4A"/>
          <w:sz w:val="20"/>
          <w:szCs w:val="20"/>
        </w:rPr>
        <w:t xml:space="preserve">G.O.D.S Holdings (Pty) Ltd  ·  Johannesburg, South Africa  ·  2026</w:t>
      </w:r>
    </w:p>
    <w:p>
      <w:pPr>
        <w:spacing w:after="40" w:before="0"/>
        <w:jc w:val="center"/>
      </w:pPr>
      <w:r>
        <w:rPr>
          <w:rFonts w:ascii="Arial" w:cs="Arial" w:eastAsia="Arial" w:hAnsi="Arial"/>
          <w:color w:val="4A4A4A"/>
          <w:sz w:val="18"/>
          <w:szCs w:val="18"/>
        </w:rPr>
        <w:t xml:space="preserve">Non-Disclosure &amp; Confidentiality Agreement  ·  GODS-NDA-001-2026  ·  Version 1.0</w:t>
      </w:r>
    </w:p>
    <w:p>
      <w:pPr>
        <w:spacing w:after="40" w:before="0"/>
        <w:jc w:val="center"/>
      </w:pPr>
      <w:r>
        <w:rPr>
          <w:rFonts w:ascii="Arial" w:cs="Arial" w:eastAsia="Arial" w:hAnsi="Arial"/>
          <w:color w:val="2C5F8A"/>
          <w:sz w:val="18"/>
          <w:szCs w:val="18"/>
        </w:rPr>
        <w:t xml:space="preserve">info@gods.systems  ·  www.gods.systems</w:t>
      </w:r>
    </w:p>
    <w:p>
      <w:pPr>
        <w:shd w:fill="1A2E4A" w:val="clear"/>
        <w:spacing w:after="0" w:before="40"/>
        <w:jc w:val="center"/>
      </w:pPr>
      <w:r>
        <w:rPr>
          <w:rFonts w:ascii="Arial" w:cs="Arial" w:eastAsia="Arial" w:hAnsi="Arial"/>
          <w:b/>
          <w:bCs/>
          <w:color w:val="FFFFFF"/>
          <w:sz w:val="16"/>
          <w:szCs w:val="16"/>
        </w:rPr>
        <w:t xml:space="preserve">STRICTLY CONFIDENTIAL — THIS DOCUMENT IS LEGALLY BINDING UPON EXECUTION</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227" w:sz="4" w:space="4"/>
      </w:pBdr>
      <w:tabs>
        <w:tab w:val="right" w:pos="9360"/>
      </w:tabs>
      <w:spacing w:before="60"/>
    </w:pPr>
    <w:r>
      <w:rPr>
        <w:rFonts w:ascii="Arial" w:cs="Arial" w:eastAsia="Arial" w:hAnsi="Arial"/>
        <w:color w:val="4A4A4A"/>
        <w:sz w:val="16"/>
        <w:szCs w:val="16"/>
      </w:rPr>
      <w:t xml:space="preserve">© 2026 G.O.D.S Holdings (Pty) Ltd  ·  Legally Binding Upon Execution</w:t>
    </w:r>
    <w:r>
      <w:rPr>
        <w:rFonts w:ascii="Arial" w:cs="Arial" w:eastAsia="Arial" w:hAnsi="Arial"/>
        <w:color w:val="4A4A4A"/>
        <w:sz w:val="16"/>
        <w:szCs w:val="16"/>
      </w:rPr>
      <w:t xml:space="preserve">	Page </w:t>
    </w:r>
    <w:r>
      <w:rPr>
        <w:rFonts w:ascii="Arial" w:cs="Arial" w:eastAsia="Arial" w:hAnsi="Arial"/>
        <w:color w:val="1A2E4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4" w:space="4"/>
      </w:pBdr>
      <w:tabs>
        <w:tab w:val="right" w:pos="9360"/>
      </w:tabs>
      <w:spacing w:after="60"/>
    </w:pPr>
    <w:r>
      <w:rPr>
        <w:rFonts w:ascii="Arial" w:cs="Arial" w:eastAsia="Arial" w:hAnsi="Arial"/>
        <w:color w:val="4A4A4A"/>
        <w:sz w:val="17"/>
        <w:szCs w:val="17"/>
      </w:rPr>
      <w:t xml:space="preserve">G.O.D.S Holdings (Pty) Ltd  ·  MUTUAL NON-DISCLOSURE AGREEMENT</w:t>
    </w:r>
    <w:r>
      <w:rPr>
        <w:rFonts w:ascii="Arial" w:cs="Arial" w:eastAsia="Arial" w:hAnsi="Arial"/>
        <w:color w:val="4A4A4A"/>
        <w:sz w:val="17"/>
        <w:szCs w:val="17"/>
      </w:rPr>
      <w:t xml:space="preserve">	GODS-NDA-001-2026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A4A4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A2E4A"/>
      <w:sz w:val="34"/>
      <w:szCs w:val="34"/>
    </w:rPr>
  </w:style>
  <w:style w:type="paragraph" w:styleId="Heading2">
    <w:name w:val="Heading 2"/>
    <w:basedOn w:val="Normal"/>
    <w:next w:val="Normal"/>
    <w:qFormat/>
    <w:pPr>
      <w:spacing w:after="120" w:before="280"/>
      <w:outlineLvl w:val="1"/>
    </w:pPr>
    <w:rPr>
      <w:rFonts w:ascii="Arial" w:cs="Arial" w:eastAsia="Arial" w:hAnsi="Arial"/>
      <w:b/>
      <w:bCs/>
      <w:color w:val="2C5F8A"/>
      <w:sz w:val="26"/>
      <w:szCs w:val="26"/>
    </w:rPr>
  </w:style>
  <w:style w:type="paragraph" w:styleId="Heading3">
    <w:name w:val="Heading 3"/>
    <w:basedOn w:val="Normal"/>
    <w:next w:val="Normal"/>
    <w:qFormat/>
    <w:pPr>
      <w:spacing w:after="80" w:before="180"/>
      <w:outlineLvl w:val="2"/>
    </w:pPr>
    <w:rPr>
      <w:rFonts w:ascii="Arial" w:cs="Arial" w:eastAsia="Arial" w:hAnsi="Arial"/>
      <w:b/>
      <w:bCs/>
      <w:color w:val="4A4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2026-05-05T15:20:56.419Z</dcterms:created>
  <dcterms:modified xsi:type="dcterms:W3CDTF">2026-05-05T15:20:56.431Z</dcterms:modified>
</cp:coreProperties>
</file>

<file path=docProps/custom.xml><?xml version="1.0" encoding="utf-8"?>
<Properties xmlns="http://schemas.openxmlformats.org/officeDocument/2006/custom-properties" xmlns:vt="http://schemas.openxmlformats.org/officeDocument/2006/docPropsVTypes"/>
</file>