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rFonts w:ascii="Arial" w:cs="Arial" w:eastAsia="Arial" w:hAnsi="Arial"/>
        </w:rPr>
        <w:t xml:space="preserve"/>
      </w:r>
    </w:p>
    <w:p>
      <w:pPr>
        <w:spacing w:after="80"/>
        <w:jc w:val="center"/>
      </w:pPr>
      <w:r>
        <w:rPr>
          <w:rFonts w:ascii="Arial" w:cs="Arial" w:eastAsia="Arial" w:hAnsi="Arial"/>
          <w:b/>
          <w:bCs/>
          <w:color w:val="C9A84C"/>
          <w:sz w:val="72"/>
          <w:szCs w:val="72"/>
        </w:rPr>
        <w:t xml:space="preserve">G . O . D . S</w:t>
      </w:r>
    </w:p>
    <w:p>
      <w:pPr>
        <w:spacing w:after="200"/>
        <w:jc w:val="center"/>
      </w:pPr>
      <w:r>
        <w:rPr>
          <w:rFonts w:ascii="Arial" w:cs="Arial" w:eastAsia="Arial" w:hAnsi="Arial"/>
          <w:b/>
          <w:bCs/>
          <w:color w:val="060E1C"/>
          <w:spacing w:val="80"/>
          <w:sz w:val="22"/>
          <w:szCs w:val="22"/>
        </w:rPr>
        <w:t xml:space="preserve">GOOD ORDERLY DIRECTIONAL SYSTEMS</w:t>
      </w:r>
    </w:p>
    <w:p>
      <w:pPr>
        <w:spacing w:after="80"/>
        <w:jc w:val="center"/>
      </w:pPr>
      <w:r>
        <w:rPr>
          <w:rFonts w:ascii="Arial" w:cs="Arial" w:eastAsia="Arial" w:hAnsi="Arial"/>
          <w:b/>
          <w:bCs/>
          <w:color w:val="0D1E35"/>
          <w:sz w:val="36"/>
          <w:szCs w:val="36"/>
        </w:rPr>
        <w:t xml:space="preserve">POPIA COMPLIANCE FRAMEWORK</w:t>
      </w:r>
    </w:p>
    <w:p>
      <w:pPr>
        <w:spacing w:after="80"/>
        <w:jc w:val="center"/>
      </w:pPr>
      <w:r>
        <w:rPr>
          <w:rFonts w:ascii="Arial" w:cs="Arial" w:eastAsia="Arial" w:hAnsi="Arial"/>
          <w:i/>
          <w:iCs/>
          <w:color w:val="555555"/>
          <w:sz w:val="20"/>
          <w:szCs w:val="20"/>
        </w:rPr>
        <w:t xml:space="preserve">Protection of Personal Information Act 4 of 2013</w:t>
      </w:r>
    </w:p>
    <w:p>
      <w:pPr>
        <w:spacing w:after="240"/>
        <w:jc w:val="center"/>
      </w:pPr>
      <w:r>
        <w:rPr>
          <w:rFonts w:ascii="Arial" w:cs="Arial" w:eastAsia="Arial" w:hAnsi="Arial"/>
          <w:color w:val="555555"/>
          <w:sz w:val="18"/>
          <w:szCs w:val="18"/>
        </w:rPr>
        <w:t xml:space="preserve">Data Protection Compliance Document — All Divisions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2300"/>
        <w:gridCol w:w="2300"/>
      </w:tblGrid>
      <w:tr>
        <w:tc>
          <w:tcPr>
            <w:tcW w:type="dxa" w:w="23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RESPONSIBLE PARTY</w:t>
            </w:r>
          </w:p>
        </w:tc>
        <w:tc>
          <w:tcPr>
            <w:tcW w:type="dxa" w:w="23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INFORMATION OFFICER</w:t>
            </w:r>
          </w:p>
        </w:tc>
        <w:tc>
          <w:tcPr>
            <w:tcW w:type="dxa" w:w="23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VERSION</w:t>
            </w:r>
          </w:p>
        </w:tc>
        <w:tc>
          <w:tcPr>
            <w:tcW w:type="dxa" w:w="23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EFFECTIVE DATE</w:t>
            </w:r>
          </w:p>
        </w:tc>
      </w:tr>
      <w:tr>
        <w:tc>
          <w:tcPr>
            <w:tcW w:type="dxa" w:w="23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8"/>
                <w:szCs w:val="18"/>
              </w:rPr>
              <w:t xml:space="preserve">G.O.D.S Holdings (Pty) Ltd</w:t>
            </w:r>
          </w:p>
        </w:tc>
        <w:tc>
          <w:tcPr>
            <w:tcW w:type="dxa" w:w="23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8"/>
                <w:szCs w:val="18"/>
              </w:rPr>
              <w:t xml:space="preserve">Sashin J. Singh</w:t>
            </w:r>
          </w:p>
        </w:tc>
        <w:tc>
          <w:tcPr>
            <w:tcW w:type="dxa" w:w="23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8"/>
                <w:szCs w:val="18"/>
              </w:rPr>
              <w:t xml:space="preserve">1.0</w:t>
            </w:r>
          </w:p>
        </w:tc>
        <w:tc>
          <w:tcPr>
            <w:tcW w:type="dxa" w:w="23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8"/>
                <w:szCs w:val="18"/>
              </w:rPr>
              <w:t xml:space="preserve">On entity registration</w:t>
            </w:r>
          </w:p>
        </w:tc>
      </w:tr>
    </w:tbl>
    <w:p>
      <w:pPr>
        <w:spacing w:after="16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FFFFFF" w:sz="1"/>
              <w:left w:val="single" w:color="C0392B" w:sz="16"/>
              <w:bottom w:val="single" w:color="FFFFFF" w:sz="1"/>
              <w:right w:val="single" w:color="FFFFFF" w:sz="1"/>
            </w:tcBorders>
            <w:shd w:fill="FDECEA" w:val="clear"/>
            <w:tcMar>
              <w:top w:type="dxa" w:w="120"/>
              <w:left w:type="dxa" w:w="240"/>
              <w:bottom w:type="dxa" w:w="120"/>
              <w:right w:type="dxa" w:w="180"/>
            </w:tcMar>
          </w:tcPr>
          <w:p>
            <w:pPr>
              <w:spacing w:after="0"/>
            </w:pPr>
            <w:r>
              <w:rPr>
                <w:rFonts w:ascii="Arial" w:cs="Arial" w:eastAsia="Arial" w:hAnsi="Arial"/>
                <w:color w:val="060E1C"/>
                <w:sz w:val="18"/>
                <w:szCs w:val="18"/>
              </w:rPr>
              <w:t xml:space="preserve">CONFIDENTIAL — FOR INTERNAL GOVERNANCE AND REGULATORY PURPOSES ONLY
This document constitutes the formal POPIA Compliance Framework of G.O.D.S Holdings (Pty) Ltd and all subsidiary entities. It must be reviewed annually and updated when data processing activities change. Legal Counsel must approve all amendments.</w:t>
            </w:r>
          </w:p>
        </w:tc>
      </w:tr>
    </w:tbl>
    <w:p>
      <w:pPr>
        <w:spacing w:after="24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01  —  </w:t>
      </w:r>
      <w:r>
        <w:rPr>
          <w:rFonts w:ascii="Arial" w:cs="Arial" w:eastAsia="Arial" w:hAnsi="Arial"/>
          <w:b/>
          <w:bCs/>
          <w:color w:val="FFFFFF"/>
          <w:sz w:val="26"/>
          <w:szCs w:val="26"/>
        </w:rPr>
        <w:t xml:space="preserve">PURPOSE, SCOPE AND LEGISLATIVE FRAMEWORK</w:t>
      </w:r>
    </w:p>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1.1  Purpose of this Framework</w:t>
      </w:r>
    </w:p>
    <w:p>
      <w:pPr>
        <w:spacing w:after="120" w:before="0"/>
      </w:pPr>
      <w:r>
        <w:rPr>
          <w:rFonts w:ascii="Arial" w:cs="Arial" w:eastAsia="Arial" w:hAnsi="Arial"/>
          <w:sz w:val="18"/>
          <w:szCs w:val="18"/>
        </w:rPr>
        <w:t xml:space="preserve">This POPIA Compliance Framework establishes the formal data protection architecture of G.O.D.S Holdings (Pty) Ltd and all subsidiary entities — S.E.T.H.S (Pty) Ltd, UDOC Technologies (Pty) Ltd, T.S Industries (Pty) Ltd, and M.A.D.I.B.A Capital (Pty) Ltd (together, the </w:t>
      </w:r>
      <w:r>
        <w:rPr>
          <w:rFonts w:ascii="Arial" w:cs="Arial" w:eastAsia="Arial" w:hAnsi="Arial"/>
          <w:b/>
          <w:bCs/>
          <w:color w:val="060E1C"/>
          <w:sz w:val="18"/>
          <w:szCs w:val="18"/>
        </w:rPr>
        <w:t xml:space="preserve">G.O.D.S Group</w:t>
      </w:r>
      <w:r>
        <w:rPr>
          <w:rFonts w:ascii="Arial" w:cs="Arial" w:eastAsia="Arial" w:hAnsi="Arial"/>
          <w:sz w:val="18"/>
          <w:szCs w:val="18"/>
        </w:rPr>
        <w:t xml:space="preserve">). It sets out the obligations, procedures, and controls by which the G.O.D.S Group processes personal information in compliance with the Protection of Personal Information Act 4 of 2013 (POPIA).</w:t>
      </w:r>
    </w:p>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1.2  Legislative Framework</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19"/>
                <w:szCs w:val="19"/>
              </w:rPr>
              <w:t xml:space="preserve">POPIA Act 4 of 2013  |  Primary Legislation</w:t>
            </w:r>
          </w:p>
        </w:tc>
      </w:tr>
      <w:tr>
        <w:tc>
          <w:tcPr>
            <w:tcBorders>
              <w:top w:val="single" w:color="C9A84C" w:sz="4"/>
              <w:left w:val="single" w:color="C9A84C" w:sz="4"/>
              <w:bottom w:val="single" w:color="C9A84C" w:sz="4"/>
              <w:right w:val="single" w:color="C9A84C" w:sz="4"/>
            </w:tcBorders>
            <w:shd w:fill="FFFDF5" w:val="clear"/>
            <w:tcMar>
              <w:top w:type="dxa" w:w="120"/>
              <w:left w:type="dxa" w:w="200"/>
              <w:bottom w:type="dxa" w:w="120"/>
              <w:right w:type="dxa" w:w="160"/>
            </w:tcMar>
          </w:tcPr>
          <w:p>
            <w:pPr>
              <w:spacing w:after="0"/>
            </w:pPr>
            <w:r>
              <w:rPr>
                <w:rFonts w:ascii="Arial" w:cs="Arial" w:eastAsia="Arial" w:hAnsi="Arial"/>
                <w:color w:val="060E1C"/>
                <w:sz w:val="17"/>
                <w:szCs w:val="17"/>
              </w:rPr>
              <w:t xml:space="preserve">The Protection of Personal Information Act 4 of 2013 is the primary data protection legislation in South Africa. It commenced on 1 July 2020. The one-year compliance grace period expired on 30 June 2021. All sections are now fully enforceable. The Act is administered and enforced by the Information Regulator of South Africa.</w:t>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4000"/>
        <w:gridCol w:w="2800"/>
      </w:tblGrid>
      <w:tr>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LEGISLATION / INSTRUMENT</w:t>
            </w:r>
          </w:p>
        </w:tc>
        <w:tc>
          <w:tcPr>
            <w:tcW w:type="dxa" w:w="40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RELEVANCE TO G.O.D.S GROUP</w:t>
            </w:r>
          </w:p>
        </w:tc>
        <w:tc>
          <w:tcPr>
            <w:tcW w:type="dxa" w:w="2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KEY OBLIGATION</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POPIA, Act 4 of 2013</w:t>
            </w:r>
          </w:p>
        </w:tc>
        <w:tc>
          <w:tcPr>
            <w:tcW w:type="dxa" w:w="4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Primary data protection statute. Governs all personal information processing across all divisions.</w:t>
            </w:r>
          </w:p>
        </w:tc>
        <w:tc>
          <w:tcPr>
            <w:tcW w:type="dxa" w:w="2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8 Conditions for Lawful Processing; Section 26 Special Information prohibitions</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POPIA Regulations (GNR 1383 of 2018)</w:t>
            </w:r>
          </w:p>
        </w:tc>
        <w:tc>
          <w:tcPr>
            <w:tcW w:type="dxa" w:w="4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Prescribes forms, notification requirements, and procedures under the Act.</w:t>
            </w:r>
          </w:p>
        </w:tc>
        <w:tc>
          <w:tcPr>
            <w:tcW w:type="dxa" w:w="2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Form 1 (Information Officer registration); Form 2 (Notification of data breach)</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Promotion of Access to Information Act 2 of 2000 (PAIA)</w:t>
            </w:r>
          </w:p>
        </w:tc>
        <w:tc>
          <w:tcPr>
            <w:tcW w:type="dxa" w:w="4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Governs requests for access to records held by G.O.D.S Group. Required PAIA Manual.</w:t>
            </w:r>
          </w:p>
        </w:tc>
        <w:tc>
          <w:tcPr>
            <w:tcW w:type="dxa" w:w="2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Publish PAIA Manual within 6 months of incorporation</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Electronic Communications and Transactions Act 25 of 2002 (ECTA)</w:t>
            </w:r>
          </w:p>
        </w:tc>
        <w:tc>
          <w:tcPr>
            <w:tcW w:type="dxa" w:w="4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Governs electronic processing, storage, and transmission of data.</w:t>
            </w:r>
          </w:p>
        </w:tc>
        <w:tc>
          <w:tcPr>
            <w:tcW w:type="dxa" w:w="2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Electronic consent validity; data integrity requirements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Basic Conditions of Employment Act 75 of 1997 (BCEA)</w:t>
            </w:r>
          </w:p>
        </w:tc>
        <w:tc>
          <w:tcPr>
            <w:tcW w:type="dxa" w:w="4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Employee personal information processing must comply with both BCEA and POPIA.</w:t>
            </w:r>
          </w:p>
        </w:tc>
        <w:tc>
          <w:tcPr>
            <w:tcW w:type="dxa" w:w="2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Employee records retention; access rights</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Criminal Procedure Act 51 of 1977 (CPA) — Sections applicable to criminal records processing</w:t>
            </w:r>
          </w:p>
        </w:tc>
        <w:tc>
          <w:tcPr>
            <w:tcW w:type="dxa" w:w="4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S.E.T.H.S processes criminal behaviour information under POPIA Section 27(b).</w:t>
            </w:r>
          </w:p>
        </w:tc>
        <w:tc>
          <w:tcPr>
            <w:tcW w:type="dxa" w:w="2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Prior authorisation from Information Regulator required for certain criminal record processing</w:t>
            </w:r>
          </w:p>
        </w:tc>
      </w:tr>
    </w:tbl>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1.3  Scope — Entities and Data Streams Covered</w:t>
      </w:r>
    </w:p>
    <w:p>
      <w:pPr>
        <w:spacing w:after="120" w:before="0"/>
      </w:pPr>
      <w:r>
        <w:rPr>
          <w:rFonts w:ascii="Arial" w:cs="Arial" w:eastAsia="Arial" w:hAnsi="Arial"/>
          <w:sz w:val="18"/>
          <w:szCs w:val="18"/>
        </w:rPr>
        <w:t xml:space="preserve">This Framework covers five distinct data processing streams across the G.O.D.S Group. Each stream is governed by specific provisions of POPIA applicable to the categories of personal information processed.</w:t>
      </w:r>
    </w:p>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400"/>
        <w:gridCol w:w="2200"/>
        <w:gridCol w:w="2200"/>
        <w:gridCol w:w="2200"/>
        <w:gridCol w:w="2200"/>
      </w:tblGrid>
      <w:tr>
        <w:tc>
          <w:tcPr>
            <w:tcW w:type="dxa" w:w="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w:t>
            </w:r>
          </w:p>
        </w:tc>
        <w:tc>
          <w:tcPr>
            <w:tcW w:type="dxa" w:w="2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DATA STREAM</w:t>
            </w:r>
          </w:p>
        </w:tc>
        <w:tc>
          <w:tcPr>
            <w:tcW w:type="dxa" w:w="2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DIVISION</w:t>
            </w:r>
          </w:p>
        </w:tc>
        <w:tc>
          <w:tcPr>
            <w:tcW w:type="dxa" w:w="2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DATA CATEGORIES</w:t>
            </w:r>
          </w:p>
        </w:tc>
        <w:tc>
          <w:tcPr>
            <w:tcW w:type="dxa" w:w="2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POPIA RISK LEVEL</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1</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S.E.T.H.S Intake &amp; Assessment</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S.E.T.H.S (Pty) Ltd</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Full name, ID, contact details, residential address, employment history, educational background, addiction and substance use history, mental health information, criminal history, biometric data (fingerprint), psychometric test results, family background</w:t>
            </w:r>
          </w:p>
        </w:tc>
        <w:tc>
          <w:tcPr>
            <w:tcW w:type="dxa" w:w="2200"/>
            <w:tcBorders>
              <w:top w:val="single" w:color="CCCCCC" w:sz="4"/>
              <w:left w:val="single" w:color="CCCCCC" w:sz="4"/>
              <w:bottom w:val="single" w:color="CCCCCC" w:sz="4"/>
              <w:right w:val="single" w:color="CCCCCC" w:sz="4"/>
            </w:tcBorders>
            <w:shd w:fill="FDECEA"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  VERY HIGH — Section 26 Special Personal Information</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2</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S.E.T.H.S Programme Monitoring</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S.E.T.H.S (Pty) Ltd</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Programme compliance records, behavioral incident reports, employment placement records, post-placement check-in data, relapse disclosures, employer feedback, 24-month retention data</w:t>
            </w:r>
          </w:p>
        </w:tc>
        <w:tc>
          <w:tcPr>
            <w:tcW w:type="dxa" w:w="2200"/>
            <w:tcBorders>
              <w:top w:val="single" w:color="CCCCCC" w:sz="4"/>
              <w:left w:val="single" w:color="CCCCCC" w:sz="4"/>
              <w:bottom w:val="single" w:color="CCCCCC" w:sz="4"/>
              <w:right w:val="single" w:color="CCCCCC" w:sz="4"/>
            </w:tcBorders>
            <w:shd w:fill="FFF8F8"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  HIGH — sensitive program-related information</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3</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UDOC Enterprise Client Data</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UDOC Technologies (Pty) Ltd</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Contact persons' data, AI system audit logs, governance event records, compliance certification records, workforce impact data (employee-level where applicable)</w:t>
            </w:r>
          </w:p>
        </w:tc>
        <w:tc>
          <w:tcPr>
            <w:tcW w:type="dxa" w:w="2200"/>
            <w:tcBorders>
              <w:top w:val="single" w:color="CCCCCC" w:sz="4"/>
              <w:left w:val="single" w:color="CCCCCC" w:sz="4"/>
              <w:bottom w:val="single" w:color="CCCCCC" w:sz="4"/>
              <w:right w:val="single" w:color="CCCCCC" w:sz="4"/>
            </w:tcBorders>
            <w:shd w:fill="FDECEA"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  MEDIUM — enterprise data, minimal Special Information unless HR modules active</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4</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UDOC Government Deployment Data</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UDOC Technologies (Pty) Ltd</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Citizen data processed under government mandate; biometric identity records; AI decision audit trails relating to individual citizens; welfare allocation records</w:t>
            </w:r>
          </w:p>
        </w:tc>
        <w:tc>
          <w:tcPr>
            <w:tcW w:type="dxa" w:w="2200"/>
            <w:tcBorders>
              <w:top w:val="single" w:color="CCCCCC" w:sz="4"/>
              <w:left w:val="single" w:color="CCCCCC" w:sz="4"/>
              <w:bottom w:val="single" w:color="CCCCCC" w:sz="4"/>
              <w:right w:val="single" w:color="CCCCCC" w:sz="4"/>
            </w:tcBorders>
            <w:shd w:fill="FFF8F8"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  HIGH — sovereign citizen data; government as Joint Responsible Party</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5</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M.A.D.I.B.A Capital &amp; Investor Data</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M.A.D.I.B.A Capital (Pty) Ltd</w:t>
            </w:r>
          </w:p>
        </w:tc>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Individual investor KYC data, source of funds declarations, FICA documents, key person financial information</w:t>
            </w:r>
          </w:p>
        </w:tc>
        <w:tc>
          <w:tcPr>
            <w:tcW w:type="dxa" w:w="2200"/>
            <w:tcBorders>
              <w:top w:val="single" w:color="CCCCCC" w:sz="4"/>
              <w:left w:val="single" w:color="CCCCCC" w:sz="4"/>
              <w:bottom w:val="single" w:color="CCCCCC" w:sz="4"/>
              <w:right w:val="single" w:color="CCCCCC" w:sz="4"/>
            </w:tcBorders>
            <w:shd w:fill="FDECEA"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  MEDIUM — financial personal information; FICA regulatory overlay</w:t>
            </w:r>
          </w:p>
        </w:tc>
      </w:tr>
    </w:tbl>
    <w:p>
      <w:pPr>
        <w:spacing w:after="16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02  —  </w:t>
      </w:r>
      <w:r>
        <w:rPr>
          <w:rFonts w:ascii="Arial" w:cs="Arial" w:eastAsia="Arial" w:hAnsi="Arial"/>
          <w:b/>
          <w:bCs/>
          <w:color w:val="FFFFFF"/>
          <w:sz w:val="26"/>
          <w:szCs w:val="26"/>
        </w:rPr>
        <w:t xml:space="preserve">THE EIGHT CONDITIONS FOR LAWFUL PROCESSING — G.O.D.S APPLICATION</w:t>
      </w:r>
    </w:p>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FFFFFF" w:sz="1"/>
              <w:left w:val="single" w:color="060E1C" w:sz="16"/>
              <w:bottom w:val="single" w:color="FFFFFF" w:sz="1"/>
              <w:right w:val="single" w:color="FFFFFF" w:sz="1"/>
            </w:tcBorders>
            <w:shd w:fill="F4F4F4" w:val="clear"/>
            <w:tcMar>
              <w:top w:type="dxa" w:w="120"/>
              <w:left w:type="dxa" w:w="240"/>
              <w:bottom w:type="dxa" w:w="120"/>
              <w:right w:type="dxa" w:w="180"/>
            </w:tcMar>
          </w:tcPr>
          <w:p>
            <w:pPr>
              <w:spacing w:after="0"/>
            </w:pPr>
            <w:r>
              <w:rPr>
                <w:rFonts w:ascii="Arial" w:cs="Arial" w:eastAsia="Arial" w:hAnsi="Arial"/>
                <w:color w:val="060E1C"/>
                <w:sz w:val="18"/>
                <w:szCs w:val="18"/>
              </w:rPr>
              <w:t xml:space="preserve">POPIA Chapter 3 establishes eight conditions that must be satisfied for any processing of personal information to be lawful. Every data processing activity across the G.O.D.S Group must comply with all eight conditions simultaneously. Failure to satisfy any one condition renders the processing unlawful.</w:t>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22"/>
                <w:szCs w:val="22"/>
              </w:rPr>
              <w:t xml:space="preserve">Condition 01  </w:t>
            </w:r>
            <w:r>
              <w:rPr>
                <w:rFonts w:ascii="Arial" w:cs="Arial" w:eastAsia="Arial" w:hAnsi="Arial"/>
                <w:b/>
                <w:bCs/>
                <w:color w:val="FFFFFF"/>
                <w:sz w:val="22"/>
                <w:szCs w:val="22"/>
              </w:rPr>
              <w:t xml:space="preserve">ACCOUNTABILITY</w:t>
            </w:r>
            <w:r>
              <w:rPr>
                <w:rFonts w:ascii="Arial" w:cs="Arial" w:eastAsia="Arial" w:hAnsi="Arial"/>
                <w:color w:val="888888"/>
                <w:sz w:val="18"/>
                <w:szCs w:val="18"/>
              </w:rPr>
              <w:t xml:space="preserve">   |   Section 8</w:t>
            </w:r>
          </w:p>
        </w:tc>
      </w:tr>
      <w:tr>
        <w:tc>
          <w:tcPr>
            <w:tcBorders>
              <w:top w:val="single" w:color="C9A84C" w:sz="4"/>
              <w:left w:val="single" w:color="C9A84C" w:sz="4"/>
              <w:bottom w:val="single" w:color="C9A84C" w:sz="4"/>
              <w:right w:val="single" w:color="C9A84C" w:sz="4"/>
            </w:tcBorders>
            <w:shd w:fill="FFFDF5" w:val="clear"/>
            <w:tcMar>
              <w:top w:type="dxa" w:w="120"/>
              <w:left w:type="dxa" w:w="160"/>
              <w:bottom w:type="dxa" w:w="0"/>
              <w:right w:type="dxa" w:w="160"/>
            </w:tcMar>
          </w:tcPr>
          <w:p>
            <w:pPr>
              <w:spacing w:after="100"/>
            </w:pPr>
            <w:r>
              <w:rPr>
                <w:rFonts w:ascii="Arial" w:cs="Arial" w:eastAsia="Arial" w:hAnsi="Arial"/>
                <w:b/>
                <w:bCs/>
                <w:color w:val="060E1C"/>
                <w:sz w:val="17"/>
                <w:szCs w:val="17"/>
              </w:rPr>
              <w:t xml:space="preserve">Statutory Requirement:  </w:t>
            </w:r>
            <w:r>
              <w:rPr>
                <w:rFonts w:ascii="Arial" w:cs="Arial" w:eastAsia="Arial" w:hAnsi="Arial"/>
                <w:color w:val="333333"/>
                <w:sz w:val="17"/>
                <w:szCs w:val="17"/>
              </w:rPr>
              <w:t xml:space="preserve">The Responsible Party (G.O.D.S Holdings) is accountable for ensuring compliance with POPIA across all subsidiaries. This accountability cannot be delegated away from the responsible party even where an Operator processes data on its behalf.</w:t>
            </w:r>
          </w:p>
          <w:p>
            <w:pPr>
              <w:spacing w:after="60"/>
            </w:pPr>
            <w:r>
              <w:rPr>
                <w:rFonts w:ascii="Arial" w:cs="Arial" w:eastAsia="Arial" w:hAnsi="Arial"/>
                <w:b/>
                <w:bCs/>
                <w:color w:val="060E1C"/>
              </w:rPr>
              <w:t xml:space="preserve">G.O.D.S Group Implementation: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Information Officer registered with the Information Regulator at inforegulator.org.za (Sashin J. Singh, as Founder, is the designated IO until a dedicated IO is appointed)</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Deputy Information Officer appointed for each subsidiary — responsible for day-to-day compliance within their division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POPIA Compliance Framework (this document) maintained, reviewed annually, and updated on material changes to processing activities</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Annual constitutional review by the Constitutional Oversight Board includes POPIA compliance assessment</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Processing Operations Register maintained and updated quarterly (see Section 3)</w:t>
            </w:r>
          </w:p>
          <w:p>
            <w:pPr>
              <w:spacing w:after="80"/>
            </w:pPr>
            <w:r>
              <w:rPr>
                <w:rFonts w:ascii="Arial" w:cs="Arial" w:eastAsia="Arial" w:hAnsi="Arial"/>
              </w:rPr>
              <w:t xml:space="preserve"/>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22"/>
                <w:szCs w:val="22"/>
              </w:rPr>
              <w:t xml:space="preserve">Condition 02  </w:t>
            </w:r>
            <w:r>
              <w:rPr>
                <w:rFonts w:ascii="Arial" w:cs="Arial" w:eastAsia="Arial" w:hAnsi="Arial"/>
                <w:b/>
                <w:bCs/>
                <w:color w:val="FFFFFF"/>
                <w:sz w:val="22"/>
                <w:szCs w:val="22"/>
              </w:rPr>
              <w:t xml:space="preserve">PROCESSING LIMITATION</w:t>
            </w:r>
            <w:r>
              <w:rPr>
                <w:rFonts w:ascii="Arial" w:cs="Arial" w:eastAsia="Arial" w:hAnsi="Arial"/>
                <w:color w:val="888888"/>
                <w:sz w:val="18"/>
                <w:szCs w:val="18"/>
              </w:rPr>
              <w:t xml:space="preserve">   |   Sections 9–12</w:t>
            </w:r>
          </w:p>
        </w:tc>
      </w:tr>
      <w:tr>
        <w:tc>
          <w:tcPr>
            <w:tcBorders>
              <w:top w:val="single" w:color="C9A84C" w:sz="4"/>
              <w:left w:val="single" w:color="C9A84C" w:sz="4"/>
              <w:bottom w:val="single" w:color="C9A84C" w:sz="4"/>
              <w:right w:val="single" w:color="C9A84C" w:sz="4"/>
            </w:tcBorders>
            <w:shd w:fill="FFFDF5" w:val="clear"/>
            <w:tcMar>
              <w:top w:type="dxa" w:w="120"/>
              <w:left w:type="dxa" w:w="160"/>
              <w:bottom w:type="dxa" w:w="0"/>
              <w:right w:type="dxa" w:w="160"/>
            </w:tcMar>
          </w:tcPr>
          <w:p>
            <w:pPr>
              <w:spacing w:after="100"/>
            </w:pPr>
            <w:r>
              <w:rPr>
                <w:rFonts w:ascii="Arial" w:cs="Arial" w:eastAsia="Arial" w:hAnsi="Arial"/>
                <w:b/>
                <w:bCs/>
                <w:color w:val="060E1C"/>
                <w:sz w:val="17"/>
                <w:szCs w:val="17"/>
              </w:rPr>
              <w:t xml:space="preserve">Statutory Requirement:  </w:t>
            </w:r>
            <w:r>
              <w:rPr>
                <w:rFonts w:ascii="Arial" w:cs="Arial" w:eastAsia="Arial" w:hAnsi="Arial"/>
                <w:color w:val="333333"/>
                <w:sz w:val="17"/>
                <w:szCs w:val="17"/>
              </w:rPr>
              <w:t xml:space="preserve">Personal information may only be processed in a lawful manner and in such a way that the privacy of the data subject is not infringed more than necessary. Processing must be for a specific, explicitly defined, and legitimate purpose.</w:t>
            </w:r>
          </w:p>
          <w:p>
            <w:pPr>
              <w:spacing w:after="60"/>
            </w:pPr>
            <w:r>
              <w:rPr>
                <w:rFonts w:ascii="Arial" w:cs="Arial" w:eastAsia="Arial" w:hAnsi="Arial"/>
                <w:b/>
                <w:bCs/>
                <w:color w:val="060E1C"/>
              </w:rPr>
              <w:t xml:space="preserve">G.O.D.S Group Implementation: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S.E.T.H.S: personal information collected only for programme eligibility assessment, skills matching, employment placement, and post-placement support. No secondary processing without fresh consent.</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UDOC: client data processed only to deliver contracted AI governance services. No analytics, profiling, or data monetisation beyond contracted scope without express authorisation.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M.A.D.I.B.A: investor KYC data processed only for FICA compliance and fund administration. Not accessible to other divisions.</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Cross-divisional data sharing prohibited unless explicitly permitted in this Framework and documented in the Data Sharing Agreement register</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All consent forms specify the exact purpose of collection (see Section 5)</w:t>
            </w:r>
          </w:p>
          <w:p>
            <w:pPr>
              <w:spacing w:after="80"/>
            </w:pPr>
            <w:r>
              <w:rPr>
                <w:rFonts w:ascii="Arial" w:cs="Arial" w:eastAsia="Arial" w:hAnsi="Arial"/>
              </w:rPr>
              <w:t xml:space="preserve"/>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22"/>
                <w:szCs w:val="22"/>
              </w:rPr>
              <w:t xml:space="preserve">Condition 03  </w:t>
            </w:r>
            <w:r>
              <w:rPr>
                <w:rFonts w:ascii="Arial" w:cs="Arial" w:eastAsia="Arial" w:hAnsi="Arial"/>
                <w:b/>
                <w:bCs/>
                <w:color w:val="FFFFFF"/>
                <w:sz w:val="22"/>
                <w:szCs w:val="22"/>
              </w:rPr>
              <w:t xml:space="preserve">PURPOSE SPECIFICATION</w:t>
            </w:r>
            <w:r>
              <w:rPr>
                <w:rFonts w:ascii="Arial" w:cs="Arial" w:eastAsia="Arial" w:hAnsi="Arial"/>
                <w:color w:val="888888"/>
                <w:sz w:val="18"/>
                <w:szCs w:val="18"/>
              </w:rPr>
              <w:t xml:space="preserve">   |   Sections 13–14</w:t>
            </w:r>
          </w:p>
        </w:tc>
      </w:tr>
      <w:tr>
        <w:tc>
          <w:tcPr>
            <w:tcBorders>
              <w:top w:val="single" w:color="C9A84C" w:sz="4"/>
              <w:left w:val="single" w:color="C9A84C" w:sz="4"/>
              <w:bottom w:val="single" w:color="C9A84C" w:sz="4"/>
              <w:right w:val="single" w:color="C9A84C" w:sz="4"/>
            </w:tcBorders>
            <w:shd w:fill="FFFDF5" w:val="clear"/>
            <w:tcMar>
              <w:top w:type="dxa" w:w="120"/>
              <w:left w:type="dxa" w:w="160"/>
              <w:bottom w:type="dxa" w:w="0"/>
              <w:right w:type="dxa" w:w="160"/>
            </w:tcMar>
          </w:tcPr>
          <w:p>
            <w:pPr>
              <w:spacing w:after="100"/>
            </w:pPr>
            <w:r>
              <w:rPr>
                <w:rFonts w:ascii="Arial" w:cs="Arial" w:eastAsia="Arial" w:hAnsi="Arial"/>
                <w:b/>
                <w:bCs/>
                <w:color w:val="060E1C"/>
                <w:sz w:val="17"/>
                <w:szCs w:val="17"/>
              </w:rPr>
              <w:t xml:space="preserve">Statutory Requirement:  </w:t>
            </w:r>
            <w:r>
              <w:rPr>
                <w:rFonts w:ascii="Arial" w:cs="Arial" w:eastAsia="Arial" w:hAnsi="Arial"/>
                <w:color w:val="333333"/>
                <w:sz w:val="17"/>
                <w:szCs w:val="17"/>
              </w:rPr>
              <w:t xml:space="preserve">Personal information must be collected for a specific, explicitly defined, and legitimate purpose. The data subject must be informed of this purpose before or at the time of collection. Information may not be retained longer than necessary to achieve that purpose.</w:t>
            </w:r>
          </w:p>
          <w:p>
            <w:pPr>
              <w:spacing w:after="60"/>
            </w:pPr>
            <w:r>
              <w:rPr>
                <w:rFonts w:ascii="Arial" w:cs="Arial" w:eastAsia="Arial" w:hAnsi="Arial"/>
                <w:b/>
                <w:bCs/>
                <w:color w:val="060E1C"/>
              </w:rPr>
              <w:t xml:space="preserve">G.O.D.S Group Implementation: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Each intake form and consent document specifies the exact purpose in plain language — no generic 'we may use your information for any purpose' language</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Retention schedules defined for each data stream (see Section 4)</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Purpose change notification: if processing purpose changes, data subjects are notified and fresh consent obtained before further processing</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Automated retention enforcement to be implemented in UDOC system from Phase 2</w:t>
            </w:r>
          </w:p>
          <w:p>
            <w:pPr>
              <w:spacing w:after="80"/>
            </w:pPr>
            <w:r>
              <w:rPr>
                <w:rFonts w:ascii="Arial" w:cs="Arial" w:eastAsia="Arial" w:hAnsi="Arial"/>
              </w:rPr>
              <w:t xml:space="preserve"/>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22"/>
                <w:szCs w:val="22"/>
              </w:rPr>
              <w:t xml:space="preserve">Condition 04  </w:t>
            </w:r>
            <w:r>
              <w:rPr>
                <w:rFonts w:ascii="Arial" w:cs="Arial" w:eastAsia="Arial" w:hAnsi="Arial"/>
                <w:b/>
                <w:bCs/>
                <w:color w:val="FFFFFF"/>
                <w:sz w:val="22"/>
                <w:szCs w:val="22"/>
              </w:rPr>
              <w:t xml:space="preserve">FURTHER PROCESSING LIMITATION</w:t>
            </w:r>
            <w:r>
              <w:rPr>
                <w:rFonts w:ascii="Arial" w:cs="Arial" w:eastAsia="Arial" w:hAnsi="Arial"/>
                <w:color w:val="888888"/>
                <w:sz w:val="18"/>
                <w:szCs w:val="18"/>
              </w:rPr>
              <w:t xml:space="preserve">   |   Section 15</w:t>
            </w:r>
          </w:p>
        </w:tc>
      </w:tr>
      <w:tr>
        <w:tc>
          <w:tcPr>
            <w:tcBorders>
              <w:top w:val="single" w:color="C9A84C" w:sz="4"/>
              <w:left w:val="single" w:color="C9A84C" w:sz="4"/>
              <w:bottom w:val="single" w:color="C9A84C" w:sz="4"/>
              <w:right w:val="single" w:color="C9A84C" w:sz="4"/>
            </w:tcBorders>
            <w:shd w:fill="FFFDF5" w:val="clear"/>
            <w:tcMar>
              <w:top w:type="dxa" w:w="120"/>
              <w:left w:type="dxa" w:w="160"/>
              <w:bottom w:type="dxa" w:w="0"/>
              <w:right w:type="dxa" w:w="160"/>
            </w:tcMar>
          </w:tcPr>
          <w:p>
            <w:pPr>
              <w:spacing w:after="100"/>
            </w:pPr>
            <w:r>
              <w:rPr>
                <w:rFonts w:ascii="Arial" w:cs="Arial" w:eastAsia="Arial" w:hAnsi="Arial"/>
                <w:b/>
                <w:bCs/>
                <w:color w:val="060E1C"/>
                <w:sz w:val="17"/>
                <w:szCs w:val="17"/>
              </w:rPr>
              <w:t xml:space="preserve">Statutory Requirement:  </w:t>
            </w:r>
            <w:r>
              <w:rPr>
                <w:rFonts w:ascii="Arial" w:cs="Arial" w:eastAsia="Arial" w:hAnsi="Arial"/>
                <w:color w:val="333333"/>
                <w:sz w:val="17"/>
                <w:szCs w:val="17"/>
              </w:rPr>
              <w:t xml:space="preserve">Further processing of personal information must be compatible with the purpose for which it was originally collected. The compatibility test considers: the link between the original and further purpose; the nature of the information; the consequences of further processing; and the manner in which it was collected.</w:t>
            </w:r>
          </w:p>
          <w:p>
            <w:pPr>
              <w:spacing w:after="60"/>
            </w:pPr>
            <w:r>
              <w:rPr>
                <w:rFonts w:ascii="Arial" w:cs="Arial" w:eastAsia="Arial" w:hAnsi="Arial"/>
                <w:b/>
                <w:bCs/>
                <w:color w:val="060E1C"/>
              </w:rPr>
              <w:t xml:space="preserve">G.O.D.S Group Implementation: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S.E.T.H.S outcome data used for anonymised research and programme improvement only — individual data not shared with employers beyond the contracted placement context without consent</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UDOC audit trail data not used for purposes beyond contracted governance services — specifically excluded from M.A.D.I.B.A capital analysis or S.E.T.H.S programme decisions</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Data sharing agreements required with all third parties receiving personal information (see Section 7)</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Any intended further processing requires Legal Counsel review and (where Section 26 data is involved) Information Regulator authorisation</w:t>
            </w:r>
          </w:p>
          <w:p>
            <w:pPr>
              <w:spacing w:after="80"/>
            </w:pPr>
            <w:r>
              <w:rPr>
                <w:rFonts w:ascii="Arial" w:cs="Arial" w:eastAsia="Arial" w:hAnsi="Arial"/>
              </w:rPr>
              <w:t xml:space="preserve"/>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22"/>
                <w:szCs w:val="22"/>
              </w:rPr>
              <w:t xml:space="preserve">Condition 05  </w:t>
            </w:r>
            <w:r>
              <w:rPr>
                <w:rFonts w:ascii="Arial" w:cs="Arial" w:eastAsia="Arial" w:hAnsi="Arial"/>
                <w:b/>
                <w:bCs/>
                <w:color w:val="FFFFFF"/>
                <w:sz w:val="22"/>
                <w:szCs w:val="22"/>
              </w:rPr>
              <w:t xml:space="preserve">INFORMATION QUALITY</w:t>
            </w:r>
            <w:r>
              <w:rPr>
                <w:rFonts w:ascii="Arial" w:cs="Arial" w:eastAsia="Arial" w:hAnsi="Arial"/>
                <w:color w:val="888888"/>
                <w:sz w:val="18"/>
                <w:szCs w:val="18"/>
              </w:rPr>
              <w:t xml:space="preserve">   |   Section 16</w:t>
            </w:r>
          </w:p>
        </w:tc>
      </w:tr>
      <w:tr>
        <w:tc>
          <w:tcPr>
            <w:tcBorders>
              <w:top w:val="single" w:color="C9A84C" w:sz="4"/>
              <w:left w:val="single" w:color="C9A84C" w:sz="4"/>
              <w:bottom w:val="single" w:color="C9A84C" w:sz="4"/>
              <w:right w:val="single" w:color="C9A84C" w:sz="4"/>
            </w:tcBorders>
            <w:shd w:fill="FFFDF5" w:val="clear"/>
            <w:tcMar>
              <w:top w:type="dxa" w:w="120"/>
              <w:left w:type="dxa" w:w="160"/>
              <w:bottom w:type="dxa" w:w="0"/>
              <w:right w:type="dxa" w:w="160"/>
            </w:tcMar>
          </w:tcPr>
          <w:p>
            <w:pPr>
              <w:spacing w:after="100"/>
            </w:pPr>
            <w:r>
              <w:rPr>
                <w:rFonts w:ascii="Arial" w:cs="Arial" w:eastAsia="Arial" w:hAnsi="Arial"/>
                <w:b/>
                <w:bCs/>
                <w:color w:val="060E1C"/>
                <w:sz w:val="17"/>
                <w:szCs w:val="17"/>
              </w:rPr>
              <w:t xml:space="preserve">Statutory Requirement:  </w:t>
            </w:r>
            <w:r>
              <w:rPr>
                <w:rFonts w:ascii="Arial" w:cs="Arial" w:eastAsia="Arial" w:hAnsi="Arial"/>
                <w:color w:val="333333"/>
                <w:sz w:val="17"/>
                <w:szCs w:val="17"/>
              </w:rPr>
              <w:t xml:space="preserve">Personal information must be complete, accurate, not misleading, and updated where necessary. Steps must be taken to ensure quality, having regard to the purpose for which information is collected.</w:t>
            </w:r>
          </w:p>
          <w:p>
            <w:pPr>
              <w:spacing w:after="60"/>
            </w:pPr>
            <w:r>
              <w:rPr>
                <w:rFonts w:ascii="Arial" w:cs="Arial" w:eastAsia="Arial" w:hAnsi="Arial"/>
                <w:b/>
                <w:bCs/>
                <w:color w:val="060E1C"/>
              </w:rPr>
              <w:t xml:space="preserve">G.O.D.S Group Implementation: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S.E.T.H.S participants complete their own intake forms with facilitator assistance — self-declaration reduces inaccuracy risk</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Periodic data verification: case managers confirm contact details at 30/60/90-day check-ins</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Data correction procedures: participants may request corrections at any time (see Section 6)</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UDOC: client system data accuracy is the responsibility of the client as the data controller for their AI systems — UDOC processes it as Operator</w:t>
            </w:r>
          </w:p>
          <w:p>
            <w:pPr>
              <w:spacing w:after="80"/>
            </w:pPr>
            <w:r>
              <w:rPr>
                <w:rFonts w:ascii="Arial" w:cs="Arial" w:eastAsia="Arial" w:hAnsi="Arial"/>
              </w:rPr>
              <w:t xml:space="preserve"/>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22"/>
                <w:szCs w:val="22"/>
              </w:rPr>
              <w:t xml:space="preserve">Condition 06  </w:t>
            </w:r>
            <w:r>
              <w:rPr>
                <w:rFonts w:ascii="Arial" w:cs="Arial" w:eastAsia="Arial" w:hAnsi="Arial"/>
                <w:b/>
                <w:bCs/>
                <w:color w:val="FFFFFF"/>
                <w:sz w:val="22"/>
                <w:szCs w:val="22"/>
              </w:rPr>
              <w:t xml:space="preserve">OPENNESS</w:t>
            </w:r>
            <w:r>
              <w:rPr>
                <w:rFonts w:ascii="Arial" w:cs="Arial" w:eastAsia="Arial" w:hAnsi="Arial"/>
                <w:color w:val="888888"/>
                <w:sz w:val="18"/>
                <w:szCs w:val="18"/>
              </w:rPr>
              <w:t xml:space="preserve">   |   Sections 17–18</w:t>
            </w:r>
          </w:p>
        </w:tc>
      </w:tr>
      <w:tr>
        <w:tc>
          <w:tcPr>
            <w:tcBorders>
              <w:top w:val="single" w:color="C9A84C" w:sz="4"/>
              <w:left w:val="single" w:color="C9A84C" w:sz="4"/>
              <w:bottom w:val="single" w:color="C9A84C" w:sz="4"/>
              <w:right w:val="single" w:color="C9A84C" w:sz="4"/>
            </w:tcBorders>
            <w:shd w:fill="FFFDF5" w:val="clear"/>
            <w:tcMar>
              <w:top w:type="dxa" w:w="120"/>
              <w:left w:type="dxa" w:w="160"/>
              <w:bottom w:type="dxa" w:w="0"/>
              <w:right w:type="dxa" w:w="160"/>
            </w:tcMar>
          </w:tcPr>
          <w:p>
            <w:pPr>
              <w:spacing w:after="100"/>
            </w:pPr>
            <w:r>
              <w:rPr>
                <w:rFonts w:ascii="Arial" w:cs="Arial" w:eastAsia="Arial" w:hAnsi="Arial"/>
                <w:b/>
                <w:bCs/>
                <w:color w:val="060E1C"/>
                <w:sz w:val="17"/>
                <w:szCs w:val="17"/>
              </w:rPr>
              <w:t xml:space="preserve">Statutory Requirement:  </w:t>
            </w:r>
            <w:r>
              <w:rPr>
                <w:rFonts w:ascii="Arial" w:cs="Arial" w:eastAsia="Arial" w:hAnsi="Arial"/>
                <w:color w:val="333333"/>
                <w:sz w:val="17"/>
                <w:szCs w:val="17"/>
              </w:rPr>
              <w:t xml:space="preserve">The Responsible Party must maintain documentation of all processing operations and must take reasonable steps to inform data subjects of the information being collected, the purpose, who will have access to it, and their rights.</w:t>
            </w:r>
          </w:p>
          <w:p>
            <w:pPr>
              <w:spacing w:after="60"/>
            </w:pPr>
            <w:r>
              <w:rPr>
                <w:rFonts w:ascii="Arial" w:cs="Arial" w:eastAsia="Arial" w:hAnsi="Arial"/>
                <w:b/>
                <w:bCs/>
                <w:color w:val="060E1C"/>
              </w:rPr>
              <w:t xml:space="preserve">G.O.D.S Group Implementation: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PAIA Manual published and available on gods.systems (required within 6 months of incorporation)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Privacy Notice provided to all data subjects before collection — included in all intake forms, contracts, and website</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Processing Operations Register available to the Information Regulator on request</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Participants and clients informed of their rights in plain language at the point of data collection</w:t>
            </w:r>
          </w:p>
          <w:p>
            <w:pPr>
              <w:spacing w:after="80"/>
            </w:pPr>
            <w:r>
              <w:rPr>
                <w:rFonts w:ascii="Arial" w:cs="Arial" w:eastAsia="Arial" w:hAnsi="Arial"/>
              </w:rPr>
              <w:t xml:space="preserve"/>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22"/>
                <w:szCs w:val="22"/>
              </w:rPr>
              <w:t xml:space="preserve">Condition 07  </w:t>
            </w:r>
            <w:r>
              <w:rPr>
                <w:rFonts w:ascii="Arial" w:cs="Arial" w:eastAsia="Arial" w:hAnsi="Arial"/>
                <w:b/>
                <w:bCs/>
                <w:color w:val="FFFFFF"/>
                <w:sz w:val="22"/>
                <w:szCs w:val="22"/>
              </w:rPr>
              <w:t xml:space="preserve">SECURITY SAFEGUARDS</w:t>
            </w:r>
            <w:r>
              <w:rPr>
                <w:rFonts w:ascii="Arial" w:cs="Arial" w:eastAsia="Arial" w:hAnsi="Arial"/>
                <w:color w:val="888888"/>
                <w:sz w:val="18"/>
                <w:szCs w:val="18"/>
              </w:rPr>
              <w:t xml:space="preserve">   |   Sections 19–22</w:t>
            </w:r>
          </w:p>
        </w:tc>
      </w:tr>
      <w:tr>
        <w:tc>
          <w:tcPr>
            <w:tcBorders>
              <w:top w:val="single" w:color="C9A84C" w:sz="4"/>
              <w:left w:val="single" w:color="C9A84C" w:sz="4"/>
              <w:bottom w:val="single" w:color="C9A84C" w:sz="4"/>
              <w:right w:val="single" w:color="C9A84C" w:sz="4"/>
            </w:tcBorders>
            <w:shd w:fill="FFFDF5" w:val="clear"/>
            <w:tcMar>
              <w:top w:type="dxa" w:w="120"/>
              <w:left w:type="dxa" w:w="160"/>
              <w:bottom w:type="dxa" w:w="0"/>
              <w:right w:type="dxa" w:w="160"/>
            </w:tcMar>
          </w:tcPr>
          <w:p>
            <w:pPr>
              <w:spacing w:after="100"/>
            </w:pPr>
            <w:r>
              <w:rPr>
                <w:rFonts w:ascii="Arial" w:cs="Arial" w:eastAsia="Arial" w:hAnsi="Arial"/>
                <w:b/>
                <w:bCs/>
                <w:color w:val="060E1C"/>
                <w:sz w:val="17"/>
                <w:szCs w:val="17"/>
              </w:rPr>
              <w:t xml:space="preserve">Statutory Requirement:  </w:t>
            </w:r>
            <w:r>
              <w:rPr>
                <w:rFonts w:ascii="Arial" w:cs="Arial" w:eastAsia="Arial" w:hAnsi="Arial"/>
                <w:color w:val="333333"/>
                <w:sz w:val="17"/>
                <w:szCs w:val="17"/>
              </w:rPr>
              <w:t xml:space="preserve">The Responsible Party must secure the integrity and confidentiality of personal information in its possession or under its control. Appropriate, reasonable technical and organisational measures must be taken against unlawful access, processing, loss, damage, or destruction.</w:t>
            </w:r>
          </w:p>
          <w:p>
            <w:pPr>
              <w:spacing w:after="60"/>
            </w:pPr>
            <w:r>
              <w:rPr>
                <w:rFonts w:ascii="Arial" w:cs="Arial" w:eastAsia="Arial" w:hAnsi="Arial"/>
                <w:b/>
                <w:bCs/>
                <w:color w:val="060E1C"/>
              </w:rPr>
              <w:t xml:space="preserve">G.O.D.S Group Implementation: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UDOC HQ-OS provides the technical security layer: AES-256 encryption at rest, TLS 1.3 in transit, post-quantum cryptography from Phase 1, zero-trust network architecture</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Physical security: SDU facility access controlled, participant files stored in locked cabinets, digital access requires biometric or MFA</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Staff training: all staff trained on POPIA obligations before accessing any personal information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Operator agreements: all third-party processors sign data processing agreements (see Section 7)</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Annual cybersecurity penetration testing</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Security breach notification procedure (see Section 9)</w:t>
            </w:r>
          </w:p>
          <w:p>
            <w:pPr>
              <w:spacing w:after="80"/>
            </w:pPr>
            <w:r>
              <w:rPr>
                <w:rFonts w:ascii="Arial" w:cs="Arial" w:eastAsia="Arial" w:hAnsi="Arial"/>
              </w:rPr>
              <w:t xml:space="preserve"/>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22"/>
                <w:szCs w:val="22"/>
              </w:rPr>
              <w:t xml:space="preserve">Condition 08  </w:t>
            </w:r>
            <w:r>
              <w:rPr>
                <w:rFonts w:ascii="Arial" w:cs="Arial" w:eastAsia="Arial" w:hAnsi="Arial"/>
                <w:b/>
                <w:bCs/>
                <w:color w:val="FFFFFF"/>
                <w:sz w:val="22"/>
                <w:szCs w:val="22"/>
              </w:rPr>
              <w:t xml:space="preserve">DATA SUBJECT PARTICIPATION</w:t>
            </w:r>
            <w:r>
              <w:rPr>
                <w:rFonts w:ascii="Arial" w:cs="Arial" w:eastAsia="Arial" w:hAnsi="Arial"/>
                <w:color w:val="888888"/>
                <w:sz w:val="18"/>
                <w:szCs w:val="18"/>
              </w:rPr>
              <w:t xml:space="preserve">   |   Sections 23–25</w:t>
            </w:r>
          </w:p>
        </w:tc>
      </w:tr>
      <w:tr>
        <w:tc>
          <w:tcPr>
            <w:tcBorders>
              <w:top w:val="single" w:color="C9A84C" w:sz="4"/>
              <w:left w:val="single" w:color="C9A84C" w:sz="4"/>
              <w:bottom w:val="single" w:color="C9A84C" w:sz="4"/>
              <w:right w:val="single" w:color="C9A84C" w:sz="4"/>
            </w:tcBorders>
            <w:shd w:fill="FFFDF5" w:val="clear"/>
            <w:tcMar>
              <w:top w:type="dxa" w:w="120"/>
              <w:left w:type="dxa" w:w="160"/>
              <w:bottom w:type="dxa" w:w="0"/>
              <w:right w:type="dxa" w:w="160"/>
            </w:tcMar>
          </w:tcPr>
          <w:p>
            <w:pPr>
              <w:spacing w:after="100"/>
            </w:pPr>
            <w:r>
              <w:rPr>
                <w:rFonts w:ascii="Arial" w:cs="Arial" w:eastAsia="Arial" w:hAnsi="Arial"/>
                <w:b/>
                <w:bCs/>
                <w:color w:val="060E1C"/>
                <w:sz w:val="17"/>
                <w:szCs w:val="17"/>
              </w:rPr>
              <w:t xml:space="preserve">Statutory Requirement:  </w:t>
            </w:r>
            <w:r>
              <w:rPr>
                <w:rFonts w:ascii="Arial" w:cs="Arial" w:eastAsia="Arial" w:hAnsi="Arial"/>
                <w:color w:val="333333"/>
                <w:sz w:val="17"/>
                <w:szCs w:val="17"/>
              </w:rPr>
              <w:t xml:space="preserve">Data subjects have the right to: (a) request confirmation of whether information is held; (b) request a record of the information held; (c) request correction, deletion, or destruction of inaccurate information; (d) object to processing on reasonable grounds.</w:t>
            </w:r>
          </w:p>
          <w:p>
            <w:pPr>
              <w:spacing w:after="60"/>
            </w:pPr>
            <w:r>
              <w:rPr>
                <w:rFonts w:ascii="Arial" w:cs="Arial" w:eastAsia="Arial" w:hAnsi="Arial"/>
                <w:b/>
                <w:bCs/>
                <w:color w:val="060E1C"/>
              </w:rPr>
              <w:t xml:space="preserve">G.O.D.S Group Implementation:</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Data Subject Access Request (DSAR) procedure established (see Section 6)</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Response time: 30 days to confirm / provide access to information; 15 business days to correct, delete or destroy at data subject request</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No fee charged for access requests unless requests are manifestly unfounded or excessive</w:t>
            </w:r>
          </w:p>
          <w:p>
            <w:pPr>
              <w:spacing w:after="60"/>
              <w:ind w:left="240"/>
            </w:pPr>
            <w:r>
              <w:rPr>
                <w:rFonts w:ascii="Arial" w:cs="Arial" w:eastAsia="Arial" w:hAnsi="Arial"/>
                <w:color w:val="C9A84C"/>
                <w:sz w:val="18"/>
                <w:szCs w:val="18"/>
              </w:rPr>
              <w:t xml:space="preserve">•  </w:t>
            </w:r>
            <w:r>
              <w:rPr>
                <w:rFonts w:ascii="Arial" w:cs="Arial" w:eastAsia="Arial" w:hAnsi="Arial"/>
                <w:color w:val="333333"/>
                <w:sz w:val="17"/>
                <w:szCs w:val="17"/>
              </w:rPr>
              <w:t xml:space="preserve">Objection handling procedure: data subjects may object to processing on reasonable grounds — objection reviewed by Information Officer within 15 business days</w:t>
            </w:r>
          </w:p>
          <w:p>
            <w:pPr>
              <w:spacing w:after="80"/>
            </w:pPr>
            <w:r>
              <w:rPr>
                <w:rFonts w:ascii="Arial" w:cs="Arial" w:eastAsia="Arial" w:hAnsi="Arial"/>
              </w:rPr>
              <w:t xml:space="preserve"/>
            </w:r>
          </w:p>
        </w:tc>
      </w:tr>
    </w:tbl>
    <w:p>
      <w:pPr>
        <w:spacing w:after="8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03  —  </w:t>
      </w:r>
      <w:r>
        <w:rPr>
          <w:rFonts w:ascii="Arial" w:cs="Arial" w:eastAsia="Arial" w:hAnsi="Arial"/>
          <w:b/>
          <w:bCs/>
          <w:color w:val="FFFFFF"/>
          <w:sz w:val="26"/>
          <w:szCs w:val="26"/>
        </w:rPr>
        <w:t xml:space="preserve">PERSONAL INFORMATION PROCESSING REGISTER</w:t>
      </w:r>
    </w:p>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FFFFFF" w:sz="1"/>
              <w:left w:val="single" w:color="060E1C" w:sz="16"/>
              <w:bottom w:val="single" w:color="FFFFFF" w:sz="1"/>
              <w:right w:val="single" w:color="FFFFFF" w:sz="1"/>
            </w:tcBorders>
            <w:shd w:fill="F4F4F4" w:val="clear"/>
            <w:tcMar>
              <w:top w:type="dxa" w:w="120"/>
              <w:left w:type="dxa" w:w="240"/>
              <w:bottom w:type="dxa" w:w="120"/>
              <w:right w:type="dxa" w:w="180"/>
            </w:tcMar>
          </w:tcPr>
          <w:p>
            <w:pPr>
              <w:spacing w:after="0"/>
            </w:pPr>
            <w:r>
              <w:rPr>
                <w:rFonts w:ascii="Arial" w:cs="Arial" w:eastAsia="Arial" w:hAnsi="Arial"/>
                <w:color w:val="060E1C"/>
                <w:sz w:val="18"/>
                <w:szCs w:val="18"/>
              </w:rPr>
              <w:t xml:space="preserve">This register constitutes the G.O.D.S Group's record of processing activities as required by POPIA. It must be updated whenever a new data processing activity commences or an existing activity materially changes. A copy must be provided to the Information Regulator on request.</w:t>
            </w:r>
          </w:p>
        </w:tc>
      </w:tr>
    </w:tbl>
    <w:p>
      <w:pPr>
        <w:spacing w:after="80"/>
      </w:pPr>
      <w:r>
        <w:rPr>
          <w:rFonts w:ascii="Arial" w:cs="Arial" w:eastAsia="Arial" w:hAnsi="Arial"/>
        </w:rPr>
        <w:t xml:space="preserve"/>
      </w:r>
    </w:p>
    <w:p>
      <w:pPr>
        <w:shd w:fill="0D1E35" w:val="clear"/>
        <w:spacing w:before="320" w:after="140"/>
        <w:ind w:left="160"/>
      </w:pPr>
      <w:r>
        <w:rPr>
          <w:rFonts w:ascii="Arial" w:cs="Arial" w:eastAsia="Arial" w:hAnsi="Arial"/>
          <w:b/>
          <w:bCs/>
          <w:color w:val="C9A84C"/>
          <w:sz w:val="22"/>
          <w:szCs w:val="22"/>
        </w:rPr>
        <w:t xml:space="preserve">STREAM 1 — S.E.T.H.S INTAKE AND ASSESSMENT</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6800"/>
      </w:tblGrid>
      <w:tr>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FIELD</w:t>
            </w:r>
          </w:p>
        </w:tc>
        <w:tc>
          <w:tcPr>
            <w:tcW w:type="dxa" w:w="6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DETAIL</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Processing activity</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Collection and assessment of personal information from individuals applying to participate in the S.E.T.H.S programme</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Responsible Party</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S.E.T.H.S (Pty) Ltd</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Information Officer</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Sashin J. Singh (until divisional IO appointed)</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Lawful basis</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Explicit consent of the data subject (POPIA Section 11(1)(a)) AND processing is necessary for the proper performance of a public law duty or for the exercise of a public power, and by agreement between parties (Section 11(1)(c) for employer placement contracts)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Special Personal Information basis</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POPIA Section 27(a): the processing is with the explicit consent of the data subject AND POPIA Section 27(b): for the establishment, exercise, or defence of a right or obligation in law (rehabilitation programme purpose). Where criminal record processing is required: Section 33(1)(b) — for purposes contemplated in the Criminal Procedure Act</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Categories of personal information collected</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Identity: full name, RSA ID number, date of birth, gender, photograph
Contact: residential address, phone number, email address
Socioeconomic: employment history (24 months), educational background, income level
Health/Addiction (Special): substance use history, treatment history, mental health background — disclosed voluntarily
Criminal behaviour (Special): criminal record if applicable, nature of conviction, sentence served, parole/probation status
Biometric (Special): fingerprint for biometric check-in system
Psychological: psychometric test results, cognitive aptitude scores, work-style profile
Family background: household composition, dependents, support structure</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Purpose</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1. Assess eligibility for S.E.T.H.S programme  2. Design personalised development pathway  3. Match participant to appropriate employment stream  4. Monitor programme compliance  5. Connect participant to employer partners  6. Collect longitudinal outcome data for programme improvement</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Data subjects</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S.E.T.H.S programme applicants and enrolled participants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Recipients / Third parties</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Employer partners (placement data only, with participant consent and employer agreement)  |  Contracted clinical psychologists (counselling records with consent)  |  UDOC platform (for governance compliance monitoring — pseudonymised)  |  Government departments under contracted MOU (aggregate anonymised outcomes only unless otherwise agreed)</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Transfers outside SA</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NOT permitted without explicit consent and Information Regulator authorisation</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Retention period</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Active participation: duration of programme  |  Post-placement: 24 months from confirmed employment  |  Anonymised research data: indefinite (no personal identifiers retained after 24 months)  |  Criminal record information: deleted immediately upon programme exit unless required for legal proceedings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Security measures</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Encrypted digital records on UDOC platform (AES-256)  |  Physical files in locked storage at SDU facility  |  Access restricted to case manager assigned to participant and Programme Head  |  Biometric access log maintained  |  Annual security review</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Prior authorisation required</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YES — processing of criminal behaviour information requires prior authorisation from the Information Regulator under POPIA Section 57. Application must be submitted before first S.E.T.H.S cohort intake.</w:t>
            </w:r>
          </w:p>
        </w:tc>
      </w:tr>
    </w:tbl>
    <w:p>
      <w:pPr>
        <w:spacing w:after="160"/>
      </w:pPr>
      <w:r>
        <w:rPr>
          <w:rFonts w:ascii="Arial" w:cs="Arial" w:eastAsia="Arial" w:hAnsi="Arial"/>
        </w:rPr>
        <w:t xml:space="preserve"/>
      </w:r>
    </w:p>
    <w:p>
      <w:pPr>
        <w:shd w:fill="0D1E35" w:val="clear"/>
        <w:spacing w:before="320" w:after="140"/>
        <w:ind w:left="160"/>
      </w:pPr>
      <w:r>
        <w:rPr>
          <w:rFonts w:ascii="Arial" w:cs="Arial" w:eastAsia="Arial" w:hAnsi="Arial"/>
          <w:b/>
          <w:bCs/>
          <w:color w:val="C9A84C"/>
          <w:sz w:val="22"/>
          <w:szCs w:val="22"/>
        </w:rPr>
        <w:t xml:space="preserve">STREAM 2 — S.E.T.H.S PROGRAMME MONITORING</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6800"/>
      </w:tblGrid>
      <w:tr>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FIELD</w:t>
            </w:r>
          </w:p>
        </w:tc>
        <w:tc>
          <w:tcPr>
            <w:tcW w:type="dxa" w:w="6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DETAIL</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Processing activity</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Ongoing monitoring of participant progress, compliance, and employment outcomes during and after the S.E.T.H.S programme</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Lawful basis</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Consent (Section 11(1)(a)) — captured in Personal Recovery Contract  |  Necessary for performance of contract (Section 11(1)(c)) — the employer partnership agreement requires monitoring data</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Categories of data</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Daily attendance and compliance records  |  Behavioral incident reports (where they occur)  |  Relapse disclosure records (where disclosed)  |  Employer feedback (30/60/90-day reviews)  |  Employment contract details (job title, employer, salary band, start date)  |  Post-placement check-in responses (12-month and 24-month)</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Purpose</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Monitor programme standards compliance  |  Identify participants needing additional support  |  Provide employer partners with contracted performance monitoring  |  Generate programme outcome data for DFI reporting and government contracts  |  Enable programme quality improvement</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Retention</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Employment placement records: 24 months post-placement  |  Incident reports: 5 years (legal obligation)  |  Relapse disclosures: deleted immediately once support response is documented  |  Anonymised aggregate data: indefinite</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Third-party access</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Employer partners: access to placement and performance data relevant to their placed participant only, via UDOC employer dashboard, with participant consent  |  Government funding bodies: aggregate anonymised outcomes only  |  Legal proceedings: full records if required by court order</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Special considerations</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Relapse disclosure data is the most sensitive information in the programme. Access restricted to Programme Head and case manager only. Not accessible to employers. Deleted immediately once support response is documented.</w:t>
            </w:r>
          </w:p>
        </w:tc>
      </w:tr>
    </w:tbl>
    <w:p>
      <w:pPr>
        <w:spacing w:after="160"/>
      </w:pPr>
      <w:r>
        <w:rPr>
          <w:rFonts w:ascii="Arial" w:cs="Arial" w:eastAsia="Arial" w:hAnsi="Arial"/>
        </w:rPr>
        <w:t xml:space="preserve"/>
      </w:r>
    </w:p>
    <w:p>
      <w:pPr>
        <w:shd w:fill="0D1E35" w:val="clear"/>
        <w:spacing w:before="320" w:after="140"/>
        <w:ind w:left="160"/>
      </w:pPr>
      <w:r>
        <w:rPr>
          <w:rFonts w:ascii="Arial" w:cs="Arial" w:eastAsia="Arial" w:hAnsi="Arial"/>
          <w:b/>
          <w:bCs/>
          <w:color w:val="C9A84C"/>
          <w:sz w:val="22"/>
          <w:szCs w:val="22"/>
        </w:rPr>
        <w:t xml:space="preserve">STREAM 3 — UDOC ENTERPRISE CLIENT DATA</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6800"/>
      </w:tblGrid>
      <w:tr>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FIELD</w:t>
            </w:r>
          </w:p>
        </w:tc>
        <w:tc>
          <w:tcPr>
            <w:tcW w:type="dxa" w:w="6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DETAIL</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Processing activity</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Processing of personal information in connection with AI governance SaaS services delivered to enterprise clients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UDOC's role</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UDOC Technologies (Pty) Ltd is the Operator (Processor under GDPR equivalent). The enterprise client is the Responsible Party for data processed through UDOC. UDOC processes personal information only on documented instructions from the client.</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Lawful basis</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Necessary for performance of the enterprise services contract (Section 11(1)(c))</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Categories of data</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Enterprise contact persons: name, job title, email, phone  |  AI system audit trail data: may contain individual employee/customer identifiers embedded in AI decision logs  |  Compliance officer identities  |  Workforce impact assessment data: may contain employee demographic information</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Operator obligation</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UDOC must process personal information only on documented instructions from the enterprise client. The Data Processing Agreement (DPA) with each client governs this. UDOC must not process client data for any other purpose.</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Security</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UDOC HQ-OS: post-quantum cryptography, zero-trust architecture, encrypted audit logs, jurisdictional data sovereignty — all data remains in SA unless client contracts for international deployment</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Retention</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Audit trail data: minimum 7 years (regulatory requirement for AI governance records)  |  Governance event logs: 7 years  |  Client contact data: duration of contract plus 3 years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Breach notification</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UDOC must notify the enterprise client of any breach affecting their data within 72 hours of awareness — client then has the obligation to notify the Information Regulator and affected data subjects</w:t>
            </w:r>
          </w:p>
        </w:tc>
      </w:tr>
    </w:tbl>
    <w:p>
      <w:pPr>
        <w:spacing w:after="160"/>
      </w:pPr>
      <w:r>
        <w:rPr>
          <w:rFonts w:ascii="Arial" w:cs="Arial" w:eastAsia="Arial" w:hAnsi="Arial"/>
        </w:rPr>
        <w:t xml:space="preserve"/>
      </w:r>
    </w:p>
    <w:p>
      <w:pPr>
        <w:shd w:fill="0D1E35" w:val="clear"/>
        <w:spacing w:before="320" w:after="140"/>
        <w:ind w:left="160"/>
      </w:pPr>
      <w:r>
        <w:rPr>
          <w:rFonts w:ascii="Arial" w:cs="Arial" w:eastAsia="Arial" w:hAnsi="Arial"/>
          <w:b/>
          <w:bCs/>
          <w:color w:val="C9A84C"/>
          <w:sz w:val="22"/>
          <w:szCs w:val="22"/>
        </w:rPr>
        <w:t xml:space="preserve">STREAM 4 — UDOC GOVERNMENT DEPLOYMENT DATA</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6800"/>
      </w:tblGrid>
      <w:tr>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FIELD</w:t>
            </w:r>
          </w:p>
        </w:tc>
        <w:tc>
          <w:tcPr>
            <w:tcW w:type="dxa" w:w="6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DETAIL</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Processing activity</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Processing of citizen personal information within government-deployed UDOC national AI governance backbone</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Responsible Party analysis</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The government entity is the Primary Responsible Party for citizen data. UDOC Technologies (Pty) Ltd is the Operator. In certain deployments where UDOC also generates governance oversight data, UDOC may be a Joint Responsible Party — this must be resolved contractually in each government SPV agreement.</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Data sovereignty</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Absolute requirement: all government deployment data is stored within South African sovereign infrastructure. No data leaves South African jurisdiction. Government holds master encryption keys. UDOC cannot access government data without explicit government authorisation for each access event. This is technically enforced, not contractually promised only.</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Categories of data</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Citizen AI decision records (welfare, identity, licensing, taxation systems)  |  AI audit trail data  |  Biometric matching records (where government deploys biometric AI)  |  Compliance audit outputs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POPIA prior authorisation</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Processing of citizen biometric information in government systems requires government entity (as Responsible Party) to hold prior authorisation from Information Regulator. UDOC's role as Operator does not eliminate this requirement.</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Security</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Air-gapped QPU option for highest-sensitivity deployments (Phase 3)  |  Government-held encryption keys via QKD from Phase 2  |  Zero foreign cloud dependency  |  Auditor-General access rights per SPV governance provisions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Exit and portability</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Full data export to government in open format within 30 days of contract termination. UDOC retains no copies after deletion certificate is issued.</w:t>
            </w:r>
          </w:p>
        </w:tc>
      </w:tr>
    </w:tbl>
    <w:p>
      <w:pPr>
        <w:spacing w:after="160"/>
      </w:pPr>
      <w:r>
        <w:rPr>
          <w:rFonts w:ascii="Arial" w:cs="Arial" w:eastAsia="Arial" w:hAnsi="Arial"/>
        </w:rPr>
        <w:t xml:space="preserve"/>
      </w:r>
    </w:p>
    <w:p>
      <w:pPr>
        <w:shd w:fill="0D1E35" w:val="clear"/>
        <w:spacing w:before="320" w:after="140"/>
        <w:ind w:left="160"/>
      </w:pPr>
      <w:r>
        <w:rPr>
          <w:rFonts w:ascii="Arial" w:cs="Arial" w:eastAsia="Arial" w:hAnsi="Arial"/>
          <w:b/>
          <w:bCs/>
          <w:color w:val="C9A84C"/>
          <w:sz w:val="22"/>
          <w:szCs w:val="22"/>
        </w:rPr>
        <w:t xml:space="preserve">STREAM 5 — M.A.D.I.B.A CAPITAL AND INVESTOR DATA</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6800"/>
      </w:tblGrid>
      <w:tr>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FIELD</w:t>
            </w:r>
          </w:p>
        </w:tc>
        <w:tc>
          <w:tcPr>
            <w:tcW w:type="dxa" w:w="6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DETAIL</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Processing activity</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KYC/FICA due diligence on individual investors, fund participants, and SPV co-investors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Additional legislative overlay</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Financial Intelligence Centre Act 38 of 2001 (FICA) — POPIA and FICA must be read together. FICA requires retention of KYC records for 5 years. POPIA retention limitation must yield to FICA's longer retention mandate where they conflict.</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Lawful basis</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Legal obligation (FICA) — Section 11(1)(b) of POPIA; contractual necessity for fund subscription agreements — Section 11(1)(c)</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Categories of data</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Full name, ID/passport, date of birth, residential address, contact details  |  Source of funds declarations and supporting documentation  |  Tax residency status  |  Beneficial ownership declarations  |  PEP (Politically Exposed Person) status  |  Sanctions screening records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Access restriction</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M.A.D.I.B.A investor KYC data is ring-fenced from all other G.O.D.S divisions. Access restricted to M.A.D.I.B.A Capital (Pty) Ltd compliance function only. Cannot be accessed by S.E.T.H.S, UDOC, or T.S.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Retention</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5 years from end of business relationship — FICA mandated minimum</w:t>
            </w:r>
          </w:p>
        </w:tc>
      </w:tr>
    </w:tbl>
    <w:p>
      <w:pPr>
        <w:spacing w:after="16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04  —  </w:t>
      </w:r>
      <w:r>
        <w:rPr>
          <w:rFonts w:ascii="Arial" w:cs="Arial" w:eastAsia="Arial" w:hAnsi="Arial"/>
          <w:b/>
          <w:bCs/>
          <w:color w:val="FFFFFF"/>
          <w:sz w:val="26"/>
          <w:szCs w:val="26"/>
        </w:rPr>
        <w:t xml:space="preserve">DATA RETENTION SCHEDULE</w:t>
      </w:r>
    </w:p>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FFFFFF" w:sz="1"/>
              <w:left w:val="single" w:color="060E1C" w:sz="16"/>
              <w:bottom w:val="single" w:color="FFFFFF" w:sz="1"/>
              <w:right w:val="single" w:color="FFFFFF" w:sz="1"/>
            </w:tcBorders>
            <w:shd w:fill="F4F4F4" w:val="clear"/>
            <w:tcMar>
              <w:top w:type="dxa" w:w="120"/>
              <w:left w:type="dxa" w:w="240"/>
              <w:bottom w:type="dxa" w:w="120"/>
              <w:right w:type="dxa" w:w="180"/>
            </w:tcMar>
          </w:tcPr>
          <w:p>
            <w:pPr>
              <w:spacing w:after="0"/>
            </w:pPr>
            <w:r>
              <w:rPr>
                <w:rFonts w:ascii="Arial" w:cs="Arial" w:eastAsia="Arial" w:hAnsi="Arial"/>
                <w:color w:val="060E1C"/>
                <w:sz w:val="18"/>
                <w:szCs w:val="18"/>
              </w:rPr>
              <w:t xml:space="preserve">POPIA Section 14 requires that personal information is not retained for longer than necessary to achieve the purpose for which it was collected. The following schedule defines the maximum retention periods for all personal information categories across the G.O.D.S Group.</w:t>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1800"/>
        <w:gridCol w:w="1800"/>
        <w:gridCol w:w="1400"/>
      </w:tblGrid>
      <w:tr>
        <w:tc>
          <w:tcPr>
            <w:tcW w:type="dxa" w:w="2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DATA CATEGORY</w:t>
            </w:r>
          </w:p>
        </w:tc>
        <w:tc>
          <w:tcPr>
            <w:tcW w:type="dxa" w:w="20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STREAM</w:t>
            </w:r>
          </w:p>
        </w:tc>
        <w:tc>
          <w:tcPr>
            <w:tcW w:type="dxa" w:w="1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RETENTION PERIOD</w:t>
            </w:r>
          </w:p>
        </w:tc>
        <w:tc>
          <w:tcPr>
            <w:tcW w:type="dxa" w:w="1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DELETION TRIGGER</w:t>
            </w:r>
          </w:p>
        </w:tc>
        <w:tc>
          <w:tcPr>
            <w:tcW w:type="dxa" w:w="1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LEGISLATIVE BASIS</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S.E.T.H.S intake personal information (non-Special)</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1</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Duration of programme + 24 months</w:t>
            </w:r>
          </w:p>
        </w:tc>
        <w:tc>
          <w:tcPr>
            <w:tcW w:type="dxa" w:w="1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24 months after final post-placement check-in</w:t>
            </w:r>
          </w:p>
        </w:tc>
        <w:tc>
          <w:tcPr>
            <w:tcW w:type="dxa" w:w="1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 14</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Addiction / health history (Special — Section 26)</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1</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Duration of programme only</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Immediate deletion on programme exit (unless legal proceedings require retention)</w:t>
            </w:r>
          </w:p>
        </w:tc>
        <w:tc>
          <w:tcPr>
            <w:tcW w:type="dxa" w:w="1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Sections 14, 26; Section 27 authorisation conditions</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Criminal record information (Special — Section 26)</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1</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Duration of programme only</w:t>
            </w:r>
          </w:p>
        </w:tc>
        <w:tc>
          <w:tcPr>
            <w:tcW w:type="dxa" w:w="1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Immediate deletion on programme exit</w:t>
            </w:r>
          </w:p>
        </w:tc>
        <w:tc>
          <w:tcPr>
            <w:tcW w:type="dxa" w:w="1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Sections 14, 33; Criminal Procedure Act overlay</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Biometric data — fingerprint</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Streams 1 &amp; 2</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Duration of programme</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Deleted within 5 business days of programme exit</w:t>
            </w:r>
          </w:p>
        </w:tc>
        <w:tc>
          <w:tcPr>
            <w:tcW w:type="dxa" w:w="1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Sections 14, 26(a)</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Psychometric test results</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1</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Duration of programme + 12 months</w:t>
            </w:r>
          </w:p>
        </w:tc>
        <w:tc>
          <w:tcPr>
            <w:tcW w:type="dxa" w:w="1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12 months after final placement</w:t>
            </w:r>
          </w:p>
        </w:tc>
        <w:tc>
          <w:tcPr>
            <w:tcW w:type="dxa" w:w="1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 14</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Post-placement employment records</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2</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24 months from employment start date</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24 months post-placement</w:t>
            </w:r>
          </w:p>
        </w:tc>
        <w:tc>
          <w:tcPr>
            <w:tcW w:type="dxa" w:w="1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 14; employer contract requirements</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Behavioural incident reports</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2</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5 years</w:t>
            </w:r>
          </w:p>
        </w:tc>
        <w:tc>
          <w:tcPr>
            <w:tcW w:type="dxa" w:w="1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5 years from incident date — legal defensibility</w:t>
            </w:r>
          </w:p>
        </w:tc>
        <w:tc>
          <w:tcPr>
            <w:tcW w:type="dxa" w:w="1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 14; potential legal proceedings</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Relapse disclosure records</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2</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Until support response is documented</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Deleted immediately once support response recorded</w:t>
            </w:r>
          </w:p>
        </w:tc>
        <w:tc>
          <w:tcPr>
            <w:tcW w:type="dxa" w:w="1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 14; sensitivity of information</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UDOC AI audit trail data</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3 &amp; 4</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Minimum 7 years</w:t>
            </w:r>
          </w:p>
        </w:tc>
        <w:tc>
          <w:tcPr>
            <w:tcW w:type="dxa" w:w="1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7 years from governance event date</w:t>
            </w:r>
          </w:p>
        </w:tc>
        <w:tc>
          <w:tcPr>
            <w:tcW w:type="dxa" w:w="1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EU AI Act alignment; POPIA Section 14; regulatory audit requirements</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UDOC enterprise client contact data</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3</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Contract duration + 3 years</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3 years after contract termination</w:t>
            </w:r>
          </w:p>
        </w:tc>
        <w:tc>
          <w:tcPr>
            <w:tcW w:type="dxa" w:w="1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 14; limitation of claims</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M.A.D.I.B.A KYC / FICA records</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Stream 5</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5 years from end of business relationship</w:t>
            </w:r>
          </w:p>
        </w:tc>
        <w:tc>
          <w:tcPr>
            <w:tcW w:type="dxa" w:w="1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5 years — mandatory minimum</w:t>
            </w:r>
          </w:p>
        </w:tc>
        <w:tc>
          <w:tcPr>
            <w:tcW w:type="dxa" w:w="1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FICA Section 22; POPIA Section 14</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Employee personal information</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Internal HR</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Duration of employment + 3 years</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3 years post-employment termination</w:t>
            </w:r>
          </w:p>
        </w:tc>
        <w:tc>
          <w:tcPr>
            <w:tcW w:type="dxa" w:w="1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BCEA Section 31; POPIA Section 14</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CCTV / access control logs (SDU facility)</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All</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30 days rolling</w:t>
            </w:r>
          </w:p>
        </w:tc>
        <w:tc>
          <w:tcPr>
            <w:tcW w:type="dxa" w:w="1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Automatic overwrite after 30 days</w:t>
            </w:r>
          </w:p>
        </w:tc>
        <w:tc>
          <w:tcPr>
            <w:tcW w:type="dxa" w:w="1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 14; proportionality</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6"/>
                <w:szCs w:val="16"/>
              </w:rPr>
              <w:t xml:space="preserve">Website analytics / contact form data</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555555"/>
                <w:sz w:val="16"/>
                <w:szCs w:val="16"/>
              </w:rPr>
              <w:t xml:space="preserve">All</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12 months</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5"/>
                <w:szCs w:val="15"/>
              </w:rPr>
              <w:t xml:space="preserve">12 months from collection</w:t>
            </w:r>
          </w:p>
        </w:tc>
        <w:tc>
          <w:tcPr>
            <w:tcW w:type="dxa" w:w="1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1A4D8C"/>
                <w:sz w:val="15"/>
                <w:szCs w:val="15"/>
              </w:rPr>
              <w:t xml:space="preserve">POPIA Section 14; ECTA</w:t>
            </w:r>
          </w:p>
        </w:tc>
      </w:tr>
    </w:tbl>
    <w:p>
      <w:pPr>
        <w:spacing w:after="16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05  —  </w:t>
      </w:r>
      <w:r>
        <w:rPr>
          <w:rFonts w:ascii="Arial" w:cs="Arial" w:eastAsia="Arial" w:hAnsi="Arial"/>
          <w:b/>
          <w:bCs/>
          <w:color w:val="FFFFFF"/>
          <w:sz w:val="26"/>
          <w:szCs w:val="26"/>
        </w:rPr>
        <w:t xml:space="preserve">CONSENT FRAMEWORK AND PARTICIPANT FORMS</w:t>
      </w:r>
    </w:p>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5.1  Consent Standards under POPIA</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19"/>
                <w:szCs w:val="19"/>
              </w:rPr>
              <w:t xml:space="preserve">POPIA Section 1  |  Definition of Consent</w:t>
            </w:r>
          </w:p>
        </w:tc>
      </w:tr>
      <w:tr>
        <w:tc>
          <w:tcPr>
            <w:tcBorders>
              <w:top w:val="single" w:color="C9A84C" w:sz="4"/>
              <w:left w:val="single" w:color="C9A84C" w:sz="4"/>
              <w:bottom w:val="single" w:color="C9A84C" w:sz="4"/>
              <w:right w:val="single" w:color="C9A84C" w:sz="4"/>
            </w:tcBorders>
            <w:shd w:fill="FFFDF5" w:val="clear"/>
            <w:tcMar>
              <w:top w:type="dxa" w:w="120"/>
              <w:left w:type="dxa" w:w="200"/>
              <w:bottom w:type="dxa" w:w="120"/>
              <w:right w:type="dxa" w:w="160"/>
            </w:tcMar>
          </w:tcPr>
          <w:p>
            <w:pPr>
              <w:spacing w:after="0"/>
            </w:pPr>
            <w:r>
              <w:rPr>
                <w:rFonts w:ascii="Arial" w:cs="Arial" w:eastAsia="Arial" w:hAnsi="Arial"/>
                <w:color w:val="060E1C"/>
                <w:sz w:val="17"/>
                <w:szCs w:val="17"/>
              </w:rPr>
              <w:t xml:space="preserve">'Consent' means any voluntary, specific, and informed expression of will in terms of which permission is given for the processing of personal information. For Special Personal Information under Section 26, consent must be EXPLICIT — a general or implied consent is insufficient.</w:t>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600"/>
        <w:gridCol w:w="3400"/>
        <w:gridCol w:w="3200"/>
      </w:tblGrid>
      <w:tr>
        <w:tc>
          <w:tcPr>
            <w:tcW w:type="dxa" w:w="26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CONSENT REQUIREMENT</w:t>
            </w:r>
          </w:p>
        </w:tc>
        <w:tc>
          <w:tcPr>
            <w:tcW w:type="dxa" w:w="3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APPLICABLE TO</w:t>
            </w:r>
          </w:p>
        </w:tc>
        <w:tc>
          <w:tcPr>
            <w:tcW w:type="dxa" w:w="3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G.O.D.S IMPLEMENTATION</w:t>
            </w:r>
          </w:p>
        </w:tc>
      </w:tr>
      <w:tr>
        <w:tc>
          <w:tcPr>
            <w:tcW w:type="dxa" w:w="26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Ordinary personal information — Section 11(1)(a)</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All data streams: basic personal details, contact information, employment history</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Written consent in programme enrolment form. Tick-box style with separate section per data category.</w:t>
            </w:r>
          </w:p>
        </w:tc>
      </w:tr>
      <w:tr>
        <w:tc>
          <w:tcPr>
            <w:tcW w:type="dxa" w:w="26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Special Personal Information — Section 27(a) EXPLICIT consent</w:t>
            </w:r>
          </w:p>
        </w:tc>
        <w:tc>
          <w:tcPr>
            <w:tcW w:type="dxa" w:w="3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S.E.T.H.S addiction history, mental health background, health information</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Separate explicit consent form — standalone document, not buried in general consent. Plain language explanation of what is collected, why, who sees it, how long it is kept.</w:t>
            </w:r>
          </w:p>
        </w:tc>
      </w:tr>
      <w:tr>
        <w:tc>
          <w:tcPr>
            <w:tcW w:type="dxa" w:w="26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Criminal behaviour — Section 33 special provision</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S.E.T.H.S criminal record disclosure</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Explicit consent PLUS prior authorisation from Information Regulator required. Participant informed that disclosure is voluntary and non-disclosure does not affect eligibility in principle.</w:t>
            </w:r>
          </w:p>
        </w:tc>
      </w:tr>
      <w:tr>
        <w:tc>
          <w:tcPr>
            <w:tcW w:type="dxa" w:w="26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Biometric data — Section 26(a)</w:t>
            </w:r>
          </w:p>
        </w:tc>
        <w:tc>
          <w:tcPr>
            <w:tcW w:type="dxa" w:w="3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S.E.T.H.S fingerprint check-in</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Explicit written consent. Alternative (manual sign-in) offered to any participant who does not consent to biometric processing.</w:t>
            </w:r>
          </w:p>
        </w:tc>
      </w:tr>
      <w:tr>
        <w:tc>
          <w:tcPr>
            <w:tcW w:type="dxa" w:w="26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Withdrawal of consent — Section 11(3)</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All streams</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7"/>
                <w:szCs w:val="17"/>
              </w:rPr>
              <w:t xml:space="preserve">Participants may withdraw consent at any time. Withdrawal form provided at intake. Withdrawal does not affect lawfulness of processing prior to withdrawal. Consequences of withdrawal (cannot continue programme if monitoring data is required) must be clearly explained.</w:t>
            </w:r>
          </w:p>
        </w:tc>
      </w:tr>
    </w:tbl>
    <w:p>
      <w:pPr>
        <w:spacing w:after="16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5.2  SETHS Participant Consent Form Template</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FFFFFF" w:sz="1"/>
              <w:left w:val="single" w:color="B7620A" w:sz="16"/>
              <w:bottom w:val="single" w:color="FFFFFF" w:sz="1"/>
              <w:right w:val="single" w:color="FFFFFF" w:sz="1"/>
            </w:tcBorders>
            <w:shd w:fill="F4F4F4" w:val="clear"/>
            <w:tcMar>
              <w:top w:type="dxa" w:w="120"/>
              <w:left w:type="dxa" w:w="240"/>
              <w:bottom w:type="dxa" w:w="120"/>
              <w:right w:type="dxa" w:w="180"/>
            </w:tcMar>
          </w:tcPr>
          <w:p>
            <w:pPr>
              <w:spacing w:after="0"/>
            </w:pPr>
            <w:r>
              <w:rPr>
                <w:rFonts w:ascii="Arial" w:cs="Arial" w:eastAsia="Arial" w:hAnsi="Arial"/>
                <w:color w:val="060E1C"/>
                <w:sz w:val="18"/>
                <w:szCs w:val="18"/>
              </w:rPr>
              <w:t xml:space="preserve">The following constitutes the template consent form to be used for all S.E.T.H.S participants. Legal Counsel must review and finalise this form before the first participant intake. The form must be provided in plain language. Translation into isiZulu, Sesotho, and Afrikaans should be available on request.</w:t>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060E1C" w:sz="4"/>
              <w:left w:val="single" w:color="060E1C" w:sz="4"/>
              <w:bottom w:val="single" w:color="060E1C" w:sz="4"/>
              <w:right w:val="single" w:color="060E1C" w:sz="4"/>
            </w:tcBorders>
            <w:shd w:fill="F4F4F4" w:val="clear"/>
            <w:tcMar>
              <w:top w:type="dxa" w:w="200"/>
              <w:left w:type="dxa" w:w="280"/>
              <w:bottom w:type="dxa" w:w="200"/>
              <w:right w:type="dxa" w:w="280"/>
            </w:tcMar>
          </w:tcPr>
          <w:p>
            <w:pPr>
              <w:spacing w:after="60"/>
              <w:jc w:val="center"/>
            </w:pPr>
            <w:r>
              <w:rPr>
                <w:rFonts w:ascii="Arial" w:cs="Arial" w:eastAsia="Arial" w:hAnsi="Arial"/>
                <w:b/>
                <w:bCs/>
                <w:color w:val="060E1C"/>
                <w:sz w:val="22"/>
                <w:szCs w:val="22"/>
              </w:rPr>
              <w:t xml:space="preserve">S.E.T.H.S PARTICIPANT CONSENT AND DATA AUTHORISATION FORM</w:t>
            </w:r>
          </w:p>
          <w:p>
            <w:pPr>
              <w:spacing w:after="200"/>
              <w:jc w:val="center"/>
            </w:pPr>
            <w:r>
              <w:rPr>
                <w:rFonts w:ascii="Arial" w:cs="Arial" w:eastAsia="Arial" w:hAnsi="Arial"/>
                <w:i/>
                <w:iCs/>
                <w:color w:val="555555"/>
                <w:sz w:val="17"/>
                <w:szCs w:val="17"/>
              </w:rPr>
              <w:t xml:space="preserve">Protection of Personal Information Act 4 of 2013  |  G.O.D.S Holdings (Pty) Ltd</w:t>
            </w:r>
          </w:p>
          <w:p>
            <w:pPr>
              <w:spacing w:after="80"/>
            </w:pPr>
            <w:r>
              <w:rPr>
                <w:rFonts w:ascii="Arial" w:cs="Arial" w:eastAsia="Arial" w:hAnsi="Arial"/>
                <w:b/>
                <w:bCs/>
                <w:color w:val="060E1C"/>
              </w:rPr>
              <w:t xml:space="preserve">PART A — WHO WE ARE AND WHY WE COLLECT YOUR INFORMATION</w:t>
            </w:r>
          </w:p>
          <w:p>
            <w:pPr>
              <w:spacing w:after="160"/>
            </w:pPr>
            <w:r>
              <w:rPr>
                <w:rFonts w:ascii="Arial" w:cs="Arial" w:eastAsia="Arial" w:hAnsi="Arial"/>
                <w:sz w:val="17"/>
                <w:szCs w:val="17"/>
              </w:rPr>
              <w:t xml:space="preserve">S.E.T.H.S (Pty) Ltd is a subsidiary of G.O.D.S Holdings (Pty) Ltd (registration number: [CIPC REG NO]). We operate a structured human capital development programme that helps people build skills and find employment. To run this programme effectively, we need to collect and use certain personal information about you. This form explains what we collect, why we collect it, who sees it, and your rights.</w:t>
            </w:r>
          </w:p>
          <w:p>
            <w:pPr>
              <w:spacing w:after="80"/>
            </w:pPr>
            <w:r>
              <w:rPr>
                <w:rFonts w:ascii="Arial" w:cs="Arial" w:eastAsia="Arial" w:hAnsi="Arial"/>
                <w:b/>
                <w:bCs/>
                <w:color w:val="060E1C"/>
              </w:rPr>
              <w:t xml:space="preserve">PART B — WHAT INFORMATION WE COLLECT</w:t>
            </w:r>
          </w:p>
          <w:p>
            <w:pPr>
              <w:spacing w:after="60"/>
            </w:pPr>
            <w:r>
              <w:rPr>
                <w:rFonts w:ascii="Arial" w:cs="Arial" w:eastAsia="Arial" w:hAnsi="Arial"/>
                <w:b/>
                <w:bCs/>
                <w:color w:val="060E1C"/>
              </w:rPr>
              <w:t xml:space="preserve">Section B1 — General Personal Information (tick to consent):</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Full name, RSA ID number, date of birth, gender, photograph</w:t>
            </w:r>
            <w:r>
              <w:rPr>
                <w:rFonts w:ascii="Arial" w:cs="Arial" w:eastAsia="Arial" w:hAnsi="Arial"/>
                <w:color w:val="888888"/>
                <w:sz w:val="16"/>
                <w:szCs w:val="16"/>
              </w:rPr>
              <w:t xml:space="preserve">   [Sec 11(1)(a)]</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Contact details: residential address, phone number, email address</w:t>
            </w:r>
            <w:r>
              <w:rPr>
                <w:rFonts w:ascii="Arial" w:cs="Arial" w:eastAsia="Arial" w:hAnsi="Arial"/>
                <w:color w:val="888888"/>
                <w:sz w:val="16"/>
                <w:szCs w:val="16"/>
              </w:rPr>
              <w:t xml:space="preserve">   [Sec 11(1)(a)]</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Employment history (last 24 months) and educational background</w:t>
            </w:r>
            <w:r>
              <w:rPr>
                <w:rFonts w:ascii="Arial" w:cs="Arial" w:eastAsia="Arial" w:hAnsi="Arial"/>
                <w:color w:val="888888"/>
                <w:sz w:val="16"/>
                <w:szCs w:val="16"/>
              </w:rPr>
              <w:t xml:space="preserve">   [Sec 11(1)(a)]</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Income level and household information</w:t>
            </w:r>
            <w:r>
              <w:rPr>
                <w:rFonts w:ascii="Arial" w:cs="Arial" w:eastAsia="Arial" w:hAnsi="Arial"/>
                <w:color w:val="888888"/>
                <w:sz w:val="16"/>
                <w:szCs w:val="16"/>
              </w:rPr>
              <w:t xml:space="preserve">   [Sec 11(1)(a)]</w:t>
            </w:r>
          </w:p>
          <w:p>
            <w:pPr>
              <w:spacing w:after="80"/>
            </w:pPr>
            <w:r>
              <w:rPr>
                <w:rFonts w:ascii="Arial" w:cs="Arial" w:eastAsia="Arial" w:hAnsi="Arial"/>
              </w:rPr>
              <w:t xml:space="preserve"/>
            </w:r>
          </w:p>
          <w:p>
            <w:pPr>
              <w:spacing w:after="80"/>
            </w:pPr>
            <w:r>
              <w:rPr>
                <w:rFonts w:ascii="Arial" w:cs="Arial" w:eastAsia="Arial" w:hAnsi="Arial"/>
                <w:b/>
                <w:bCs/>
                <w:color w:val="060E1C"/>
              </w:rPr>
              <w:t xml:space="preserve">Section B2 — Special Personal Information — EXPLICIT CONSENT REQUIRED:</w:t>
            </w:r>
          </w:p>
          <w:p>
            <w:pPr>
              <w:spacing w:after="80"/>
            </w:pPr>
            <w:r>
              <w:rPr>
                <w:rFonts w:ascii="Arial" w:cs="Arial" w:eastAsia="Arial" w:hAnsi="Arial"/>
                <w:i/>
                <w:iCs/>
                <w:color w:val="555555"/>
                <w:sz w:val="17"/>
                <w:szCs w:val="17"/>
              </w:rPr>
              <w:t xml:space="preserve">The following information is more sensitive. You do not have to share it. However, sharing it helps us design a better programme for you. Read each item carefully before consenting.</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Health and wellbeing information, including any addiction or substance use history you choose to share</w:t>
            </w:r>
            <w:r>
              <w:rPr>
                <w:rFonts w:ascii="Arial" w:cs="Arial" w:eastAsia="Arial" w:hAnsi="Arial"/>
                <w:color w:val="888888"/>
                <w:sz w:val="16"/>
                <w:szCs w:val="16"/>
              </w:rPr>
              <w:t xml:space="preserve">   [Sec 27(a)]</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Mental health background you choose to share</w:t>
            </w:r>
            <w:r>
              <w:rPr>
                <w:rFonts w:ascii="Arial" w:cs="Arial" w:eastAsia="Arial" w:hAnsi="Arial"/>
                <w:color w:val="888888"/>
                <w:sz w:val="16"/>
                <w:szCs w:val="16"/>
              </w:rPr>
              <w:t xml:space="preserve">   [Sec 27(a)]</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Criminal record or involvement with the justice system, if applicable</w:t>
            </w:r>
            <w:r>
              <w:rPr>
                <w:rFonts w:ascii="Arial" w:cs="Arial" w:eastAsia="Arial" w:hAnsi="Arial"/>
                <w:color w:val="888888"/>
                <w:sz w:val="16"/>
                <w:szCs w:val="16"/>
              </w:rPr>
              <w:t xml:space="preserve">   [Sec 27(a)/Sec 33]</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Biometric information — fingerprint scan for programme check-in system. I understand I can request a manual alternative if I prefer not to provide biometric data.</w:t>
            </w:r>
            <w:r>
              <w:rPr>
                <w:rFonts w:ascii="Arial" w:cs="Arial" w:eastAsia="Arial" w:hAnsi="Arial"/>
                <w:color w:val="888888"/>
                <w:sz w:val="16"/>
                <w:szCs w:val="16"/>
              </w:rPr>
              <w:t xml:space="preserve">   [Sec 26(a)]</w:t>
            </w:r>
          </w:p>
          <w:p>
            <w:pPr>
              <w:spacing w:after="80"/>
            </w:pPr>
            <w:r>
              <w:rPr>
                <w:rFonts w:ascii="Arial" w:cs="Arial" w:eastAsia="Arial" w:hAnsi="Arial"/>
              </w:rPr>
              <w:t xml:space="preserve"/>
            </w:r>
          </w:p>
          <w:p>
            <w:pPr>
              <w:spacing w:after="60"/>
            </w:pPr>
            <w:r>
              <w:rPr>
                <w:rFonts w:ascii="Arial" w:cs="Arial" w:eastAsia="Arial" w:hAnsi="Arial"/>
                <w:b/>
                <w:bCs/>
                <w:color w:val="060E1C"/>
              </w:rPr>
              <w:t xml:space="preserve">Section B3 — Psychometric Assessment:</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Results of cognitive aptitude tests, personality profile, work-style assessment, and stress tolerance assessment conducted during the programme</w:t>
            </w:r>
            <w:r>
              <w:rPr>
                <w:rFonts w:ascii="Arial" w:cs="Arial" w:eastAsia="Arial" w:hAnsi="Arial"/>
                <w:color w:val="888888"/>
                <w:sz w:val="16"/>
                <w:szCs w:val="16"/>
              </w:rPr>
              <w:t xml:space="preserve">   [Sec 11(1)(a)/Sec 11(1)(c)]</w:t>
            </w:r>
          </w:p>
          <w:p>
            <w:pPr>
              <w:spacing w:after="80"/>
            </w:pPr>
            <w:r>
              <w:rPr>
                <w:rFonts w:ascii="Arial" w:cs="Arial" w:eastAsia="Arial" w:hAnsi="Arial"/>
              </w:rPr>
              <w:t xml:space="preserve"/>
            </w:r>
          </w:p>
          <w:p>
            <w:pPr>
              <w:spacing w:after="80"/>
            </w:pPr>
            <w:r>
              <w:rPr>
                <w:rFonts w:ascii="Arial" w:cs="Arial" w:eastAsia="Arial" w:hAnsi="Arial"/>
                <w:b/>
                <w:bCs/>
                <w:color w:val="060E1C"/>
              </w:rPr>
              <w:t xml:space="preserve">PART C — WHY WE USE YOUR INFORMATION</w:t>
            </w:r>
          </w:p>
          <w:p>
            <w:pPr>
              <w:spacing w:after="160"/>
            </w:pPr>
            <w:r>
              <w:rPr>
                <w:rFonts w:ascii="Arial" w:cs="Arial" w:eastAsia="Arial" w:hAnsi="Arial"/>
                <w:sz w:val="17"/>
                <w:szCs w:val="17"/>
              </w:rPr>
              <w:t xml:space="preserve">We use your information only to:  (1) assess your eligibility for the programme;  (2) design your personal development pathway;  (3) match you to the right employment stream;  (4) monitor your progress during the programme;  (5) connect you with employer partners;  (6) provide post-placement support for up to 24 months;  (7) improve our programme using anonymised data. We will not sell your information to anyone.</w:t>
            </w:r>
          </w:p>
          <w:p>
            <w:pPr>
              <w:spacing w:after="80"/>
            </w:pPr>
            <w:r>
              <w:rPr>
                <w:rFonts w:ascii="Arial" w:cs="Arial" w:eastAsia="Arial" w:hAnsi="Arial"/>
                <w:b/>
                <w:bCs/>
                <w:color w:val="060E1C"/>
              </w:rPr>
              <w:t xml:space="preserve">PART D — WHO SEES YOUR INFORMATION</w:t>
            </w:r>
          </w:p>
          <w:p>
            <w:pPr>
              <w:spacing w:after="160"/>
            </w:pPr>
            <w:r>
              <w:rPr>
                <w:rFonts w:ascii="Arial" w:cs="Arial" w:eastAsia="Arial" w:hAnsi="Arial"/>
                <w:sz w:val="17"/>
                <w:szCs w:val="17"/>
              </w:rPr>
              <w:t xml:space="preserve">Your case manager and the Programme Head have access to your full record. Employer partners see only placement-relevant information, with your separate written consent at the time of placement. Clinical psychologists see only counselling records. Government departments and investors receive anonymised, aggregated data only — they cannot identify you personally.</w:t>
            </w:r>
          </w:p>
          <w:p>
            <w:pPr>
              <w:spacing w:after="80"/>
            </w:pPr>
            <w:r>
              <w:rPr>
                <w:rFonts w:ascii="Arial" w:cs="Arial" w:eastAsia="Arial" w:hAnsi="Arial"/>
                <w:b/>
                <w:bCs/>
                <w:color w:val="060E1C"/>
              </w:rPr>
              <w:t xml:space="preserve">PART E — HOW LONG WE KEEP YOUR INFORMATION</w:t>
            </w:r>
          </w:p>
          <w:p>
            <w:pPr>
              <w:spacing w:after="160"/>
            </w:pPr>
            <w:r>
              <w:rPr>
                <w:rFonts w:ascii="Arial" w:cs="Arial" w:eastAsia="Arial" w:hAnsi="Arial"/>
                <w:sz w:val="17"/>
                <w:szCs w:val="17"/>
              </w:rPr>
              <w:t xml:space="preserve">General information: kept for the duration of the programme and for 24 months after your last post-placement check-in. Health and addiction information: deleted when you leave the programme. Criminal record information: deleted when you leave the programme. Biometric data: deleted within 5 days of your departure from the programme.</w:t>
            </w:r>
          </w:p>
          <w:p>
            <w:pPr>
              <w:spacing w:after="80"/>
            </w:pPr>
            <w:r>
              <w:rPr>
                <w:rFonts w:ascii="Arial" w:cs="Arial" w:eastAsia="Arial" w:hAnsi="Arial"/>
                <w:b/>
                <w:bCs/>
                <w:color w:val="060E1C"/>
              </w:rPr>
              <w:t xml:space="preserve">PART F — YOUR RIGHTS</w:t>
            </w:r>
          </w:p>
          <w:p>
            <w:pPr>
              <w:spacing w:after="200"/>
            </w:pPr>
            <w:r>
              <w:rPr>
                <w:rFonts w:ascii="Arial" w:cs="Arial" w:eastAsia="Arial" w:hAnsi="Arial"/>
                <w:sz w:val="17"/>
                <w:szCs w:val="17"/>
              </w:rPr>
              <w:t xml:space="preserve">You have the right to:  (a) know what information we hold about you;  (b) request a copy of your information;  (c) ask us to correct or delete your information;  (d) withdraw your consent at any time (this will not undo consent you have already given, but we will stop processing going forward);  (e) complain to the Information Regulator of South Africa if you believe your rights have been violated. To exercise any right, contact our Information Officer at: privacy@gods.systems</w:t>
            </w:r>
          </w:p>
          <w:p>
            <w:pPr>
              <w:spacing w:after="80"/>
            </w:pPr>
            <w:r>
              <w:rPr>
                <w:rFonts w:ascii="Arial" w:cs="Arial" w:eastAsia="Arial" w:hAnsi="Arial"/>
                <w:b/>
                <w:bCs/>
                <w:color w:val="060E1C"/>
              </w:rPr>
              <w:t xml:space="preserve">PART G — DECLARATION</w:t>
            </w:r>
          </w:p>
          <w:p>
            <w:pPr>
              <w:spacing w:after="160"/>
            </w:pPr>
            <w:r>
              <w:rPr>
                <w:rFonts w:ascii="Arial" w:cs="Arial" w:eastAsia="Arial" w:hAnsi="Arial"/>
                <w:sz w:val="17"/>
                <w:szCs w:val="17"/>
              </w:rPr>
              <w:t xml:space="preserve">I, the undersigned, confirm that:  (1) I have read and understood this form, or it has been explained to me in a language I understand;  (2) I am providing my consent voluntarily, without pressure;  (3) I understand I can withdraw my consent at any time;  (4) I understand the consequences of not providing certain information (I may not be able to continue in the programme if monitoring data is required);  (5) I consent to the processing described in the sections I have ticked above.</w:t>
            </w:r>
          </w:p>
          <w:p>
            <w:pPr>
              <w:spacing w:after="100"/>
            </w:pPr>
            <w:r>
              <w:rPr>
                <w:rFonts w:ascii="Arial" w:cs="Arial" w:eastAsia="Arial" w:hAnsi="Arial"/>
                <w:sz w:val="17"/>
                <w:szCs w:val="17"/>
              </w:rPr>
              <w:t xml:space="preserve">Full name:  ___________________________________     ID Number:  ____________________</w:t>
            </w:r>
          </w:p>
          <w:p>
            <w:pPr>
              <w:spacing w:after="100"/>
            </w:pPr>
            <w:r>
              <w:rPr>
                <w:rFonts w:ascii="Arial" w:cs="Arial" w:eastAsia="Arial" w:hAnsi="Arial"/>
                <w:sz w:val="17"/>
                <w:szCs w:val="17"/>
              </w:rPr>
              <w:t xml:space="preserve">Signature:  ___________________________________     Date:  _________________________</w:t>
            </w:r>
          </w:p>
          <w:p>
            <w:pPr>
              <w:spacing w:after="80"/>
            </w:pPr>
            <w:r>
              <w:rPr>
                <w:rFonts w:ascii="Arial" w:cs="Arial" w:eastAsia="Arial" w:hAnsi="Arial"/>
                <w:sz w:val="17"/>
                <w:szCs w:val="17"/>
              </w:rPr>
              <w:t xml:space="preserve">Witnessed by (staff member):  ___________________________     Role:  _______________</w:t>
            </w:r>
          </w:p>
        </w:tc>
      </w:tr>
    </w:tbl>
    <w:p>
      <w:pPr>
        <w:spacing w:after="16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06  —  </w:t>
      </w:r>
      <w:r>
        <w:rPr>
          <w:rFonts w:ascii="Arial" w:cs="Arial" w:eastAsia="Arial" w:hAnsi="Arial"/>
          <w:b/>
          <w:bCs/>
          <w:color w:val="FFFFFF"/>
          <w:sz w:val="26"/>
          <w:szCs w:val="26"/>
        </w:rPr>
        <w:t xml:space="preserve">DATA SUBJECT RIGHTS AND ACCESS REQUEST PROCEDURE</w:t>
      </w:r>
    </w:p>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1800"/>
        <w:gridCol w:w="2000"/>
      </w:tblGrid>
      <w:tr>
        <w:tc>
          <w:tcPr>
            <w:tcW w:type="dxa" w:w="2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RIGHT</w:t>
            </w:r>
          </w:p>
        </w:tc>
        <w:tc>
          <w:tcPr>
            <w:tcW w:type="dxa" w:w="3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DESCRIPTION</w:t>
            </w:r>
          </w:p>
        </w:tc>
        <w:tc>
          <w:tcPr>
            <w:tcW w:type="dxa" w:w="1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TIMEFRAME</w:t>
            </w:r>
          </w:p>
        </w:tc>
        <w:tc>
          <w:tcPr>
            <w:tcW w:type="dxa" w:w="20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HOW TO EXERCISE</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Right to access information (Section 23)</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Request confirmation of whether G.O.D.S holds personal information about you, and to receive a copy of that information</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30 days from request</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Written request to privacy@gods.systems or PAIA manual request form</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Right to correct information (Section 24(a))</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Request correction of inaccurate, irrelevant, excessive, out-of-date, or misleading information</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15 business days</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Written request specifying the correction required with supporting evidence</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Right to delete / destroy information (Section 24(a))</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Request deletion of information collected in contravention of POPIA or where the purpose for collection no longer exists</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15 business days</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Written request — G.O.D.S must comply unless retention is required by law</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Right to object to processing (Section 11(3))</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Object to processing of personal information on reasonable grounds. Processing must cease unless there are compelling legitimate grounds that override the data subject's interests.</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15 business days to review; cease processing pending review</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Written statement of objection and grounds to Information Officer</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Right to withdraw consent (Section 11(3))</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Withdraw consent to processing at any time. Does not affect lawfulness of processing prior to withdrawal.</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Immediate cessation of consent-based processing</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Written or verbal notification to case manager or Information Officer</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Right to non-discrimination (Section 11)</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Not to be unfairly discriminated against for exercising POPIA rights</w:t>
            </w:r>
          </w:p>
        </w:tc>
        <w:tc>
          <w:tcPr>
            <w:tcW w:type="dxa" w:w="1800"/>
            <w:tcBorders>
              <w:top w:val="single" w:color="CCCCCC" w:sz="4"/>
              <w:left w:val="single" w:color="CCCCCC" w:sz="4"/>
              <w:bottom w:val="single" w:color="CCCCCC" w:sz="4"/>
              <w:right w:val="single" w:color="CCCCCC" w:sz="4"/>
            </w:tcBorders>
            <w:shd w:fill="F0FAF2"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Immediate obligation</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Complaint to Information Officer; escalation to COB if unresolved</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Right to complain to Information Regulator</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Lodge a complaint if rights are violated or processing is unlawful</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Information Regulator acknowledges within 30 days</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inforegulator.org.za | JD House, 27 Stiemens Street, Braamfontein</w:t>
            </w:r>
          </w:p>
        </w:tc>
      </w:tr>
    </w:tbl>
    <w:p>
      <w:pPr>
        <w:spacing w:after="16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07  —  </w:t>
      </w:r>
      <w:r>
        <w:rPr>
          <w:rFonts w:ascii="Arial" w:cs="Arial" w:eastAsia="Arial" w:hAnsi="Arial"/>
          <w:b/>
          <w:bCs/>
          <w:color w:val="FFFFFF"/>
          <w:sz w:val="26"/>
          <w:szCs w:val="26"/>
        </w:rPr>
        <w:t xml:space="preserve">OPERATOR (THIRD-PARTY PROCESSOR) MANAGEMENT</w:t>
      </w:r>
    </w:p>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19"/>
                <w:szCs w:val="19"/>
              </w:rPr>
              <w:t xml:space="preserve">POPIA Section 21  |  Operator Obligations</w:t>
            </w:r>
          </w:p>
        </w:tc>
      </w:tr>
      <w:tr>
        <w:tc>
          <w:tcPr>
            <w:tcBorders>
              <w:top w:val="single" w:color="C9A84C" w:sz="4"/>
              <w:left w:val="single" w:color="C9A84C" w:sz="4"/>
              <w:bottom w:val="single" w:color="C9A84C" w:sz="4"/>
              <w:right w:val="single" w:color="C9A84C" w:sz="4"/>
            </w:tcBorders>
            <w:shd w:fill="FFFDF5" w:val="clear"/>
            <w:tcMar>
              <w:top w:type="dxa" w:w="120"/>
              <w:left w:type="dxa" w:w="200"/>
              <w:bottom w:type="dxa" w:w="120"/>
              <w:right w:type="dxa" w:w="160"/>
            </w:tcMar>
          </w:tcPr>
          <w:p>
            <w:pPr>
              <w:spacing w:after="0"/>
            </w:pPr>
            <w:r>
              <w:rPr>
                <w:rFonts w:ascii="Arial" w:cs="Arial" w:eastAsia="Arial" w:hAnsi="Arial"/>
                <w:color w:val="060E1C"/>
                <w:sz w:val="17"/>
                <w:szCs w:val="17"/>
              </w:rPr>
              <w:t xml:space="preserve">A responsible party may only process personal information through an operator who provides sufficient guarantees about technical and organisational security measures and who complies with those measures. Processing through an operator must be governed by a written contract (Data Processing Agreement).</w:t>
            </w:r>
          </w:p>
        </w:tc>
      </w:tr>
    </w:tbl>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1800"/>
        <w:gridCol w:w="3200"/>
      </w:tblGrid>
      <w:tr>
        <w:tc>
          <w:tcPr>
            <w:tcW w:type="dxa" w:w="2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OPERATOR / THIRD PARTY</w:t>
            </w:r>
          </w:p>
        </w:tc>
        <w:tc>
          <w:tcPr>
            <w:tcW w:type="dxa" w:w="20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DATA PROCESSED</w:t>
            </w:r>
          </w:p>
        </w:tc>
        <w:tc>
          <w:tcPr>
            <w:tcW w:type="dxa" w:w="1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DPA REQUIRED</w:t>
            </w:r>
          </w:p>
        </w:tc>
        <w:tc>
          <w:tcPr>
            <w:tcW w:type="dxa" w:w="3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KEY CONTRACTUAL REQUIREMENTS</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Cloud hosting provider (UDOC infrastructure)</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All streams</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YES — mandatory before go-live</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SA jurisdiction only; encryption in transit and at rest; breach notification within 72hrs; audit rights; data deletion on contract end; no sub-processing without consent</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Contracted clinical psychologist</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S.E.T.H.S Stream 1 &amp; 2</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YES</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Access limited to assigned participants only; clinical records not shared with programme staff without consent; professional secrecy; records destroyed on programme exit</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Employer partners (S.E.T.H.S)</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Stream 1 &amp; 2 (placement data only)</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YES — embedded in Employer Partnership Agreement</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Access limited to their placed participant only; data used only for employment management; no further processing or sharing; annual data review</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Government funding bodies (DSD, DoL, DCS)</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Anonymised aggregate data only</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YES — embedded in MOU</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No personal information — anonymised outcomes only; data used for programme evaluation; no re-identification permitted</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SETA accreditation body</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Training completion records (Stream 1)</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YES</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SETA-specific data sharing for accreditation purposes only; data not used for any other purpose</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External auditor</w:t>
            </w:r>
          </w:p>
        </w:tc>
        <w:tc>
          <w:tcPr>
            <w:tcW w:type="dxa" w:w="2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Financial records containing staff personal information</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YES</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Audit purposes only; professional confidentiality obligations; access to minimum necessary information only</w:t>
            </w:r>
          </w:p>
        </w:tc>
      </w:tr>
      <w:tr>
        <w:tc>
          <w:tcPr>
            <w:tcW w:type="dxa" w:w="2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Payroll provider (staff)</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Employee personal information</w:t>
            </w:r>
          </w:p>
        </w:tc>
        <w:tc>
          <w:tcPr>
            <w:tcW w:type="dxa" w:w="18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YES</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Employment purposes only; compliance with BCEA and POPIA; data not shared with any other party</w:t>
            </w:r>
          </w:p>
        </w:tc>
      </w:tr>
    </w:tbl>
    <w:p>
      <w:pPr>
        <w:spacing w:after="16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08  —  </w:t>
      </w:r>
      <w:r>
        <w:rPr>
          <w:rFonts w:ascii="Arial" w:cs="Arial" w:eastAsia="Arial" w:hAnsi="Arial"/>
          <w:b/>
          <w:bCs/>
          <w:color w:val="FFFFFF"/>
          <w:sz w:val="26"/>
          <w:szCs w:val="26"/>
        </w:rPr>
        <w:t xml:space="preserve">DATA PROTECTION IMPACT ASSESSMENT — SETHS HIGH-RISK PROCESSING</w:t>
      </w:r>
    </w:p>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FFFFFF" w:sz="1"/>
              <w:left w:val="single" w:color="C0392B" w:sz="16"/>
              <w:bottom w:val="single" w:color="FFFFFF" w:sz="1"/>
              <w:right w:val="single" w:color="FFFFFF" w:sz="1"/>
            </w:tcBorders>
            <w:shd w:fill="F4F4F4" w:val="clear"/>
            <w:tcMar>
              <w:top w:type="dxa" w:w="120"/>
              <w:left w:type="dxa" w:w="240"/>
              <w:bottom w:type="dxa" w:w="120"/>
              <w:right w:type="dxa" w:w="180"/>
            </w:tcMar>
          </w:tcPr>
          <w:p>
            <w:pPr>
              <w:spacing w:after="0"/>
            </w:pPr>
            <w:r>
              <w:rPr>
                <w:rFonts w:ascii="Arial" w:cs="Arial" w:eastAsia="Arial" w:hAnsi="Arial"/>
                <w:color w:val="060E1C"/>
                <w:sz w:val="18"/>
                <w:szCs w:val="18"/>
              </w:rPr>
              <w:t xml:space="preserve">A Data Protection Impact Assessment (DPIA) is required when processing is likely to result in a high risk to the rights and freedoms of data subjects. S.E.T.H.S Stream 1 processing of Special Personal Information under Section 26 constitutes high-risk processing and requires this assessment. This DPIA must be reviewed annually and updated whenever the processing activity changes materially.</w:t>
            </w:r>
          </w:p>
        </w:tc>
      </w:tr>
    </w:tbl>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8.1  Assessment Details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6800"/>
      </w:tblGrid>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Processing activity assessed</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S.E.T.H.S intake, assessment, and programme monitoring — specifically the collection and processing of addiction history, criminal records, mental health information, and biometric data (Special Personal Information under POPIA Section 26)</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Necessity and proportionality</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This processing is necessary: addiction history is required to design effective recovery support and assess relapse risk in placement contexts. Criminal record information is required to assess legal eligibility for specific employment pathways (e.g. working with children or vulnerable people). Biometric data is required for programme compliance monitoring. Each category serves a specific purpose that cannot be achieved with less sensitive data. All three categories of Special Information are limited to the minimum necessary — they are not used for any purpose beyond programme delivery.</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Nature of risks identified</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(1) Breach of confidentiality — if Special Information is accessed by unauthorised parties (employer partners, government, other participants); (2) Stigmatisation — if criminal or addiction information becomes known outside the programme context; (3) Employment discrimination — if criminal or health information influences employer decisions beyond the permitted scope; (4) Re-traumatisation — if sensitive information is collected or handled in an insensitive manner; (5) Data breach — if encryption fails or physical files are accessed unlawfully</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Risk mitigation measures implemented</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(1) Access controls: criminal record and health information accessible only to case manager and Programme Head — not accessible to employer partners; (2) Encryption: all digital records on UDOC platform (AES-256) — physical records in locked cabinets at SDU; (3) Staff training: all S.E.T.H.S staff complete trauma-informed data handling training before accessing any participant information; (4) Deletion: criminal and health information deleted immediately on programme exit — not retained for any subsequent purpose; (5) Biometric alternative: manual sign-in offered to any participant who does not consent to biometric; (6) Consent granularity: separate explicit consent for each Special Information category — participant can decline individual categories without affecting programme eligibility in principle</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Residual risk assessment</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MEDIUM — after implementation of all mitigation measures. The residual risk is primarily in human error (staff mishandling) and breach of the SDU facility. Both are addressed through training and physical security. The risk does not rise to the level that would require prior authorisation from the Information Regulator except for criminal behaviour processing (see below).</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Prior authorisation requirement</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Criminal behaviour processing (POPIA Section 57): YES — an application for prior authorisation must be submitted to the Information Regulator before the first S.E.T.H.S participant is enrolled. The application must describe the processing, its purpose, and the safeguards in place. This Framework constitutes the supporting documentation for that application.</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DPIA review date</w:t>
            </w:r>
          </w:p>
        </w:tc>
        <w:tc>
          <w:tcPr>
            <w:tcW w:type="dxa" w:w="6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Annually — next review due 12 months from this document's effective date. Also required on any material change to processing activities.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DPIA approved by</w:t>
            </w:r>
          </w:p>
        </w:tc>
        <w:tc>
          <w:tcPr>
            <w:tcW w:type="dxa" w:w="6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Information Officer (Sashin J. Singh) and Legal Counsel — date of signature constitutes approval</w:t>
            </w:r>
          </w:p>
        </w:tc>
      </w:tr>
    </w:tbl>
    <w:p>
      <w:pPr>
        <w:spacing w:after="16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09  —  </w:t>
      </w:r>
      <w:r>
        <w:rPr>
          <w:rFonts w:ascii="Arial" w:cs="Arial" w:eastAsia="Arial" w:hAnsi="Arial"/>
          <w:b/>
          <w:bCs/>
          <w:color w:val="FFFFFF"/>
          <w:sz w:val="26"/>
          <w:szCs w:val="26"/>
        </w:rPr>
        <w:t xml:space="preserve">DATA BREACH RESPONSE PROTOCOL</w:t>
      </w:r>
    </w:p>
    <w:p>
      <w:pPr>
        <w:spacing w:after="8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D1E35" w:val="clear"/>
            <w:tcMar>
              <w:top w:type="dxa" w:w="0"/>
              <w:left w:type="dxa" w:w="0"/>
              <w:bottom w:type="dxa" w:w="0"/>
              <w:right w:type="dxa" w:w="0"/>
            </w:tcMar>
          </w:tcPr>
          <w:p>
            <w:pPr>
              <w:spacing w:after="0"/>
              <w:ind w:left="160"/>
            </w:pPr>
            <w:r>
              <w:rPr>
                <w:rFonts w:ascii="Arial" w:cs="Arial" w:eastAsia="Arial" w:hAnsi="Arial"/>
                <w:b/>
                <w:bCs/>
                <w:color w:val="C9A84C"/>
                <w:sz w:val="19"/>
                <w:szCs w:val="19"/>
              </w:rPr>
              <w:t xml:space="preserve">POPIA Section 22  |  Breach Notification Obligation</w:t>
            </w:r>
          </w:p>
        </w:tc>
      </w:tr>
      <w:tr>
        <w:tc>
          <w:tcPr>
            <w:tcBorders>
              <w:top w:val="single" w:color="C9A84C" w:sz="4"/>
              <w:left w:val="single" w:color="C9A84C" w:sz="4"/>
              <w:bottom w:val="single" w:color="C9A84C" w:sz="4"/>
              <w:right w:val="single" w:color="C9A84C" w:sz="4"/>
            </w:tcBorders>
            <w:shd w:fill="FFFDF5" w:val="clear"/>
            <w:tcMar>
              <w:top w:type="dxa" w:w="120"/>
              <w:left w:type="dxa" w:w="200"/>
              <w:bottom w:type="dxa" w:w="120"/>
              <w:right w:type="dxa" w:w="160"/>
            </w:tcMar>
          </w:tcPr>
          <w:p>
            <w:pPr>
              <w:spacing w:after="0"/>
            </w:pPr>
            <w:r>
              <w:rPr>
                <w:rFonts w:ascii="Arial" w:cs="Arial" w:eastAsia="Arial" w:hAnsi="Arial"/>
                <w:color w:val="060E1C"/>
                <w:sz w:val="17"/>
                <w:szCs w:val="17"/>
              </w:rPr>
              <w:t xml:space="preserve">The Responsible Party must notify the Information Regulator and the affected data subjects as soon as reasonably possible of the compromise of personal information. The notification must be in writing. There is no statutory deadline specified in POPIA, but the Information Regulator's guidance interprets 'as soon as reasonably possible' as within 72 hours of awareness — consistent with GDPR practice. Notification can be waived where it would be likely to impede a criminal investigation.</w:t>
            </w:r>
          </w:p>
        </w:tc>
      </w:tr>
    </w:tbl>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9.1  Four-Phase Response Protocol</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400"/>
        <w:gridCol w:w="1800"/>
        <w:gridCol w:w="4200"/>
        <w:gridCol w:w="2800"/>
      </w:tblGrid>
      <w:tr>
        <w:tc>
          <w:tcPr>
            <w:tcW w:type="dxa" w:w="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
            </w:r>
          </w:p>
        </w:tc>
        <w:tc>
          <w:tcPr>
            <w:tcW w:type="dxa" w:w="1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PHASE</w:t>
            </w:r>
          </w:p>
        </w:tc>
        <w:tc>
          <w:tcPr>
            <w:tcW w:type="dxa" w:w="4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ACTIONS REQUIRED</w:t>
            </w:r>
          </w:p>
        </w:tc>
        <w:tc>
          <w:tcPr>
            <w:tcW w:type="dxa" w:w="2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TIMEFRAME</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20"/>
                <w:szCs w:val="20"/>
              </w:rPr>
              <w:t xml:space="preserve">1</w:t>
            </w:r>
          </w:p>
        </w:tc>
        <w:tc>
          <w:tcPr>
            <w:tcW w:type="dxa" w:w="18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9"/>
                <w:szCs w:val="19"/>
              </w:rPr>
              <w:t xml:space="preserve">CONTAIN</w:t>
            </w:r>
          </w:p>
        </w:tc>
        <w:tc>
          <w:tcPr>
            <w:tcW w:type="dxa" w:w="4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Immediately isolate the affected system or data. Revoke access credentials of any compromised accounts. If physical breach, secure the physical space. Document: what happened, when discovered, who discovered it, what information is involved, estimated number of data subjects affected.</w:t>
            </w:r>
          </w:p>
        </w:tc>
        <w:tc>
          <w:tcPr>
            <w:tcW w:type="dxa" w:w="2800"/>
            <w:tcBorders>
              <w:top w:val="single" w:color="CCCCCC" w:sz="4"/>
              <w:left w:val="single" w:color="CCCCCC" w:sz="4"/>
              <w:bottom w:val="single" w:color="CCCCCC" w:sz="4"/>
              <w:right w:val="single" w:color="CCCCCC" w:sz="4"/>
            </w:tcBorders>
            <w:shd w:fill="FDECEA"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Within 1 HOUR of discovery</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20"/>
                <w:szCs w:val="20"/>
              </w:rPr>
              <w:t xml:space="preserve">2</w:t>
            </w:r>
          </w:p>
        </w:tc>
        <w:tc>
          <w:tcPr>
            <w:tcW w:type="dxa" w:w="18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9"/>
                <w:szCs w:val="19"/>
              </w:rPr>
              <w:t xml:space="preserve">ASSESS</w:t>
            </w:r>
          </w:p>
        </w:tc>
        <w:tc>
          <w:tcPr>
            <w:tcW w:type="dxa" w:w="4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Determine: (a) categories of personal information involved; (b) whether Special Personal Information (Section 26) is involved; (c) approximate number of data subjects; (d) likely consequences for data subjects; (e) whether the breach has been remedied or is ongoing. Brief the Information Officer (Sashin J. Singh) and Legal Counsel. Convene emergency response team.</w:t>
            </w:r>
          </w:p>
        </w:tc>
        <w:tc>
          <w:tcPr>
            <w:tcW w:type="dxa" w:w="2800"/>
            <w:tcBorders>
              <w:top w:val="single" w:color="CCCCCC" w:sz="4"/>
              <w:left w:val="single" w:color="CCCCCC" w:sz="4"/>
              <w:bottom w:val="single" w:color="CCCCCC" w:sz="4"/>
              <w:right w:val="single" w:color="CCCCCC" w:sz="4"/>
            </w:tcBorders>
            <w:shd w:fill="FDECEA"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Within 4 HOURS of discovery</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20"/>
                <w:szCs w:val="20"/>
              </w:rPr>
              <w:t xml:space="preserve">3</w:t>
            </w:r>
          </w:p>
        </w:tc>
        <w:tc>
          <w:tcPr>
            <w:tcW w:type="dxa" w:w="18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9"/>
                <w:szCs w:val="19"/>
              </w:rPr>
              <w:t xml:space="preserve">NOTIFY</w:t>
            </w:r>
          </w:p>
        </w:tc>
        <w:tc>
          <w:tcPr>
            <w:tcW w:type="dxa" w:w="4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Notify the Information Regulator using Form 2 prescribed by POPIA Regulations. Notification must include: identity of responsible party; description of breach; categories and approximate number of data subjects affected; categories and approximate number of records affected; likely consequences; measures taken or proposed. Notify affected data subjects if there is a real risk of harm — notification must include sufficient information to allow data subjects to protect themselves.</w:t>
            </w:r>
          </w:p>
        </w:tc>
        <w:tc>
          <w:tcPr>
            <w:tcW w:type="dxa" w:w="2800"/>
            <w:tcBorders>
              <w:top w:val="single" w:color="CCCCCC" w:sz="4"/>
              <w:left w:val="single" w:color="CCCCCC" w:sz="4"/>
              <w:bottom w:val="single" w:color="CCCCCC" w:sz="4"/>
              <w:right w:val="single" w:color="CCCCCC" w:sz="4"/>
            </w:tcBorders>
            <w:shd w:fill="FDECEA"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Within 72 HOURS of awareness</w:t>
            </w:r>
          </w:p>
        </w:tc>
      </w:tr>
      <w:tr>
        <w:tc>
          <w:tcPr>
            <w:tcW w:type="dxa" w:w="4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20"/>
                <w:szCs w:val="20"/>
              </w:rPr>
              <w:t xml:space="preserve">4</w:t>
            </w:r>
          </w:p>
        </w:tc>
        <w:tc>
          <w:tcPr>
            <w:tcW w:type="dxa" w:w="1800"/>
            <w:tcBorders>
              <w:top w:val="single" w:color="CCCCCC" w:sz="4"/>
              <w:left w:val="single" w:color="CCCCCC" w:sz="4"/>
              <w:bottom w:val="single" w:color="CCCCCC" w:sz="4"/>
              <w:right w:val="single" w:color="CCCCCC" w:sz="4"/>
            </w:tcBorders>
            <w:shd w:fill="0D1E35" w:val="clear"/>
            <w:tcMar>
              <w:top w:type="dxa" w:w="100"/>
              <w:left w:type="dxa" w:w="140"/>
              <w:bottom w:type="dxa" w:w="100"/>
              <w:right w:type="dxa" w:w="140"/>
            </w:tcMar>
            <w:vAlign w:val="top"/>
          </w:tcPr>
          <w:p>
            <w:pPr>
              <w:spacing w:after="0"/>
            </w:pPr>
            <w:r>
              <w:rPr>
                <w:rFonts w:ascii="Arial" w:cs="Arial" w:eastAsia="Arial" w:hAnsi="Arial"/>
                <w:b/>
                <w:bCs/>
                <w:color w:val="C9A84C"/>
                <w:sz w:val="19"/>
                <w:szCs w:val="19"/>
              </w:rPr>
              <w:t xml:space="preserve">REMEDIATE</w:t>
            </w:r>
          </w:p>
        </w:tc>
        <w:tc>
          <w:tcPr>
            <w:tcW w:type="dxa" w:w="4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Implement remediation measures to prevent recurrence. Update security controls. Re-train affected staff. Document the full incident in the Breach Register. Brief the Constitutional Oversight Board at the next scheduled meeting. If UDOC was the system involved, initiate independent security audit. Review and update this Protocol if gaps were identified.</w:t>
            </w:r>
          </w:p>
        </w:tc>
        <w:tc>
          <w:tcPr>
            <w:tcW w:type="dxa" w:w="2800"/>
            <w:tcBorders>
              <w:top w:val="single" w:color="CCCCCC" w:sz="4"/>
              <w:left w:val="single" w:color="CCCCCC" w:sz="4"/>
              <w:bottom w:val="single" w:color="CCCCCC" w:sz="4"/>
              <w:right w:val="single" w:color="CCCCCC" w:sz="4"/>
            </w:tcBorders>
            <w:shd w:fill="FDECEA" w:val="clear"/>
            <w:tcMar>
              <w:top w:type="dxa" w:w="100"/>
              <w:left w:type="dxa" w:w="140"/>
              <w:bottom w:type="dxa" w:w="100"/>
              <w:right w:type="dxa" w:w="140"/>
            </w:tcMar>
            <w:vAlign w:val="top"/>
          </w:tcPr>
          <w:p>
            <w:pPr>
              <w:spacing w:after="0"/>
            </w:pPr>
            <w:r>
              <w:rPr>
                <w:rFonts w:ascii="Arial" w:cs="Arial" w:eastAsia="Arial" w:hAnsi="Arial"/>
                <w:b/>
                <w:bCs/>
                <w:color w:val="C0392B"/>
                <w:sz w:val="16"/>
                <w:szCs w:val="16"/>
              </w:rPr>
              <w:t xml:space="preserve">Within 30 DAYS of breach</w:t>
            </w:r>
          </w:p>
        </w:tc>
      </w:tr>
    </w:tbl>
    <w:p>
      <w:pPr>
        <w:spacing w:after="16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9.2  Breach Severity Classification</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1400"/>
        <w:gridCol w:w="2400"/>
        <w:gridCol w:w="2400"/>
        <w:gridCol w:w="3000"/>
      </w:tblGrid>
      <w:tr>
        <w:tc>
          <w:tcPr>
            <w:tcW w:type="dxa" w:w="1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SEVERITY</w:t>
            </w:r>
          </w:p>
        </w:tc>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CRITERIA</w:t>
            </w:r>
          </w:p>
        </w:tc>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EXAMPLES</w:t>
            </w:r>
          </w:p>
        </w:tc>
        <w:tc>
          <w:tcPr>
            <w:tcW w:type="dxa" w:w="30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RESPONSE ESCALATION</w:t>
            </w:r>
          </w:p>
        </w:tc>
      </w:tr>
      <w:tr>
        <w:tc>
          <w:tcPr>
            <w:tcW w:type="dxa" w:w="1400"/>
            <w:tcBorders>
              <w:top w:val="single" w:color="CCCCCC" w:sz="4"/>
              <w:left w:val="single" w:color="CCCCCC" w:sz="4"/>
              <w:bottom w:val="single" w:color="CCCCCC" w:sz="4"/>
              <w:right w:val="single" w:color="CCCCCC" w:sz="4"/>
            </w:tcBorders>
            <w:shd w:fill="FDECEA"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 CRITICAL</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6"/>
                <w:szCs w:val="16"/>
              </w:rPr>
              <w:t xml:space="preserve">Special Personal Information (Section 26) involved; large number of data subjects; identity theft or discrimination risk</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Criminal record data accessed by employer; health information disclosed to unauthorised third party; biometric database breach</w:t>
            </w:r>
          </w:p>
        </w:tc>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Immediate: IO notified within 1hr. COB emergency session within 24hrs. Information Regulator notified within 72hrs. Individual notifications to affected participants.</w:t>
            </w:r>
          </w:p>
        </w:tc>
      </w:tr>
      <w:tr>
        <w:tc>
          <w:tcPr>
            <w:tcW w:type="dxa" w:w="1400"/>
            <w:tcBorders>
              <w:top w:val="single" w:color="CCCCCC" w:sz="4"/>
              <w:left w:val="single" w:color="CCCCCC" w:sz="4"/>
              <w:bottom w:val="single" w:color="CCCCCC" w:sz="4"/>
              <w:right w:val="single" w:color="CCCCCC" w:sz="4"/>
            </w:tcBorders>
            <w:shd w:fill="FEF6EC"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 HIGH</w:t>
            </w:r>
          </w:p>
        </w:tc>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6"/>
                <w:szCs w:val="16"/>
              </w:rPr>
              <w:t xml:space="preserve">Significant personal information affected; potential financial or reputational harm</w:t>
            </w:r>
          </w:p>
        </w:tc>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Employment records accessed by competitor; S.E.T.H.S participant database breached (non-Special data); UDOC client contact data compromised</w:t>
            </w:r>
          </w:p>
        </w:tc>
        <w:tc>
          <w:tcPr>
            <w:tcW w:type="dxa" w:w="3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IO notified within 2hrs. Legal Counsel engaged. Information Regulator notified within 72hrs. Client notification within 48hrs.</w:t>
            </w:r>
          </w:p>
        </w:tc>
      </w:tr>
      <w:tr>
        <w:tc>
          <w:tcPr>
            <w:tcW w:type="dxa" w:w="14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 MEDIUM</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6"/>
                <w:szCs w:val="16"/>
              </w:rPr>
              <w:t xml:space="preserve">Limited personal information; low harm risk; contained within organisation</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Single participant record accessed in error; email sent to wrong recipient (single individual)</w:t>
            </w:r>
          </w:p>
        </w:tc>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IO notified within 4hrs. Internal investigation. Notification to affected individual. Document and remediate.</w:t>
            </w:r>
          </w:p>
        </w:tc>
      </w:tr>
      <w:tr>
        <w:tc>
          <w:tcPr>
            <w:tcW w:type="dxa" w:w="1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 LOW</w:t>
            </w:r>
          </w:p>
        </w:tc>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6"/>
                <w:szCs w:val="16"/>
              </w:rPr>
              <w:t xml:space="preserve">Administrative error; no personal information disclosed outside organisation</w:t>
            </w:r>
          </w:p>
        </w:tc>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6"/>
                <w:szCs w:val="16"/>
              </w:rPr>
              <w:t xml:space="preserve">File misfiled internally; retention schedule not followed for non-sensitive data</w:t>
            </w:r>
          </w:p>
        </w:tc>
        <w:tc>
          <w:tcPr>
            <w:tcW w:type="dxa" w:w="30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Document. Correct. Retrain. No external notification required unless escalation occurs.</w:t>
            </w:r>
          </w:p>
        </w:tc>
      </w:tr>
    </w:tbl>
    <w:p>
      <w:pPr>
        <w:spacing w:after="160"/>
      </w:pPr>
      <w:r>
        <w:rPr>
          <w:rFonts w:ascii="Arial" w:cs="Arial" w:eastAsia="Arial" w:hAnsi="Arial"/>
        </w:rPr>
        <w:t xml:space="preserve"/>
      </w:r>
    </w:p>
    <w:p>
      <w:pPr>
        <w:shd w:fill="060E1C" w:val="clear"/>
        <w:spacing w:before="480" w:after="200"/>
        <w:ind w:left="180" w:right="180"/>
      </w:pPr>
      <w:r>
        <w:rPr>
          <w:rFonts w:ascii="Arial" w:cs="Arial" w:eastAsia="Arial" w:hAnsi="Arial"/>
          <w:b/>
          <w:bCs/>
          <w:color w:val="C9A84C"/>
          <w:sz w:val="26"/>
          <w:szCs w:val="26"/>
        </w:rPr>
        <w:t xml:space="preserve">SECTION 10  —  </w:t>
      </w:r>
      <w:r>
        <w:rPr>
          <w:rFonts w:ascii="Arial" w:cs="Arial" w:eastAsia="Arial" w:hAnsi="Arial"/>
          <w:b/>
          <w:bCs/>
          <w:color w:val="FFFFFF"/>
          <w:sz w:val="26"/>
          <w:szCs w:val="26"/>
        </w:rPr>
        <w:t xml:space="preserve">POPIA GOVERNANCE, TRAINING AND ANNUAL REVIEW</w:t>
      </w:r>
    </w:p>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10.1  Roles and Responsibilities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3200"/>
        <w:gridCol w:w="3600"/>
      </w:tblGrid>
      <w:tr>
        <w:tc>
          <w:tcPr>
            <w:tcW w:type="dxa" w:w="24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ROLE</w:t>
            </w:r>
          </w:p>
        </w:tc>
        <w:tc>
          <w:tcPr>
            <w:tcW w:type="dxa" w:w="3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PERSON / ENTITY</w:t>
            </w:r>
          </w:p>
        </w:tc>
        <w:tc>
          <w:tcPr>
            <w:tcW w:type="dxa" w:w="36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POPIA RESPONSIBILITIES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Information Officer (IO)</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Sashin J. Singh (Founder) — until dedicated IO is appointed. IO must be registered with Information Regulator before any personal data is processed.</w:t>
            </w:r>
          </w:p>
        </w:tc>
        <w:tc>
          <w:tcPr>
            <w:tcW w:type="dxa" w:w="3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Oversee POPIA compliance across all entities. Sign off on DPAs. Approve breach notifications. Maintain Processing Register. Handle escalated DSARs. Respond to Information Regulator inquiries.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Deputy Information Officers</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Appointed for each subsidiary (S.E.T.H.S Head, UDOC Engineering Lead initially — to be reviewed as structure matures)</w:t>
            </w:r>
          </w:p>
        </w:tc>
        <w:tc>
          <w:tcPr>
            <w:tcW w:type="dxa" w:w="36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Day-to-day POPIA compliance within their division. Conduct staff training. Handle first-line DSARs. Report monthly to IO. Escalate incidents within 1 hour.</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Legal Counsel</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External counsel or in-house when appointed</w:t>
            </w:r>
          </w:p>
        </w:tc>
        <w:tc>
          <w:tcPr>
            <w:tcW w:type="dxa" w:w="3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Draft and review DPAs. Review consent forms. Advise on prior authorisation applications. Handle Information Regulator correspondence. Annual Framework review.</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UDOC Engineering Lead</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Appointed Month 2–3</w:t>
            </w:r>
          </w:p>
        </w:tc>
        <w:tc>
          <w:tcPr>
            <w:tcW w:type="dxa" w:w="36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Implement technical security safeguards. Maintain encryption standards. Oversee access controls. Respond to technical breach events. Ensure UDOC platform meets POPIA technical requirements.</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Constitutional Oversight Board</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Independent COB members</w:t>
            </w:r>
          </w:p>
        </w:tc>
        <w:tc>
          <w:tcPr>
            <w:tcW w:type="dxa" w:w="3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Annual review of POPIA compliance as part of constitutional compliance audit. COB receives breach reports. COB approves material changes to processing activities involving Special Personal Information.</w:t>
            </w:r>
          </w:p>
        </w:tc>
      </w:tr>
      <w:tr>
        <w:tc>
          <w:tcPr>
            <w:tcW w:type="dxa" w:w="24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bCs/>
                <w:color w:val="060E1C"/>
                <w:sz w:val="17"/>
                <w:szCs w:val="17"/>
              </w:rPr>
              <w:t xml:space="preserve">All Staff</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060E1C"/>
                <w:sz w:val="17"/>
                <w:szCs w:val="17"/>
              </w:rPr>
              <w:t xml:space="preserve">Every person employed by or contracted to any G.O.D.S Group entity</w:t>
            </w:r>
          </w:p>
        </w:tc>
        <w:tc>
          <w:tcPr>
            <w:tcW w:type="dxa" w:w="36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333333"/>
                <w:sz w:val="16"/>
                <w:szCs w:val="16"/>
              </w:rPr>
              <w:t xml:space="preserve">Complete POPIA training before accessing any personal information. Report suspected breaches immediately. Comply with access controls and data handling procedures. Do not process personal information for any purpose not specified in this Framework.</w:t>
            </w:r>
          </w:p>
        </w:tc>
      </w:tr>
    </w:tbl>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10.2  Staff Training Requirements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200"/>
      </w:tblGrid>
      <w:tr>
        <w:tc>
          <w:tcPr>
            <w:tcW w:type="dxa" w:w="28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TRAINING MODULE</w:t>
            </w:r>
          </w:p>
        </w:tc>
        <w:tc>
          <w:tcPr>
            <w:tcW w:type="dxa" w:w="3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REQUIRED FOR</w:t>
            </w:r>
          </w:p>
        </w:tc>
        <w:tc>
          <w:tcPr>
            <w:tcW w:type="dxa" w:w="3200"/>
            <w:tcBorders>
              <w:top w:val="single" w:color="CCCCCC" w:sz="4"/>
              <w:left w:val="single" w:color="CCCCCC" w:sz="4"/>
              <w:bottom w:val="single" w:color="CCCCCC" w:sz="4"/>
              <w:right w:val="single" w:color="CCCCCC" w:sz="4"/>
            </w:tcBorders>
            <w:shd w:fill="060E1C" w:val="clear"/>
            <w:tcMar>
              <w:top w:type="dxa" w:w="100"/>
              <w:left w:type="dxa" w:w="140"/>
              <w:bottom w:type="dxa" w:w="100"/>
              <w:right w:type="dxa" w:w="140"/>
            </w:tcMar>
            <w:vAlign w:val="top"/>
          </w:tcPr>
          <w:p>
            <w:pPr>
              <w:spacing w:after="0"/>
            </w:pPr>
            <w:r>
              <w:rPr>
                <w:rFonts w:ascii="Arial" w:cs="Arial" w:eastAsia="Arial" w:hAnsi="Arial"/>
                <w:b/>
                <w:bCs/>
                <w:color w:val="C9A84C"/>
                <w:sz w:val="18"/>
                <w:szCs w:val="18"/>
              </w:rPr>
              <w:t xml:space="preserve">TIMING</w:t>
            </w:r>
          </w:p>
        </w:tc>
      </w:tr>
      <w:tr>
        <w:tc>
          <w:tcPr>
            <w:tcW w:type="dxa" w:w="2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7"/>
                <w:szCs w:val="17"/>
              </w:rPr>
              <w:t xml:space="preserve">POPIA Fundamentals — rights, obligations, the 8 conditions</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All staff and contractors</w:t>
            </w:r>
          </w:p>
        </w:tc>
        <w:tc>
          <w:tcPr>
            <w:tcW w:type="dxa" w:w="32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Before first access to any personal information — no exceptions</w:t>
            </w:r>
          </w:p>
        </w:tc>
      </w:tr>
      <w:tr>
        <w:tc>
          <w:tcPr>
            <w:tcW w:type="dxa" w:w="2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7"/>
                <w:szCs w:val="17"/>
              </w:rPr>
              <w:t xml:space="preserve">Special Personal Information handling — Section 26 deep dive</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All S.E.T.H.S staff, UDOC staff handling AI decision data</w:t>
            </w:r>
          </w:p>
        </w:tc>
        <w:tc>
          <w:tcPr>
            <w:tcW w:type="dxa" w:w="32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Before first S.E.T.H.S participant intake</w:t>
            </w:r>
          </w:p>
        </w:tc>
      </w:tr>
      <w:tr>
        <w:tc>
          <w:tcPr>
            <w:tcW w:type="dxa" w:w="2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7"/>
                <w:szCs w:val="17"/>
              </w:rPr>
              <w:t xml:space="preserve">Data breach identification and response</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All staff</w:t>
            </w:r>
          </w:p>
        </w:tc>
        <w:tc>
          <w:tcPr>
            <w:tcW w:type="dxa" w:w="32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Before first day of operations; annually thereafter</w:t>
            </w:r>
          </w:p>
        </w:tc>
      </w:tr>
      <w:tr>
        <w:tc>
          <w:tcPr>
            <w:tcW w:type="dxa" w:w="2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7"/>
                <w:szCs w:val="17"/>
              </w:rPr>
              <w:t xml:space="preserve">Consent administration — how to obtain, record, and manage withdrawals</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S.E.T.H.S facilitators, case managers, reception</w:t>
            </w:r>
          </w:p>
        </w:tc>
        <w:tc>
          <w:tcPr>
            <w:tcW w:type="dxa" w:w="32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Before first participant interaction</w:t>
            </w:r>
          </w:p>
        </w:tc>
      </w:tr>
      <w:tr>
        <w:tc>
          <w:tcPr>
            <w:tcW w:type="dxa" w:w="2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7"/>
                <w:szCs w:val="17"/>
              </w:rPr>
              <w:t xml:space="preserve">DSAR handling procedure</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Information Officer, Deputy IOs, any client-facing staff</w:t>
            </w:r>
          </w:p>
        </w:tc>
        <w:tc>
          <w:tcPr>
            <w:tcW w:type="dxa" w:w="32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Before first client engagement</w:t>
            </w:r>
          </w:p>
        </w:tc>
      </w:tr>
      <w:tr>
        <w:tc>
          <w:tcPr>
            <w:tcW w:type="dxa" w:w="2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7"/>
                <w:szCs w:val="17"/>
              </w:rPr>
              <w:t xml:space="preserve">UDOC technical data protection — encryption, access controls, audit trails</w:t>
            </w:r>
          </w:p>
        </w:tc>
        <w:tc>
          <w:tcPr>
            <w:tcW w:type="dxa" w:w="3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UDOC engineering and product team</w:t>
            </w:r>
          </w:p>
        </w:tc>
        <w:tc>
          <w:tcPr>
            <w:tcW w:type="dxa" w:w="32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Before first enterprise client data is loaded onto platform</w:t>
            </w:r>
          </w:p>
        </w:tc>
      </w:tr>
      <w:tr>
        <w:tc>
          <w:tcPr>
            <w:tcW w:type="dxa" w:w="28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b w:val="false"/>
                <w:bCs w:val="false"/>
                <w:color w:val="060E1C"/>
                <w:sz w:val="17"/>
                <w:szCs w:val="17"/>
              </w:rPr>
              <w:t xml:space="preserve">Annual POPIA refresher training</w:t>
            </w:r>
          </w:p>
        </w:tc>
        <w:tc>
          <w:tcPr>
            <w:tcW w:type="dxa" w:w="3200"/>
            <w:tcBorders>
              <w:top w:val="single" w:color="CCCCCC" w:sz="4"/>
              <w:left w:val="single" w:color="CCCCCC" w:sz="4"/>
              <w:bottom w:val="single" w:color="CCCCCC" w:sz="4"/>
              <w:right w:val="single" w:color="CCCCCC" w:sz="4"/>
            </w:tcBorders>
            <w:shd w:fill="F4F4F4" w:val="clear"/>
            <w:tcMar>
              <w:top w:type="dxa" w:w="100"/>
              <w:left w:type="dxa" w:w="140"/>
              <w:bottom w:type="dxa" w:w="100"/>
              <w:right w:type="dxa" w:w="140"/>
            </w:tcMar>
            <w:vAlign w:val="top"/>
          </w:tcPr>
          <w:p>
            <w:pPr>
              <w:spacing w:after="0"/>
            </w:pPr>
            <w:r>
              <w:rPr>
                <w:rFonts w:ascii="Arial" w:cs="Arial" w:eastAsia="Arial" w:hAnsi="Arial"/>
                <w:color w:val="444444"/>
                <w:sz w:val="17"/>
                <w:szCs w:val="17"/>
              </w:rPr>
              <w:t xml:space="preserve">All staff</w:t>
            </w:r>
          </w:p>
        </w:tc>
        <w:tc>
          <w:tcPr>
            <w:tcW w:type="dxa" w:w="3200"/>
            <w:tcBorders>
              <w:top w:val="single" w:color="CCCCCC" w:sz="4"/>
              <w:left w:val="single" w:color="CCCCCC" w:sz="4"/>
              <w:bottom w:val="single" w:color="CCCCCC" w:sz="4"/>
              <w:right w:val="single" w:color="CCCCCC" w:sz="4"/>
            </w:tcBorders>
            <w:shd w:fill="EAF4ED" w:val="clear"/>
            <w:tcMar>
              <w:top w:type="dxa" w:w="100"/>
              <w:left w:type="dxa" w:w="140"/>
              <w:bottom w:type="dxa" w:w="100"/>
              <w:right w:type="dxa" w:w="140"/>
            </w:tcMar>
            <w:vAlign w:val="top"/>
          </w:tcPr>
          <w:p>
            <w:pPr>
              <w:spacing w:after="0"/>
            </w:pPr>
            <w:r>
              <w:rPr>
                <w:rFonts w:ascii="Arial" w:cs="Arial" w:eastAsia="Arial" w:hAnsi="Arial"/>
                <w:b/>
                <w:bCs/>
                <w:color w:val="1A6B3A"/>
                <w:sz w:val="16"/>
                <w:szCs w:val="16"/>
              </w:rPr>
              <w:t xml:space="preserve">Every 12 months — mandatory; completion logged in HR records</w:t>
            </w:r>
          </w:p>
        </w:tc>
      </w:tr>
    </w:tbl>
    <w:p>
      <w:pPr>
        <w:spacing w:after="80"/>
      </w:pPr>
      <w:r>
        <w:rPr>
          <w:rFonts w:ascii="Arial" w:cs="Arial" w:eastAsia="Arial" w:hAnsi="Arial"/>
        </w:rPr>
        <w:t xml:space="preserve"/>
      </w:r>
    </w:p>
    <w:p>
      <w:pPr>
        <w:pBdr>
          <w:bottom w:val="single" w:color="C9A84C" w:sz="4"/>
        </w:pBdr>
        <w:spacing w:before="240" w:after="100"/>
      </w:pPr>
      <w:r>
        <w:rPr>
          <w:rFonts w:ascii="Arial" w:cs="Arial" w:eastAsia="Arial" w:hAnsi="Arial"/>
          <w:b/>
          <w:bCs/>
          <w:color w:val="060E1C"/>
          <w:sz w:val="20"/>
          <w:szCs w:val="20"/>
        </w:rPr>
        <w:t xml:space="preserve">10.3  Annual Review Checklist</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FFFFFF" w:sz="1"/>
              <w:left w:val="single" w:color="060E1C" w:sz="16"/>
              <w:bottom w:val="single" w:color="FFFFFF" w:sz="1"/>
              <w:right w:val="single" w:color="FFFFFF" w:sz="1"/>
            </w:tcBorders>
            <w:shd w:fill="F4F4F4" w:val="clear"/>
            <w:tcMar>
              <w:top w:type="dxa" w:w="120"/>
              <w:left w:type="dxa" w:w="240"/>
              <w:bottom w:type="dxa" w:w="120"/>
              <w:right w:type="dxa" w:w="180"/>
            </w:tcMar>
          </w:tcPr>
          <w:p>
            <w:pPr>
              <w:spacing w:after="0"/>
            </w:pPr>
            <w:r>
              <w:rPr>
                <w:rFonts w:ascii="Arial" w:cs="Arial" w:eastAsia="Arial" w:hAnsi="Arial"/>
                <w:color w:val="060E1C"/>
                <w:sz w:val="18"/>
                <w:szCs w:val="18"/>
              </w:rPr>
              <w:t xml:space="preserve">This checklist must be completed annually by the Information Officer, reviewed by Legal Counsel, and presented to the Constitutional Oversight Board as part of the annual constitutional compliance review.</w:t>
            </w:r>
          </w:p>
        </w:tc>
      </w:tr>
    </w:tbl>
    <w:p>
      <w:pPr>
        <w:spacing w:after="80"/>
      </w:pPr>
      <w:r>
        <w:rPr>
          <w:rFonts w:ascii="Arial" w:cs="Arial" w:eastAsia="Arial" w:hAnsi="Arial"/>
        </w:rPr>
        <w:t xml:space="preserve"/>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Processing Operations Register reviewed and updated for any new or changed processing activities</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All Data Processing Agreements (DPAs) with operators reviewed — confirm still current and adequate</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Retention schedules enforced — confirm data deleted in accordance with retention periods</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Staff training completion records reviewed — all staff have completed annual refresher</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Breach Register reviewed — all incidents documented and remediated</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Consent forms reviewed — language still clear, purpose still accurate</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DPIA for S.E.T.H.S high-risk processing reviewed and updated</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Prior authorisation (criminal behaviour processing) — confirm still valid and conditions complied with</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Information Officer registration with Information Regulator — confirm current</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PAIA Manual — confirm published and current on gods.systems</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Security safeguards reviewed — penetration testing completed, encryption standards current</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Any new legislation, Information Regulator guidance notes, or enforcement notices reviewed and incorporated</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Statutory framework table (Section 1.2) updated for any new or amended legislation</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Framework approved by Information Officer and Legal Counsel — new version number assigned</w:t>
      </w:r>
    </w:p>
    <w:p>
      <w:pPr>
        <w:spacing w:after="60"/>
      </w:pPr>
      <w:r>
        <w:rPr>
          <w:rFonts w:ascii="Arial" w:cs="Arial" w:eastAsia="Arial" w:hAnsi="Arial"/>
          <w:color w:val="060E1C"/>
          <w:sz w:val="20"/>
          <w:szCs w:val="20"/>
        </w:rPr>
        <w:t xml:space="preserve">☐  </w:t>
      </w:r>
      <w:r>
        <w:rPr>
          <w:rFonts w:ascii="Arial" w:cs="Arial" w:eastAsia="Arial" w:hAnsi="Arial"/>
          <w:color w:val="060E1C"/>
          <w:sz w:val="18"/>
          <w:szCs w:val="18"/>
        </w:rPr>
        <w:t xml:space="preserve">Approved Framework presented to Constitutional Oversight Board — COB resolution recorded</w:t>
      </w:r>
    </w:p>
    <w:p>
      <w:pPr>
        <w:spacing w:after="160"/>
      </w:pPr>
      <w:r>
        <w:rPr>
          <w:rFonts w:ascii="Arial" w:cs="Arial" w:eastAsia="Arial" w:hAnsi="Arial"/>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9200"/>
      </w:tblGrid>
      <w:tr>
        <w:tc>
          <w:tcPr>
            <w:tcBorders>
              <w:top w:val="single" w:color="C9A84C" w:sz="4"/>
              <w:left w:val="single" w:color="C9A84C" w:sz="4"/>
              <w:bottom w:val="single" w:color="C9A84C" w:sz="4"/>
              <w:right w:val="single" w:color="C9A84C" w:sz="4"/>
            </w:tcBorders>
            <w:shd w:fill="060E1C" w:val="clear"/>
            <w:tcMar>
              <w:top w:type="dxa" w:w="240"/>
              <w:left w:type="dxa" w:w="280"/>
              <w:bottom w:type="dxa" w:w="240"/>
              <w:right w:type="dxa" w:w="280"/>
            </w:tcMar>
          </w:tcPr>
          <w:p>
            <w:pPr>
              <w:spacing w:after="120"/>
              <w:jc w:val="center"/>
            </w:pPr>
            <w:r>
              <w:rPr>
                <w:rFonts w:ascii="Arial" w:cs="Arial" w:eastAsia="Arial" w:hAnsi="Arial"/>
                <w:b/>
                <w:bCs/>
                <w:color w:val="C9A84C"/>
                <w:sz w:val="22"/>
                <w:szCs w:val="22"/>
              </w:rPr>
              <w:t xml:space="preserve">DOCUMENT APPROVAL AND CERTIFICATION</w:t>
            </w:r>
          </w:p>
          <w:p>
            <w:pPr>
              <w:spacing w:after="200"/>
            </w:pPr>
            <w:r>
              <w:rPr>
                <w:rFonts w:ascii="Arial" w:cs="Arial" w:eastAsia="Arial" w:hAnsi="Arial"/>
                <w:color w:val="FFFFFF"/>
                <w:sz w:val="17"/>
                <w:szCs w:val="17"/>
              </w:rPr>
              <w:t xml:space="preserve">This POPIA Compliance Framework has been prepared by G.O.D.S Holdings (Pty) Ltd in compliance with the Protection of Personal Information Act 4 of 2013. It constitutes the formal data protection architecture of the G.O.D.S Group and must be maintained, reviewed annually, and updated on any material change to processing activities.</w:t>
            </w:r>
          </w:p>
          <w:p>
            <w:pPr>
              <w:spacing w:after="120"/>
            </w:pPr>
            <w:r>
              <w:rPr>
                <w:rFonts w:ascii="Arial" w:cs="Arial" w:eastAsia="Arial" w:hAnsi="Arial"/>
                <w:color w:val="FFFFFF"/>
                <w:sz w:val="18"/>
                <w:szCs w:val="18"/>
              </w:rPr>
              <w:t xml:space="preserve">Information Officer:  ____________________________     Date:  ________________</w:t>
            </w:r>
          </w:p>
          <w:p>
            <w:pPr>
              <w:spacing w:after="120"/>
            </w:pPr>
            <w:r>
              <w:rPr>
                <w:rFonts w:ascii="Arial" w:cs="Arial" w:eastAsia="Arial" w:hAnsi="Arial"/>
                <w:color w:val="FFFFFF"/>
                <w:sz w:val="18"/>
                <w:szCs w:val="18"/>
              </w:rPr>
              <w:t xml:space="preserve">Legal Counsel:        ____________________________     Date:  ________________</w:t>
            </w:r>
          </w:p>
          <w:p>
            <w:pPr>
              <w:spacing w:after="80"/>
            </w:pPr>
            <w:r>
              <w:rPr>
                <w:rFonts w:ascii="Arial" w:cs="Arial" w:eastAsia="Arial" w:hAnsi="Arial"/>
                <w:color w:val="FFFFFF"/>
                <w:sz w:val="18"/>
                <w:szCs w:val="18"/>
              </w:rPr>
              <w:t xml:space="preserve">COB Representative:  ____________________________     Date:  ________________</w:t>
            </w:r>
          </w:p>
          <w:p>
            <w:pPr>
              <w:spacing w:after="80"/>
            </w:pPr>
            <w:r>
              <w:rPr>
                <w:rFonts w:ascii="Arial" w:cs="Arial" w:eastAsia="Arial" w:hAnsi="Arial"/>
              </w:rPr>
              <w:t xml:space="preserve"/>
            </w:r>
          </w:p>
          <w:p>
            <w:pPr>
              <w:spacing w:after="0"/>
              <w:jc w:val="center"/>
            </w:pPr>
            <w:r>
              <w:rPr>
                <w:rFonts w:ascii="Arial" w:cs="Arial" w:eastAsia="Arial" w:hAnsi="Arial"/>
                <w:color w:val="888888"/>
                <w:sz w:val="16"/>
                <w:szCs w:val="16"/>
              </w:rPr>
              <w:t xml:space="preserve">G.O.D.S Holdings (Pty) Ltd  |  Johannesburg, South Africa  |  privacy@gods.systems  |  www.gods.systems</w:t>
            </w:r>
          </w:p>
        </w:tc>
      </w:tr>
    </w:tbl>
    <w:sectPr>
      <w:headerReference w:type="default" r:id="rId6"/>
      <w:footerReference w:type="default" r:id="rId7"/>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Arial" w:cs="Arial" w:eastAsia="Arial" w:hAnsi="Arial"/>
        <w:color w:val="888888"/>
        <w:sz w:val="14"/>
        <w:szCs w:val="14"/>
      </w:rPr>
      <w:t xml:space="preserve">G.O.D.S Holdings (Pty) Ltd  ·  Johannesburg, South Africa  ·  privacy@gods.systems  ·  www.gods.systems  ·  POPIA Compliant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800"/>
      <w:tblBorders>
        <w:top w:val="single" w:color="auto" w:sz="4"/>
        <w:left w:val="single" w:color="auto" w:sz="4"/>
        <w:bottom w:val="single" w:color="auto" w:sz="4"/>
        <w:right w:val="single" w:color="auto" w:sz="4"/>
        <w:insideH w:val="single" w:color="auto" w:sz="4"/>
        <w:insideV w:val="single" w:color="auto" w:sz="4"/>
      </w:tblBorders>
    </w:tblPr>
    <w:tblGrid>
      <w:gridCol w:w="5400"/>
      <w:gridCol w:w="5400"/>
    </w:tblGrid>
    <w:tr>
      <w:tc>
        <w:tcPr>
          <w:tcBorders>
            <w:top w:val="single" w:color="FFFFFF" w:sz="1"/>
            <w:left w:val="single" w:color="FFFFFF" w:sz="1"/>
            <w:bottom w:val="single" w:color="FFFFFF" w:sz="1"/>
            <w:right w:val="single" w:color="FFFFFF" w:sz="1"/>
          </w:tcBorders>
          <w:shd w:fill="060E1C" w:val="clear"/>
          <w:tcMar>
            <w:top w:type="dxa" w:w="80"/>
            <w:left w:type="dxa" w:w="160"/>
            <w:bottom w:type="dxa" w:w="80"/>
            <w:right w:type="dxa" w:w="80"/>
          </w:tcMar>
        </w:tcPr>
        <w:p>
          <w:pPr>
            <w:spacing w:after="0"/>
          </w:pPr>
          <w:r>
            <w:rPr>
              <w:rFonts w:ascii="Arial" w:cs="Arial" w:eastAsia="Arial" w:hAnsi="Arial"/>
              <w:b/>
              <w:bCs/>
              <w:color w:val="C9A84C"/>
              <w:sz w:val="14"/>
              <w:szCs w:val="14"/>
            </w:rPr>
            <w:t xml:space="preserve">G.O.D.S HOLDINGS  |  POPIA COMPLIANCE FRAMEWORK  |  CONFIDENTIAL</w:t>
          </w:r>
        </w:p>
      </w:tc>
      <w:tc>
        <w:tcPr>
          <w:tcBorders>
            <w:top w:val="single" w:color="FFFFFF" w:sz="1"/>
            <w:left w:val="single" w:color="FFFFFF" w:sz="1"/>
            <w:bottom w:val="single" w:color="FFFFFF" w:sz="1"/>
            <w:right w:val="single" w:color="FFFFFF" w:sz="1"/>
          </w:tcBorders>
          <w:shd w:fill="F4F4F4" w:val="clear"/>
          <w:tcMar>
            <w:top w:type="dxa" w:w="80"/>
            <w:left w:type="dxa" w:w="80"/>
            <w:bottom w:type="dxa" w:w="80"/>
            <w:right w:type="dxa" w:w="160"/>
          </w:tcMar>
        </w:tcPr>
        <w:p>
          <w:pPr>
            <w:spacing w:after="0"/>
            <w:jc w:val="right"/>
          </w:pPr>
          <w:r>
            <w:rPr>
              <w:rFonts w:ascii="Arial" w:cs="Arial" w:eastAsia="Arial" w:hAnsi="Arial"/>
              <w:color w:val="666666"/>
              <w:sz w:val="14"/>
              <w:szCs w:val="14"/>
            </w:rPr>
            <w:t xml:space="preserve">Protection of Personal Information Act 4 of 2013  |  Version 1.0</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2026-03-20T08:58:40.696Z</dcterms:created>
  <dcterms:modified xsi:type="dcterms:W3CDTF">2026-03-20T08:58:40.697Z</dcterms:modified>
</cp:coreProperties>
</file>

<file path=docProps/custom.xml><?xml version="1.0" encoding="utf-8"?>
<Properties xmlns="http://schemas.openxmlformats.org/officeDocument/2006/custom-properties" xmlns:vt="http://schemas.openxmlformats.org/officeDocument/2006/docPropsVTypes"/>
</file>