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SOVEREIGN PARTNERSHIP FRAMEWORK</w:t>
      </w:r>
    </w:p>
    <w:p>
      <w:pPr>
        <w:spacing w:before="0" w:after="80"/>
        <w:jc w:val="center"/>
      </w:pPr>
      <w:r>
        <w:rPr>
          <w:rFonts w:ascii="Arial" w:cs="Arial" w:eastAsia="Arial" w:hAnsi="Arial"/>
          <w:b/>
          <w:bCs/>
          <w:color w:val="1A1A2E"/>
          <w:sz w:val="26"/>
          <w:szCs w:val="26"/>
        </w:rPr>
        <w:t xml:space="preserve">&amp; NATIONAL INFRASTRUCTURE SPV MODEL</w:t>
      </w:r>
    </w:p>
    <w:p>
      <w:pPr>
        <w:spacing w:before="0" w:after="120"/>
        <w:jc w:val="center"/>
      </w:pPr>
      <w:r>
        <w:rPr>
          <w:rFonts w:ascii="Arial" w:cs="Arial" w:eastAsia="Arial" w:hAnsi="Arial"/>
          <w:color w:val="888888"/>
          <w:sz w:val="20"/>
          <w:szCs w:val="20"/>
        </w:rPr>
        <w:t xml:space="preserve">How Governments Partner With G.O.D.S — Procurement · SPV Architecture · Sovereignty Guarantees · Data Governance</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Sashin J. Singh — Founder &amp; Architect | G.O.D.S Holdings | 2026</w:t>
      </w:r>
    </w:p>
    <w:p>
      <w:r>
        <w:br w:type="page"/>
      </w:r>
    </w:p>
    <w:p>
      <w:pPr>
        <w:spacing w:before="400" w:after="160"/>
      </w:pPr>
      <w:r>
        <w:rPr>
          <w:rFonts w:ascii="Arial" w:cs="Arial" w:eastAsia="Arial" w:hAnsi="Arial"/>
          <w:b/>
          <w:bCs/>
          <w:color w:val="0A0A0A"/>
          <w:sz w:val="36"/>
          <w:szCs w:val="36"/>
        </w:rPr>
        <w:t xml:space="preserve">PART ONE — HOW GOVERNMENT ENGAGES WITH G.O.D.S</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Government engagement with G.O.D.S is not a sponsorship or CSI relationship. It is a structured public-private partnership architecture where government is an active co-owner, co-governor, and co-beneficiary of specific project outcomes. The G.O.D.S constitutional framework was explicitly designed to make this partnership credible: the Constitutional Pillars prevent the system from exploiting public investment, and the UDOC governance layer ensures everything government pays for is independently auditable.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Four Ways Government Partners With G.O.D.S</w:t>
            </w:r>
          </w:p>
          <w:p>
            <w:pPr>
              <w:spacing w:before="80" w:after="80"/>
            </w:pPr>
            <w:r>
              <w:t xml:space="preserve"/>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760"/>
              <w:gridCol w:w="1800"/>
            </w:tblGrid>
            <w:tr>
              <w:tc>
                <w:tcPr>
                  <w:tcW w:type="dxa" w:w="2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Partnership Type</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Government Role</w:t>
                  </w:r>
                </w:p>
              </w:tc>
              <w:tc>
                <w:tcPr>
                  <w:tcW w:type="dxa" w:w="27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G.O.D.S Role</w:t>
                  </w:r>
                </w:p>
              </w:tc>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Primary Division</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Outcome-Based Service Contract</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Pays per documented outcome (placement, retention, qualification)</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Delivers the outcome. Provides audited reporting.</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Infrastructure SPV Co-Ownership</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Co-equity holder in project SPV. Co-governance of project assets.</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Majority SPV shareholder. Project execution. Operations.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 M.A.D.I.B.A</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Digital Governance Deployment</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Commissions national AI registry, data sovereignty infrastructure, UDOC deployment</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Builds, operates, and governs the platform. Government retains data sovereignty.</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Strategic Advisory</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Engages M.A.D.I.B.A for infrastructure finance design, workforce transition planning, digital governance policy</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Provides advisory services on project fee basis.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M.A.D.I.B.A</w:t>
                  </w:r>
                </w:p>
              </w:tc>
            </w:tr>
          </w:tbl>
          <w:p/>
        </w:tc>
      </w:tr>
    </w:tbl>
    <w:p>
      <w:pPr>
        <w:spacing w:before="80" w:after="80"/>
      </w:pPr>
      <w:r>
        <w:t xml:space="preserve"/>
      </w:r>
    </w:p>
    <w:p>
      <w:pPr>
        <w:spacing w:before="400" w:after="160"/>
      </w:pPr>
      <w:r>
        <w:rPr>
          <w:rFonts w:ascii="Arial" w:cs="Arial" w:eastAsia="Arial" w:hAnsi="Arial"/>
          <w:b/>
          <w:bCs/>
          <w:color w:val="0A0A0A"/>
          <w:sz w:val="36"/>
          <w:szCs w:val="36"/>
        </w:rPr>
        <w:t xml:space="preserve">PART TWO — THE S.E.T.H.S GOVERNMENT PROCUREMENT PATHWAY</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The S.E.T.H.S government procurement pathway operates through existing South African government procurement frameworks. The primary contracting departments are the Department of Social Development (DSD), the Department of Employment and Labour (DoL), the Department of Correctional Services (DCS), and provincial Human Settlements departments.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Procurement Mechanism: Outcome-Based Contract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Contract Element</w:t>
                  </w:r>
                </w:p>
              </w:tc>
              <w:tc>
                <w:tcPr>
                  <w:tcW w:type="dxa" w:w="65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Structure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Contract type</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Public-private service delivery contract under PFMA compliance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Procurement pathway</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Competitive tender under supply chain management regulations. B-BBEE Level 1/2 preference.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Payment structure</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Per-participant intake fee (R8,000–R15,000) + per-successful-placement fee (R25,000–R45,000) + 24-month retention data reporting retainer (R5,000 per participant per year)</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Outcome definition</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Placement = signed employment contract + 90-day employer confirmation. Retention = employed at 6, 12, 24 months.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Audit requirements</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Independent outcome verification by accredited auditor. UDOC dashboard access for government contract managers.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Contract duration</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3-year rolling contract. Annual performance review. Renewal based on documented outcomes.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B-BBEE benefits</w:t>
                  </w:r>
                </w:p>
              </w:tc>
              <w:tc>
                <w:tcPr>
                  <w:tcW w:type="dxa" w:w="6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Section 12H learnership tax credit facilitation. Employment Tax Incentive support for employer partners. SETA grant access.</w:t>
                  </w:r>
                </w:p>
              </w:tc>
            </w:tr>
          </w:tbl>
          <w:p/>
        </w:tc>
      </w:tr>
    </w:tbl>
    <w:p>
      <w:pPr>
        <w:spacing w:before="80" w:after="80"/>
      </w:pPr>
      <w:r>
        <w:t xml:space="preserve"/>
      </w:r>
    </w:p>
    <w:p>
      <w:pPr>
        <w:spacing w:before="280" w:after="120"/>
      </w:pPr>
      <w:r>
        <w:rPr>
          <w:rFonts w:ascii="Arial" w:cs="Arial" w:eastAsia="Arial" w:hAnsi="Arial"/>
          <w:b/>
          <w:bCs/>
          <w:color w:val="1A1A2E"/>
          <w:sz w:val="28"/>
          <w:szCs w:val="28"/>
        </w:rPr>
        <w:t xml:space="preserve">Priority Government Partners — South Africa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000"/>
        <w:gridCol w:w="2560"/>
      </w:tblGrid>
      <w:tr>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Department</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Relevant Program</w:t>
            </w:r>
          </w:p>
        </w:tc>
        <w:tc>
          <w:tcPr>
            <w:tcW w:type="dxa" w:w="2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Entry Point</w:t>
            </w:r>
          </w:p>
        </w:tc>
        <w:tc>
          <w:tcPr>
            <w:tcW w:type="dxa" w:w="25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Contract Value Estimate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Dept. of Social Development</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Social Relief of Distress → Employment transition</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Deputy Director General: Social Welfare</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R5M–R50M per province per year at scale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Dept. of Employment and Labour</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Employment Services of South Africa (ESSA)</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ESSA Director</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R3M–R30M nationally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Dept. of Correctional Services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Community Corrections / Post-release program</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Community Corrections Director</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R2M–R20M nationally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Dept. of Women, Youth and Persons with Disabilities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NEET youth programs</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DDG: Youth Development</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R5M–R30M nationally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City of Johannesburg</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Joburg Economic Development — informal economy transition</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Economic Development MMC</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R2M–R15M pilot</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City of Cape Town</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Social Development — homelessness and reintegration</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Social Development Director</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R2M–R10M pilot</w:t>
            </w:r>
          </w:p>
        </w:tc>
      </w:tr>
    </w:tbl>
    <w:p>
      <w:pPr>
        <w:spacing w:before="80" w:after="80"/>
      </w:pPr>
      <w:r>
        <w:t xml:space="preserve"/>
      </w:r>
    </w:p>
    <w:p>
      <w:pPr>
        <w:spacing w:before="400" w:after="160"/>
      </w:pPr>
      <w:r>
        <w:rPr>
          <w:rFonts w:ascii="Arial" w:cs="Arial" w:eastAsia="Arial" w:hAnsi="Arial"/>
          <w:b/>
          <w:bCs/>
          <w:color w:val="0A0A0A"/>
          <w:sz w:val="36"/>
          <w:szCs w:val="36"/>
        </w:rPr>
        <w:t xml:space="preserve">PART THREE — THE NATIONAL INFRASTRUCTURE SPV MODEL</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For large T.S infrastructure projects — renewable energy installations, social housing developments, water infrastructure — the preferred partnership structure is the Project SPV. This is the standard model used in South Africa's REIPP (Renewable Energy Independent Power Producer) programme and in PPP infrastructure projects.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SPV Model — Standard Architecture</w:t>
            </w:r>
          </w:p>
          <w:p>
            <w:pPr>
              <w:spacing w:before="80" w:after="80"/>
            </w:pPr>
            <w:r>
              <w:t xml:space="preserve"/>
            </w:r>
          </w:p>
          <w:p>
            <w:pPr>
              <w:spacing w:before="80" w:after="80"/>
              <w:jc w:val="center"/>
            </w:pPr>
            <w:r>
              <w:rPr>
                <w:rFonts w:ascii="Arial" w:cs="Arial" w:eastAsia="Arial" w:hAnsi="Arial"/>
                <w:b/>
                <w:bCs/>
                <w:color w:val="C9A84C"/>
                <w:sz w:val="26"/>
                <w:szCs w:val="26"/>
              </w:rPr>
              <w:t xml:space="preserve">PROJECT SPV (Pty) Ltd</w:t>
            </w:r>
          </w:p>
          <w:p>
            <w:pPr>
              <w:spacing w:before="80" w:after="80"/>
              <w:jc w:val="center"/>
            </w:pPr>
            <w:r>
              <w:rPr>
                <w:rFonts w:ascii="Arial" w:cs="Arial" w:eastAsia="Arial" w:hAnsi="Arial"/>
                <w:b w:val="false"/>
                <w:bCs w:val="false"/>
                <w:color w:val="333333"/>
                <w:sz w:val="20"/>
                <w:szCs w:val="20"/>
              </w:rPr>
              <w:t xml:space="preserve">Co-owned by Government Entity + T.S Industries + M.A.D.I.B.A Infrastructure Fund + (Optional) Private Co-investor</w:t>
            </w:r>
          </w:p>
          <w:p>
            <w:pPr>
              <w:spacing w:before="80" w:after="8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200"/>
                  </w:tcMar>
                </w:tcPr>
                <w:p>
                  <w:pPr>
                    <w:spacing w:before="200" w:after="80"/>
                  </w:pPr>
                  <w:r>
                    <w:rPr>
                      <w:rFonts w:ascii="Arial" w:cs="Arial" w:eastAsia="Arial" w:hAnsi="Arial"/>
                      <w:b/>
                      <w:bCs/>
                      <w:color w:val="C9A84C"/>
                      <w:sz w:val="24"/>
                      <w:szCs w:val="24"/>
                    </w:rPr>
                    <w:t xml:space="preserve">Government SPV Rights</w:t>
                  </w:r>
                </w:p>
                <w:p>
                  <w:pPr>
                    <w:pStyle w:val="ListParagraph"/>
                    <w:numPr>
                      <w:ilvl w:val="0"/>
                      <w:numId w:val="2"/>
                    </w:numPr>
                    <w:spacing w:before="60" w:after="60"/>
                  </w:pPr>
                  <w:r>
                    <w:rPr>
                      <w:rFonts w:ascii="Arial" w:cs="Arial" w:eastAsia="Arial" w:hAnsi="Arial"/>
                      <w:sz w:val="22"/>
                      <w:szCs w:val="22"/>
                    </w:rPr>
                    <w:t xml:space="preserve">Equity co-ownership (typically 20–40%)</w:t>
                  </w:r>
                </w:p>
                <w:p>
                  <w:pPr>
                    <w:pStyle w:val="ListParagraph"/>
                    <w:numPr>
                      <w:ilvl w:val="0"/>
                      <w:numId w:val="2"/>
                    </w:numPr>
                    <w:spacing w:before="60" w:after="60"/>
                  </w:pPr>
                  <w:r>
                    <w:rPr>
                      <w:rFonts w:ascii="Arial" w:cs="Arial" w:eastAsia="Arial" w:hAnsi="Arial"/>
                      <w:sz w:val="22"/>
                      <w:szCs w:val="22"/>
                    </w:rPr>
                    <w:t xml:space="preserve">Board seat proportional to equity</w:t>
                  </w:r>
                </w:p>
                <w:p>
                  <w:pPr>
                    <w:pStyle w:val="ListParagraph"/>
                    <w:numPr>
                      <w:ilvl w:val="0"/>
                      <w:numId w:val="2"/>
                    </w:numPr>
                    <w:spacing w:before="60" w:after="60"/>
                  </w:pPr>
                  <w:r>
                    <w:rPr>
                      <w:rFonts w:ascii="Arial" w:cs="Arial" w:eastAsia="Arial" w:hAnsi="Arial"/>
                      <w:sz w:val="22"/>
                      <w:szCs w:val="22"/>
                    </w:rPr>
                    <w:t xml:space="preserve">Dividend rights from project revenue</w:t>
                  </w:r>
                </w:p>
                <w:p>
                  <w:pPr>
                    <w:pStyle w:val="ListParagraph"/>
                    <w:numPr>
                      <w:ilvl w:val="0"/>
                      <w:numId w:val="2"/>
                    </w:numPr>
                    <w:spacing w:before="60" w:after="60"/>
                  </w:pPr>
                  <w:r>
                    <w:rPr>
                      <w:rFonts w:ascii="Arial" w:cs="Arial" w:eastAsia="Arial" w:hAnsi="Arial"/>
                      <w:sz w:val="22"/>
                      <w:szCs w:val="22"/>
                    </w:rPr>
                    <w:t xml:space="preserve">Audit rights via UDOC dashboard</w:t>
                  </w:r>
                </w:p>
                <w:p>
                  <w:pPr>
                    <w:pStyle w:val="ListParagraph"/>
                    <w:numPr>
                      <w:ilvl w:val="0"/>
                      <w:numId w:val="2"/>
                    </w:numPr>
                    <w:spacing w:before="60" w:after="60"/>
                  </w:pPr>
                  <w:r>
                    <w:rPr>
                      <w:rFonts w:ascii="Arial" w:cs="Arial" w:eastAsia="Arial" w:hAnsi="Arial"/>
                      <w:sz w:val="22"/>
                      <w:szCs w:val="22"/>
                    </w:rPr>
                    <w:t xml:space="preserve">Right of first refusal on secondary sale of equity</w:t>
                  </w:r>
                </w:p>
                <w:p>
                  <w:pPr>
                    <w:pStyle w:val="ListParagraph"/>
                    <w:numPr>
                      <w:ilvl w:val="0"/>
                      <w:numId w:val="2"/>
                    </w:numPr>
                    <w:spacing w:before="60" w:after="60"/>
                  </w:pPr>
                  <w:r>
                    <w:rPr>
                      <w:rFonts w:ascii="Arial" w:cs="Arial" w:eastAsia="Arial" w:hAnsi="Arial"/>
                      <w:sz w:val="22"/>
                      <w:szCs w:val="22"/>
                    </w:rPr>
                    <w:t xml:space="preserve">Land contribution in lieu of cash equity (where applicable)</w:t>
                  </w:r>
                </w:p>
                <w:p>
                  <w:pPr>
                    <w:pStyle w:val="ListParagraph"/>
                    <w:numPr>
                      <w:ilvl w:val="0"/>
                      <w:numId w:val="2"/>
                    </w:numPr>
                    <w:spacing w:before="60" w:after="60"/>
                  </w:pPr>
                  <w:r>
                    <w:rPr>
                      <w:rFonts w:ascii="Arial" w:cs="Arial" w:eastAsia="Arial" w:hAnsi="Arial"/>
                      <w:sz w:val="22"/>
                      <w:szCs w:val="22"/>
                    </w:rPr>
                    <w:t xml:space="preserve">Procurement preference: local employment required by contract</w:t>
                  </w:r>
                </w:p>
              </w:tc>
              <w:tc>
                <w:tcPr>
                  <w:tcW w:type="dxa" w:w="4680"/>
                  <w:tcBorders>
                    <w:top w:val="none" w:color="FFFFFF" w:sz="0"/>
                    <w:left w:val="none" w:color="FFFFFF" w:sz="0"/>
                    <w:bottom w:val="none" w:color="FFFFFF" w:sz="0"/>
                    <w:right w:val="none" w:color="FFFFFF" w:sz="0"/>
                  </w:tcBorders>
                  <w:tcMar>
                    <w:top w:type="dxa" w:w="80"/>
                    <w:left w:type="dxa" w:w="200"/>
                    <w:bottom w:type="dxa" w:w="80"/>
                    <w:right w:type="dxa" w:w="0"/>
                  </w:tcMar>
                </w:tcPr>
                <w:p>
                  <w:pPr>
                    <w:spacing w:before="200" w:after="80"/>
                  </w:pPr>
                  <w:r>
                    <w:rPr>
                      <w:rFonts w:ascii="Arial" w:cs="Arial" w:eastAsia="Arial" w:hAnsi="Arial"/>
                      <w:b/>
                      <w:bCs/>
                      <w:color w:val="C9A84C"/>
                      <w:sz w:val="24"/>
                      <w:szCs w:val="24"/>
                    </w:rPr>
                    <w:t xml:space="preserve">Government SPV Protections</w:t>
                  </w:r>
                </w:p>
                <w:p>
                  <w:pPr>
                    <w:pStyle w:val="ListParagraph"/>
                    <w:numPr>
                      <w:ilvl w:val="0"/>
                      <w:numId w:val="2"/>
                    </w:numPr>
                    <w:spacing w:before="60" w:after="60"/>
                  </w:pPr>
                  <w:r>
                    <w:rPr>
                      <w:rFonts w:ascii="Arial" w:cs="Arial" w:eastAsia="Arial" w:hAnsi="Arial"/>
                      <w:sz w:val="22"/>
                      <w:szCs w:val="22"/>
                    </w:rPr>
                    <w:t xml:space="preserve">G.O.D.S cannot sell its equity stake without government consent</w:t>
                  </w:r>
                </w:p>
                <w:p>
                  <w:pPr>
                    <w:pStyle w:val="ListParagraph"/>
                    <w:numPr>
                      <w:ilvl w:val="0"/>
                      <w:numId w:val="2"/>
                    </w:numPr>
                    <w:spacing w:before="60" w:after="60"/>
                  </w:pPr>
                  <w:r>
                    <w:rPr>
                      <w:rFonts w:ascii="Arial" w:cs="Arial" w:eastAsia="Arial" w:hAnsi="Arial"/>
                      <w:sz w:val="22"/>
                      <w:szCs w:val="22"/>
                    </w:rPr>
                    <w:t xml:space="preserve">Project must employ minimum 60% local labour from S.E.T.H.S pipeline</w:t>
                  </w:r>
                </w:p>
                <w:p>
                  <w:pPr>
                    <w:pStyle w:val="ListParagraph"/>
                    <w:numPr>
                      <w:ilvl w:val="0"/>
                      <w:numId w:val="2"/>
                    </w:numPr>
                    <w:spacing w:before="60" w:after="60"/>
                  </w:pPr>
                  <w:r>
                    <w:rPr>
                      <w:rFonts w:ascii="Arial" w:cs="Arial" w:eastAsia="Arial" w:hAnsi="Arial"/>
                      <w:sz w:val="22"/>
                      <w:szCs w:val="22"/>
                    </w:rPr>
                    <w:t xml:space="preserve">All project data hosted on UDOC sovereign infrastructure</w:t>
                  </w:r>
                </w:p>
                <w:p>
                  <w:pPr>
                    <w:pStyle w:val="ListParagraph"/>
                    <w:numPr>
                      <w:ilvl w:val="0"/>
                      <w:numId w:val="2"/>
                    </w:numPr>
                    <w:spacing w:before="60" w:after="60"/>
                  </w:pPr>
                  <w:r>
                    <w:rPr>
                      <w:rFonts w:ascii="Arial" w:cs="Arial" w:eastAsia="Arial" w:hAnsi="Arial"/>
                      <w:sz w:val="22"/>
                      <w:szCs w:val="22"/>
                    </w:rPr>
                    <w:t xml:space="preserve">Constitutional Pillars apply to SPV operations</w:t>
                  </w:r>
                </w:p>
                <w:p>
                  <w:pPr>
                    <w:pStyle w:val="ListParagraph"/>
                    <w:numPr>
                      <w:ilvl w:val="0"/>
                      <w:numId w:val="2"/>
                    </w:numPr>
                    <w:spacing w:before="60" w:after="60"/>
                  </w:pPr>
                  <w:r>
                    <w:rPr>
                      <w:rFonts w:ascii="Arial" w:cs="Arial" w:eastAsia="Arial" w:hAnsi="Arial"/>
                      <w:sz w:val="22"/>
                      <w:szCs w:val="22"/>
                    </w:rPr>
                    <w:t xml:space="preserve">Independent audit required annually</w:t>
                  </w:r>
                </w:p>
                <w:p>
                  <w:pPr>
                    <w:pStyle w:val="ListParagraph"/>
                    <w:numPr>
                      <w:ilvl w:val="0"/>
                      <w:numId w:val="2"/>
                    </w:numPr>
                    <w:spacing w:before="60" w:after="60"/>
                  </w:pPr>
                  <w:r>
                    <w:rPr>
                      <w:rFonts w:ascii="Arial" w:cs="Arial" w:eastAsia="Arial" w:hAnsi="Arial"/>
                      <w:sz w:val="22"/>
                      <w:szCs w:val="22"/>
                    </w:rPr>
                    <w:t xml:space="preserve">Government buyout right after year 10 at pre-agreed valuation formula</w:t>
                  </w:r>
                </w:p>
                <w:p>
                  <w:pPr>
                    <w:pStyle w:val="ListParagraph"/>
                    <w:numPr>
                      <w:ilvl w:val="0"/>
                      <w:numId w:val="2"/>
                    </w:numPr>
                    <w:spacing w:before="60" w:after="60"/>
                  </w:pPr>
                  <w:r>
                    <w:rPr>
                      <w:rFonts w:ascii="Arial" w:cs="Arial" w:eastAsia="Arial" w:hAnsi="Arial"/>
                      <w:sz w:val="22"/>
                      <w:szCs w:val="22"/>
                    </w:rPr>
                    <w:t xml:space="preserve">No foreign-domiciled entity may acquire government's SPV stake</w:t>
                  </w:r>
                </w:p>
              </w:tc>
            </w:tr>
          </w:tbl>
          <w:p/>
        </w:tc>
      </w:tr>
    </w:tbl>
    <w:p>
      <w:pPr>
        <w:spacing w:before="80" w:after="80"/>
      </w:pPr>
      <w:r>
        <w:t xml:space="preserve"/>
      </w:r>
    </w:p>
    <w:p>
      <w:pPr>
        <w:spacing w:before="400" w:after="160"/>
      </w:pPr>
      <w:r>
        <w:rPr>
          <w:rFonts w:ascii="Arial" w:cs="Arial" w:eastAsia="Arial" w:hAnsi="Arial"/>
          <w:b/>
          <w:bCs/>
          <w:color w:val="0A0A0A"/>
          <w:sz w:val="36"/>
          <w:szCs w:val="36"/>
        </w:rPr>
        <w:t xml:space="preserve">PART FOUR — THE UDOC GOVERNMENT DEPLOYMENT FRAMEWORK</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When UDOC deploys as national AI governance infrastructure, the partnership model is distinct from the SPV model. UDOC is a technology platform — government does not co-own it in the conventional equity sense. Instead, government retains data sovereignty through contractual and architectural guarantees.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UDOC Government Deployment — Sovereignty Guarantees</w:t>
            </w:r>
          </w:p>
          <w:p>
            <w:pPr>
              <w:pStyle w:val="ListParagraph"/>
              <w:numPr>
                <w:ilvl w:val="0"/>
                <w:numId w:val="2"/>
              </w:numPr>
              <w:spacing w:before="60" w:after="60"/>
            </w:pPr>
            <w:r>
              <w:rPr>
                <w:rFonts w:ascii="Arial" w:cs="Arial" w:eastAsia="Arial" w:hAnsi="Arial"/>
                <w:sz w:val="22"/>
                <w:szCs w:val="22"/>
              </w:rPr>
              <w:t xml:space="preserve">Data Residency: All government data processed and stored exclusively on South Africa-domiciled infrastructure (UDOC sovereign cloud). No government data crosses South African borders.</w:t>
            </w:r>
          </w:p>
          <w:p>
            <w:pPr>
              <w:pStyle w:val="ListParagraph"/>
              <w:numPr>
                <w:ilvl w:val="0"/>
                <w:numId w:val="2"/>
              </w:numPr>
              <w:spacing w:before="60" w:after="60"/>
            </w:pPr>
            <w:r>
              <w:rPr>
                <w:rFonts w:ascii="Arial" w:cs="Arial" w:eastAsia="Arial" w:hAnsi="Arial"/>
                <w:sz w:val="22"/>
                <w:szCs w:val="22"/>
              </w:rPr>
              <w:t xml:space="preserve">Data Ownership: Government retains 100% legal ownership of all data generated through UDOC government deployments. UDOC holds a limited processing license only.</w:t>
            </w:r>
          </w:p>
          <w:p>
            <w:pPr>
              <w:pStyle w:val="ListParagraph"/>
              <w:numPr>
                <w:ilvl w:val="0"/>
                <w:numId w:val="2"/>
              </w:numPr>
              <w:spacing w:before="60" w:after="60"/>
            </w:pPr>
            <w:r>
              <w:rPr>
                <w:rFonts w:ascii="Arial" w:cs="Arial" w:eastAsia="Arial" w:hAnsi="Arial"/>
                <w:sz w:val="22"/>
                <w:szCs w:val="22"/>
              </w:rPr>
              <w:t xml:space="preserve">Source Code Escrow: The UDOC source code used for government deployments is placed in source code escrow with a South African escrow agent. Government receives access to the escrow on defined trigger events.</w:t>
            </w:r>
          </w:p>
          <w:p>
            <w:pPr>
              <w:pStyle w:val="ListParagraph"/>
              <w:numPr>
                <w:ilvl w:val="0"/>
                <w:numId w:val="2"/>
              </w:numPr>
              <w:spacing w:before="60" w:after="60"/>
            </w:pPr>
            <w:r>
              <w:rPr>
                <w:rFonts w:ascii="Arial" w:cs="Arial" w:eastAsia="Arial" w:hAnsi="Arial"/>
                <w:sz w:val="22"/>
                <w:szCs w:val="22"/>
              </w:rPr>
              <w:t xml:space="preserve">Exit Rights: Government may terminate the UDOC deployment contract and receive a full data export within 30 days. The exit process is documented and tested annually.</w:t>
            </w:r>
          </w:p>
          <w:p>
            <w:pPr>
              <w:pStyle w:val="ListParagraph"/>
              <w:numPr>
                <w:ilvl w:val="0"/>
                <w:numId w:val="2"/>
              </w:numPr>
              <w:spacing w:before="60" w:after="60"/>
            </w:pPr>
            <w:r>
              <w:rPr>
                <w:rFonts w:ascii="Arial" w:cs="Arial" w:eastAsia="Arial" w:hAnsi="Arial"/>
                <w:sz w:val="22"/>
                <w:szCs w:val="22"/>
              </w:rPr>
              <w:t xml:space="preserve">No Foreign Jurisdiction Exposure: UDOC Technologies (Pty) Ltd is a South Africa-domiciled company. No foreign government, court, or authority has jurisdiction over government data processed through UDOC.</w:t>
            </w:r>
          </w:p>
          <w:p>
            <w:pPr>
              <w:pStyle w:val="ListParagraph"/>
              <w:numPr>
                <w:ilvl w:val="0"/>
                <w:numId w:val="2"/>
              </w:numPr>
              <w:spacing w:before="60" w:after="60"/>
            </w:pPr>
            <w:r>
              <w:rPr>
                <w:rFonts w:ascii="Arial" w:cs="Arial" w:eastAsia="Arial" w:hAnsi="Arial"/>
                <w:sz w:val="22"/>
                <w:szCs w:val="22"/>
              </w:rPr>
              <w:t xml:space="preserve">Constitutional Alignment: UDOC operates under the G.O.D.S Constitutional Pillar VIII (Human Primacy in AI) and Pillar VI (Transparency). Government has standing to invoke COB review of any UDOC decision.</w:t>
            </w:r>
          </w:p>
          <w:p>
            <w:pPr>
              <w:pStyle w:val="ListParagraph"/>
              <w:numPr>
                <w:ilvl w:val="0"/>
                <w:numId w:val="2"/>
              </w:numPr>
              <w:spacing w:before="60" w:after="60"/>
            </w:pPr>
            <w:r>
              <w:rPr>
                <w:rFonts w:ascii="Arial" w:cs="Arial" w:eastAsia="Arial" w:hAnsi="Arial"/>
                <w:sz w:val="22"/>
                <w:szCs w:val="22"/>
              </w:rPr>
              <w:t xml:space="preserve">Audit Independence: Government-designated auditors have independent read access to all government-relevant UDOC audit logs at any time, without UDOC management approval.</w:t>
            </w:r>
          </w:p>
        </w:tc>
      </w:tr>
    </w:tbl>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Sovereign Partnership Framework &amp; National SPV Model — G.O.D.S Holdings</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2026-03-12T08:05:32.573Z</dcterms:created>
  <dcterms:modified xsi:type="dcterms:W3CDTF">2026-03-12T08:05:32.574Z</dcterms:modified>
</cp:coreProperties>
</file>

<file path=docProps/custom.xml><?xml version="1.0" encoding="utf-8"?>
<Properties xmlns="http://schemas.openxmlformats.org/officeDocument/2006/custom-properties" xmlns:vt="http://schemas.openxmlformats.org/officeDocument/2006/docPropsVTypes"/>
</file>