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40"/>
      </w:pPr>
    </w:p>
    <w:p>
      <w:pPr>
        <w:spacing w:before="40"/>
      </w:pPr>
    </w:p>
    <w:p>
      <w:pPr>
        <w:spacing w:before="40"/>
      </w:pPr>
    </w:p>
    <w:p>
      <w:pPr>
        <w:spacing w:before="200" w:after="80"/>
        <w:jc w:val="center"/>
      </w:pPr>
      <w:r>
        <w:rPr>
          <w:b/>
          <w:bCs/>
          <w:color w:val="C9A84C"/>
          <w:sz w:val="56"/>
          <w:szCs w:val="56"/>
          <w:rFonts w:ascii="Georgia" w:cs="Georgia" w:eastAsia="Georgia" w:hAnsi="Georgia"/>
        </w:rPr>
        <w:t xml:space="preserve">G.O.D.S</w:t>
      </w:r>
    </w:p>
    <w:p>
      <w:pPr>
        <w:spacing w:before="60" w:after="60"/>
        <w:jc w:val="center"/>
      </w:pPr>
      <w:r>
        <w:rPr>
          <w:color w:val="F5F0E8"/>
          <w:sz w:val="22"/>
          <w:szCs w:val="22"/>
          <w:rFonts w:ascii="Arial" w:cs="Arial" w:eastAsia="Arial" w:hAnsi="Arial"/>
        </w:rPr>
        <w:t xml:space="preserve">Good Orderly Directional Systems</w:t>
      </w:r>
    </w:p>
    <w:p>
      <w:pPr>
        <w:pBdr>
          <w:bottom w:val="single" w:color="C9A84C" w:sz="6"/>
        </w:pBdr>
        <w:spacing w:before="160" w:after="160"/>
      </w:pPr>
    </w:p>
    <w:p>
      <w:pPr>
        <w:spacing w:before="60" w:after="60"/>
        <w:jc w:val="center"/>
      </w:pPr>
      <w:r>
        <w:rPr>
          <w:color w:val="F5F0E8"/>
          <w:sz w:val="22"/>
          <w:szCs w:val="22"/>
          <w:rFonts w:ascii="Arial" w:cs="Arial" w:eastAsia="Arial" w:hAnsi="Arial"/>
        </w:rPr>
        <w:t xml:space="preserve">5-YEAR FINANCIAL MODEL</w:t>
      </w:r>
    </w:p>
    <w:p>
      <w:pPr>
        <w:spacing w:before="60" w:after="60"/>
        <w:jc w:val="center"/>
      </w:pPr>
      <w:r>
        <w:rPr>
          <w:color w:val="F5F0E8"/>
          <w:sz w:val="22"/>
          <w:szCs w:val="22"/>
          <w:rFonts w:ascii="Arial" w:cs="Arial" w:eastAsia="Arial" w:hAnsi="Arial"/>
        </w:rPr>
        <w:t xml:space="preserve">P&amp;L · Cash Flow · Balance Sheet · Three Scenarios</w:t>
      </w:r>
    </w:p>
    <w:p>
      <w:pPr>
        <w:spacing w:before="40"/>
      </w:pPr>
    </w:p>
    <w:p>
      <w:pPr>
        <w:spacing w:before="40" w:after="40"/>
        <w:jc w:val="center"/>
      </w:pPr>
      <w:r>
        <w:rPr>
          <w:color w:val="8A8A9A"/>
          <w:sz w:val="18"/>
          <w:szCs w:val="18"/>
          <w:rFonts w:ascii="Arial" w:cs="Arial" w:eastAsia="Arial" w:hAnsi="Arial"/>
        </w:rPr>
        <w:t xml:space="preserve">G.O.D.S TS Holdings (Pty) Ltd | March 2026 | Access Level 3 — Investor NDA Required</w:t>
      </w:r>
    </w:p>
    <w:p>
      <w:pPr>
        <w:spacing w:before="40"/>
      </w:pPr>
    </w:p>
    <w:p>
      <w:pPr>
        <w:spacing w:before="40" w:after="40"/>
        <w:jc w:val="center"/>
      </w:pPr>
      <w:r>
        <w:rPr>
          <w:i/>
          <w:iCs/>
          <w:color w:val="8A8A9A"/>
          <w:sz w:val="14"/>
          <w:szCs w:val="14"/>
          <w:rFonts w:ascii="Arial" w:cs="Arial" w:eastAsia="Arial" w:hAnsi="Arial"/>
        </w:rPr>
        <w:t xml:space="preserve">CONFIDENTIAL — 5-YEAR FINANCIAL MODEL — G.O.D.S Holdings (Pty) Ltd — March 2026</w:t>
      </w:r>
    </w:p>
    <w:p>
      <w:pPr>
        <w:pBdr>
          <w:top w:val="single" w:color="E8E4DA" w:sz="4"/>
          <w:bottom w:val="single" w:color="E8E4DA" w:sz="4"/>
          <w:left w:val="single" w:color="C9A84C" w:sz="12"/>
          <w:right w:val="single" w:color="E8E4DA" w:sz="4"/>
        </w:pBdr>
        <w:spacing w:before="160" w:after="160"/>
      </w:pPr>
      <w:r>
        <w:rPr>
          <w:i/>
          <w:iCs/>
          <w:color w:val="060E1C"/>
          <w:sz w:val="22"/>
          <w:szCs w:val="22"/>
          <w:rFonts w:ascii="Georgia" w:cs="Georgia" w:eastAsia="Georgia" w:hAnsi="Georgia"/>
        </w:rPr>
        <w:t xml:space="preserve">All projections are internal planning estimates based on documented market size data and comparable institutional deployment trajectories. These are NOT audited forecasts. All figures ZAR — nominal values without inflation adjustment.</w:t>
      </w:r>
    </w:p>
    <w:p>
      <w:r>
        <w:br w:type="page"/>
      </w:r>
    </w:p>
    <w:p>
      <w:pPr>
        <w:pStyle w:val="Heading1"/>
        <w:pBdr>
          <w:bottom w:val="single" w:color="C9A84C" w:sz="6"/>
        </w:pBdr>
        <w:spacing w:before="320" w:after="120"/>
      </w:pPr>
      <w:r>
        <w:rPr>
          <w:b/>
          <w:bCs/>
          <w:color w:val="C9A84C"/>
          <w:sz w:val="34"/>
          <w:szCs w:val="34"/>
          <w:rFonts w:ascii="Georgia" w:cs="Georgia" w:eastAsia="Georgia" w:hAnsi="Georgia"/>
        </w:rPr>
        <w:t xml:space="preserve">1. KEY ASSUMPTIONS &amp; DRIVERS</w:t>
      </w:r>
    </w:p>
    <w:p>
      <w:pPr>
        <w:pStyle w:val="Heading2"/>
        <w:spacing w:before="240" w:after="100"/>
      </w:pPr>
      <w:r>
        <w:rPr>
          <w:b/>
          <w:bCs/>
          <w:color w:val="060E1C"/>
          <w:sz w:val="28"/>
          <w:szCs w:val="28"/>
          <w:rFonts w:ascii="Georgia" w:cs="Georgia" w:eastAsia="Georgia" w:hAnsi="Georgia"/>
        </w:rPr>
        <w:t xml:space="preserve">1.1 Revenue Assumptions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1312"/>
        <w:gridCol w:w="1312"/>
        <w:gridCol w:w="1312"/>
        <w:gridCol w:w="1312"/>
        <w:gridCol w:w="1312"/>
      </w:tblGrid>
      <w:tr>
        <w:tc>
          <w:tcPr>
            <w:tcW w:type="dxa" w:w="28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Driver</w:t>
            </w:r>
          </w:p>
        </w:tc>
        <w:tc>
          <w:tcPr>
            <w:tcW w:type="dxa" w:w="1312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 1</w:t>
            </w:r>
          </w:p>
        </w:tc>
        <w:tc>
          <w:tcPr>
            <w:tcW w:type="dxa" w:w="1312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 2</w:t>
            </w:r>
          </w:p>
        </w:tc>
        <w:tc>
          <w:tcPr>
            <w:tcW w:type="dxa" w:w="1312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 3</w:t>
            </w:r>
          </w:p>
        </w:tc>
        <w:tc>
          <w:tcPr>
            <w:tcW w:type="dxa" w:w="1312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 4</w:t>
            </w:r>
          </w:p>
        </w:tc>
        <w:tc>
          <w:tcPr>
            <w:tcW w:type="dxa" w:w="1312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 5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S.E.T.H.S Participants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50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200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500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1,500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5,000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S.E.T.H.S Placement Rate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70%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75%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80%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83%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85%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S.E.T.H.S Govt Rev/Participant (ZAR)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R79,000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R75,000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R70,000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R58,000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R42,000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UDOC Enterprise Clients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3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10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25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55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100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UDOC ACV per Enterprise (ZAR)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R2.5M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R4M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R6M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UDOC Govt Sovereign Deployments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 pilot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2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5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10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15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UDOC Govt Contract Value (ZAR avg)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R2M pilot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R8M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R12M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R18M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T.S Active Projects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0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2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5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12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25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T.S Avg Project Value (ZAR)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R30M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R45M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R65M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M.A.D.I.B.A AUM (ZAR)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R0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R200M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R1B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R3B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R8B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M.A.D.I.B.A Mgmt Fee Rate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1.5%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1.5%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1.5%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1.5%</w:t>
            </w:r>
          </w:p>
        </w:tc>
      </w:tr>
    </w:tbl>
    <w:p>
      <w:pPr>
        <w:pStyle w:val="Heading2"/>
        <w:spacing w:before="240" w:after="100"/>
      </w:pPr>
      <w:r>
        <w:rPr>
          <w:b/>
          <w:bCs/>
          <w:color w:val="060E1C"/>
          <w:sz w:val="28"/>
          <w:szCs w:val="28"/>
          <w:rFonts w:ascii="Georgia" w:cs="Georgia" w:eastAsia="Georgia" w:hAnsi="Georgia"/>
        </w:rPr>
        <w:t xml:space="preserve">1.2 Cost Assumptions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1312"/>
        <w:gridCol w:w="1312"/>
        <w:gridCol w:w="1312"/>
        <w:gridCol w:w="1312"/>
        <w:gridCol w:w="1312"/>
      </w:tblGrid>
      <w:tr>
        <w:tc>
          <w:tcPr>
            <w:tcW w:type="dxa" w:w="28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Cost Driver</w:t>
            </w:r>
          </w:p>
        </w:tc>
        <w:tc>
          <w:tcPr>
            <w:tcW w:type="dxa" w:w="1312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 1</w:t>
            </w:r>
          </w:p>
        </w:tc>
        <w:tc>
          <w:tcPr>
            <w:tcW w:type="dxa" w:w="1312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 2</w:t>
            </w:r>
          </w:p>
        </w:tc>
        <w:tc>
          <w:tcPr>
            <w:tcW w:type="dxa" w:w="1312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 3</w:t>
            </w:r>
          </w:p>
        </w:tc>
        <w:tc>
          <w:tcPr>
            <w:tcW w:type="dxa" w:w="1312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 4</w:t>
            </w:r>
          </w:p>
        </w:tc>
        <w:tc>
          <w:tcPr>
            <w:tcW w:type="dxa" w:w="1312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 5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Headcount (FTEs)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18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45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95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180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380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Avg Fully-Loaded CTC per FTE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R28K/mo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R30K/mo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R32K/mo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R35K/mo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R38K/mo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Gross Staff Cost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R6.05M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R16.2M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R36.5M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R75.6M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R173.3M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UDOC Cloud &amp; Infra Opex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R600K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R12M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R25M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S.E.T.H.S Programme Direct Costs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R3.5M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R8M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R80M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T.S Direct Project Costs (COGS)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R0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R18M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R145M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R285M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Sales &amp; Marketing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R400K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R1.5M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R4M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R10M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R22M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Legal, Compliance &amp; Governance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R800K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R1.5M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R8M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Facilities &amp; Admin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R800K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R4M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R8M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R15M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Contingency (12%)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R1.4M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R5.9M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R14.7M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R35.4M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R73.6M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C9A84C" w:sz="6"/>
        </w:pBdr>
        <w:spacing w:before="320" w:after="120"/>
      </w:pPr>
      <w:r>
        <w:rPr>
          <w:b/>
          <w:bCs/>
          <w:color w:val="C9A84C"/>
          <w:sz w:val="34"/>
          <w:szCs w:val="34"/>
          <w:rFonts w:ascii="Georgia" w:cs="Georgia" w:eastAsia="Georgia" w:hAnsi="Georgia"/>
        </w:rPr>
        <w:t xml:space="preserve">2. PROFIT &amp; LOSS — BASE CASE</w:t>
      </w:r>
    </w:p>
    <w:p>
      <w:pPr>
        <w:pStyle w:val="Heading2"/>
        <w:spacing w:before="240" w:after="100"/>
      </w:pPr>
      <w:r>
        <w:rPr>
          <w:b/>
          <w:bCs/>
          <w:color w:val="060E1C"/>
          <w:sz w:val="28"/>
          <w:szCs w:val="28"/>
          <w:rFonts w:ascii="Georgia" w:cs="Georgia" w:eastAsia="Georgia" w:hAnsi="Georgia"/>
        </w:rPr>
        <w:t xml:space="preserve">2.1 Revenue Build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1312"/>
        <w:gridCol w:w="1312"/>
        <w:gridCol w:w="1312"/>
        <w:gridCol w:w="1312"/>
        <w:gridCol w:w="1312"/>
      </w:tblGrid>
      <w:tr>
        <w:tc>
          <w:tcPr>
            <w:tcW w:type="dxa" w:w="28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Revenue Line</w:t>
            </w:r>
          </w:p>
        </w:tc>
        <w:tc>
          <w:tcPr>
            <w:tcW w:type="dxa" w:w="1312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 1</w:t>
            </w:r>
          </w:p>
        </w:tc>
        <w:tc>
          <w:tcPr>
            <w:tcW w:type="dxa" w:w="1312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 2</w:t>
            </w:r>
          </w:p>
        </w:tc>
        <w:tc>
          <w:tcPr>
            <w:tcW w:type="dxa" w:w="1312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 3</w:t>
            </w:r>
          </w:p>
        </w:tc>
        <w:tc>
          <w:tcPr>
            <w:tcW w:type="dxa" w:w="1312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 4</w:t>
            </w:r>
          </w:p>
        </w:tc>
        <w:tc>
          <w:tcPr>
            <w:tcW w:type="dxa" w:w="1312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 5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S.E.T.H.S Govt Contracts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R2.77M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R11.25M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R28M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R72.3M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R179M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S.E.T.H.S Employer SaaS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R450K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R1.5M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R3.5M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R9M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R24M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S.E.T.H.S Certification &amp; Data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R100K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R400K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R1.2M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R4M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R12M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S.E.T.H.S TOTAL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R3.32M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R13.15M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R32.7M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R85.3M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R215M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UDOC Enterprise SaaS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R1.5M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R40M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R90M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UDOC Implementation Fees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R500K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R10M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R18M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UDOC Government Contracts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R200K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R12M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R90M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UDOC TOTAL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R2.2M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R10M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R32M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R85M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R198M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T.S EPC &amp; Project Revenue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R0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R8M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R22M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R65M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R175M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T.S O&amp;M &amp; Recurring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R0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R800K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R4M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R18M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R55M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T.S SPV Equity Income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R0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R0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R8M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R25M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T.S TOTAL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R0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R8.8M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R28M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R91M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R255M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M.A.D.I.B.A Advisory Fees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R500K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R1.5M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R4M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R12M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R35M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M.A.D.I.B.A Fund Mgmt Fees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R0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R600K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R45M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M.A.D.I.B.A Carried Interest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R0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R0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R0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R22M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M.A.D.I.B.A TOTAL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R500K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R2.1M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R7M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R32M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R102M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HQ-OS Quantum Premium (Phase 3+)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R0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R0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R0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R25M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TOTAL REVENUE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R6.02M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R34.05M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R99.7M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R298.3M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R795M</w:t>
            </w:r>
          </w:p>
        </w:tc>
      </w:tr>
    </w:tbl>
    <w:p>
      <w:r>
        <w:br w:type="page"/>
      </w:r>
    </w:p>
    <w:p>
      <w:pPr>
        <w:pStyle w:val="Heading2"/>
        <w:spacing w:before="240" w:after="100"/>
      </w:pPr>
      <w:r>
        <w:rPr>
          <w:b/>
          <w:bCs/>
          <w:color w:val="060E1C"/>
          <w:sz w:val="28"/>
          <w:szCs w:val="28"/>
          <w:rFonts w:ascii="Georgia" w:cs="Georgia" w:eastAsia="Georgia" w:hAnsi="Georgia"/>
        </w:rPr>
        <w:t xml:space="preserve">2.2 Full P&amp;L Statement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1312"/>
        <w:gridCol w:w="1312"/>
        <w:gridCol w:w="1312"/>
        <w:gridCol w:w="1312"/>
        <w:gridCol w:w="1312"/>
      </w:tblGrid>
      <w:tr>
        <w:tc>
          <w:tcPr>
            <w:tcW w:type="dxa" w:w="28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P&amp;L Line</w:t>
            </w:r>
          </w:p>
        </w:tc>
        <w:tc>
          <w:tcPr>
            <w:tcW w:type="dxa" w:w="1312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 1</w:t>
            </w:r>
          </w:p>
        </w:tc>
        <w:tc>
          <w:tcPr>
            <w:tcW w:type="dxa" w:w="1312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 2</w:t>
            </w:r>
          </w:p>
        </w:tc>
        <w:tc>
          <w:tcPr>
            <w:tcW w:type="dxa" w:w="1312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 3</w:t>
            </w:r>
          </w:p>
        </w:tc>
        <w:tc>
          <w:tcPr>
            <w:tcW w:type="dxa" w:w="1312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 4</w:t>
            </w:r>
          </w:p>
        </w:tc>
        <w:tc>
          <w:tcPr>
            <w:tcW w:type="dxa" w:w="1312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 5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TOTAL REVENUE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R6.02M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R34.05M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R99.7M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R298.3M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R795M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Cost of Revenue (COGS)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R3.5M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R26.8M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R70.2M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R180M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R364.9M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GROSS PROFIT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R2.52M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R7.25M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R29.5M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R118.3M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R430.1M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Gross Margin %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42%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21%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30%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40%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54%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Staff Costs (Opex)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R6.05M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R16.2M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R36.5M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R75.6M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R173.3M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Technology &amp; Cloud Opex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R600K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R12M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R25M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Sales &amp; Marketing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R400K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R1.5M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R4M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R10M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R22M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Legal, Compliance &amp; Governance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R800K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R1.5M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R8M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Facilities &amp; Admin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R800K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R4M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R8M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R15M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TOTAL OPEX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R8.65M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R23.2M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R52.5M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R110.6M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R243.3M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EBITDA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-R6.13M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-R15.95M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-R23M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R7.7M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R186.8M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EBITDA Margin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-102%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-47%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-23%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3%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23%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Depreciation &amp; Amortisation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R200K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R800K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R6M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R15M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EBIT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-R6.33M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-R16.75M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-R25M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R1.7M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R171.8M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Interest &amp; Finance Costs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R100K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R300K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R600K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R1.5M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R4M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EBT (Earnings Before Tax)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-R6.43M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-R17.05M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-R25.6M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R200K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R167.8M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Tax (28% South Africa)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R0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R0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R0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R56K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R47M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NET PROFIT / (LOSS)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-R6.43M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-R17.05M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-R25.6M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R144K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R120.8M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Net Margin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-107%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-50%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-26%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0.05%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15%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C9A84C" w:sz="6"/>
        </w:pBdr>
        <w:spacing w:before="320" w:after="120"/>
      </w:pPr>
      <w:r>
        <w:rPr>
          <w:b/>
          <w:bCs/>
          <w:color w:val="C9A84C"/>
          <w:sz w:val="34"/>
          <w:szCs w:val="34"/>
          <w:rFonts w:ascii="Georgia" w:cs="Georgia" w:eastAsia="Georgia" w:hAnsi="Georgia"/>
        </w:rPr>
        <w:t xml:space="preserve">3. CASH FLOW STATEMENT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1312"/>
        <w:gridCol w:w="1312"/>
        <w:gridCol w:w="1312"/>
        <w:gridCol w:w="1312"/>
        <w:gridCol w:w="1312"/>
      </w:tblGrid>
      <w:tr>
        <w:tc>
          <w:tcPr>
            <w:tcW w:type="dxa" w:w="28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Cash Flow Line</w:t>
            </w:r>
          </w:p>
        </w:tc>
        <w:tc>
          <w:tcPr>
            <w:tcW w:type="dxa" w:w="1312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 1</w:t>
            </w:r>
          </w:p>
        </w:tc>
        <w:tc>
          <w:tcPr>
            <w:tcW w:type="dxa" w:w="1312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 2</w:t>
            </w:r>
          </w:p>
        </w:tc>
        <w:tc>
          <w:tcPr>
            <w:tcW w:type="dxa" w:w="1312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 3</w:t>
            </w:r>
          </w:p>
        </w:tc>
        <w:tc>
          <w:tcPr>
            <w:tcW w:type="dxa" w:w="1312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 4</w:t>
            </w:r>
          </w:p>
        </w:tc>
        <w:tc>
          <w:tcPr>
            <w:tcW w:type="dxa" w:w="1312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 5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Opening Cash Balance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R15M*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R6.37M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R19.32M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R43.72M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R93.87M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Operating Cash Flow: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EBITDA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-R6.13M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-R15.95M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-R23M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R7.7M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R186.8M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Working Capital Movement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-R500K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-R1.5M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-R3M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-R8M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-R20M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Tax Paid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R0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R0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R0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R0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-R25M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NET OPERATING CASH FLOW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-R6.63M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-R17.45M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-R26M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-R300K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R141.8M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Investing Activities: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Capex — Technology &amp; Platform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-R1.5M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-R5M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-R12M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-R25M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-R40M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Capex — T.S SPV Equity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R0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-R5M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-R15M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-R30M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-R60M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Capex — S.E.T.H.S Facilities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-R500K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-R1M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-R2M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-R4M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-R8M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NET INVESTING CASH FLOW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-R2M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-R11M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-R29M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-R59M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-R108M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Financing Activities: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Seed Capital Raised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R0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R0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R0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R0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Series A Capital Raised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R0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R42M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R0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R0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R0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DFI Grant / SEF Contract Advance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R0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R0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R0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M.A.D.I.B.A Fund Distributions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R0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R0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R0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R0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R30M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NET FINANCING CASH FLOW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R44M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R0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R30M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NET CASH MOVEMENT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+R6.37M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+R15.55M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-R50M (cumul adj)**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+R50.15M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+R63.8M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CLOSING CASH BALANCE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R21.37M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R36.92M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R69.72M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R119.87M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R183.67M</w:t>
            </w:r>
          </w:p>
        </w:tc>
      </w:tr>
    </w:tbl>
    <w:p>
      <w:pPr>
        <w:spacing w:before="80" w:after="80"/>
      </w:pPr>
      <w:r>
        <w:rPr>
          <w:color w:val="1A1A2E"/>
          <w:sz w:val="20"/>
          <w:szCs w:val="20"/>
          <w:rFonts w:ascii="Arial" w:cs="Arial" w:eastAsia="Arial" w:hAnsi="Arial"/>
        </w:rPr>
        <w:t xml:space="preserve">* Opening balance includes R15M seed capital raised at inception.</w:t>
      </w:r>
    </w:p>
    <w:p>
      <w:pPr>
        <w:spacing w:before="80" w:after="80"/>
      </w:pPr>
      <w:r>
        <w:rPr>
          <w:color w:val="1A1A2E"/>
          <w:sz w:val="20"/>
          <w:szCs w:val="20"/>
          <w:rFonts w:ascii="Arial" w:cs="Arial" w:eastAsia="Arial" w:hAnsi="Arial"/>
        </w:rPr>
        <w:t xml:space="preserve">** Figures are simplified for presentation. Working capital absorption increases significantly in Year 3 as T.S projects ramp and S.E.T.H.S scales to 500 participants.</w:t>
      </w:r>
    </w:p>
    <w:p>
      <w:r>
        <w:br w:type="page"/>
      </w:r>
    </w:p>
    <w:p>
      <w:pPr>
        <w:pStyle w:val="Heading1"/>
        <w:pBdr>
          <w:bottom w:val="single" w:color="C9A84C" w:sz="6"/>
        </w:pBdr>
        <w:spacing w:before="320" w:after="120"/>
      </w:pPr>
      <w:r>
        <w:rPr>
          <w:b/>
          <w:bCs/>
          <w:color w:val="C9A84C"/>
          <w:sz w:val="34"/>
          <w:szCs w:val="34"/>
          <w:rFonts w:ascii="Georgia" w:cs="Georgia" w:eastAsia="Georgia" w:hAnsi="Georgia"/>
        </w:rPr>
        <w:t xml:space="preserve">4. BALANCE SHEET — PROJECTED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1312"/>
        <w:gridCol w:w="1312"/>
        <w:gridCol w:w="1312"/>
        <w:gridCol w:w="1312"/>
        <w:gridCol w:w="1312"/>
      </w:tblGrid>
      <w:tr>
        <w:tc>
          <w:tcPr>
            <w:tcW w:type="dxa" w:w="28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Balance Sheet Line</w:t>
            </w:r>
          </w:p>
        </w:tc>
        <w:tc>
          <w:tcPr>
            <w:tcW w:type="dxa" w:w="1312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 1</w:t>
            </w:r>
          </w:p>
        </w:tc>
        <w:tc>
          <w:tcPr>
            <w:tcW w:type="dxa" w:w="1312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 2</w:t>
            </w:r>
          </w:p>
        </w:tc>
        <w:tc>
          <w:tcPr>
            <w:tcW w:type="dxa" w:w="1312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 3</w:t>
            </w:r>
          </w:p>
        </w:tc>
        <w:tc>
          <w:tcPr>
            <w:tcW w:type="dxa" w:w="1312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 4</w:t>
            </w:r>
          </w:p>
        </w:tc>
        <w:tc>
          <w:tcPr>
            <w:tcW w:type="dxa" w:w="1312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 5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ASSETS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Cash &amp; Cash Equivalents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R21.37M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R36.92M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R40M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R70M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R120M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Accounts Receivable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R600K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R3.4M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R10M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R30M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R80M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Prepaid &amp; Other Current Assets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R200K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R500K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R8M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TOTAL CURRENT ASSETS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R22.17M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R40.82M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R51M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R103M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R208M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Property, Plant &amp; Equipment (net)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R4.5M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R14M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R32M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R70M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UDOC Platform (Intangible, net)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R1.5M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R5.5M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R14M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R28M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R48M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T.S SPV Equity Investments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R0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R18M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R45M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R95M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S.E.T.H.S IP &amp; Methodology (net)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R500K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R1.5M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R4M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R8M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R15M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TOTAL NON-CURRENT ASSETS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R16.5M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R50M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R113M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R228M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TOTAL ASSETS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R25.17M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R57.32M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R101M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R216M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R436M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LIABILITIES &amp; EQUITY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Accounts Payable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R500K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R6M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R35M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Accrued Liabilities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R300K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R800K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R12M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Deferred Revenue (UDOC)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R200K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R8M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R18M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TOTAL CURRENT LIABILITIES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R3.8M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R11M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R28M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R65M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Long-term Debt / DFI Facilities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R0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R0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R20M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R50M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TOTAL LIABILITIES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R3.8M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R16M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R48M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R115M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Founders' Equity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R30M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R30M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R30M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R30M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R30M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Series A Preferred (Class B)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R0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R42M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R42M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R42M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R42M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Retained Earnings / (Deficit)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-R5.83M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-R18.48M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R13M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R96M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R249M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TOTAL EQUITY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R24.17M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R53.52M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R85M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R168M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R321M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TOTAL LIABILITIES + EQUITY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R25.17M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R57.32M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R101M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R216M</w:t>
            </w:r>
          </w:p>
        </w:tc>
        <w:tc>
          <w:tcPr>
            <w:tcW w:type="dxa" w:w="1312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R436M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C9A84C" w:sz="6"/>
        </w:pBdr>
        <w:spacing w:before="320" w:after="120"/>
      </w:pPr>
      <w:r>
        <w:rPr>
          <w:b/>
          <w:bCs/>
          <w:color w:val="C9A84C"/>
          <w:sz w:val="34"/>
          <w:szCs w:val="34"/>
          <w:rFonts w:ascii="Georgia" w:cs="Georgia" w:eastAsia="Georgia" w:hAnsi="Georgia"/>
        </w:rPr>
        <w:t xml:space="preserve">5. THREE-SCENARIO REVENUE COMPARISON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688"/>
        <w:gridCol w:w="1688"/>
        <w:gridCol w:w="1688"/>
        <w:gridCol w:w="3396"/>
      </w:tblGrid>
      <w:tr>
        <w:tc>
          <w:tcPr>
            <w:tcW w:type="dxa" w:w="9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</w:t>
            </w:r>
          </w:p>
        </w:tc>
        <w:tc>
          <w:tcPr>
            <w:tcW w:type="dxa" w:w="1688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Conservative Revenue</w:t>
            </w:r>
          </w:p>
        </w:tc>
        <w:tc>
          <w:tcPr>
            <w:tcW w:type="dxa" w:w="1688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Base Case Revenue</w:t>
            </w:r>
          </w:p>
        </w:tc>
        <w:tc>
          <w:tcPr>
            <w:tcW w:type="dxa" w:w="1688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Optimistic Revenue</w:t>
            </w:r>
          </w:p>
        </w:tc>
        <w:tc>
          <w:tcPr>
            <w:tcW w:type="dxa" w:w="3396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Key Differentiator</w:t>
            </w:r>
          </w:p>
        </w:tc>
      </w:tr>
      <w:tr>
        <w:tc>
          <w:tcPr>
            <w:tcW w:type="dxa" w:w="9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Year 1</w:t>
            </w:r>
          </w:p>
        </w:tc>
        <w:tc>
          <w:tcPr>
            <w:tcW w:type="dxa" w:w="1688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R3.5M</w:t>
            </w:r>
          </w:p>
        </w:tc>
        <w:tc>
          <w:tcPr>
            <w:tcW w:type="dxa" w:w="1688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R6.0M</w:t>
            </w:r>
          </w:p>
        </w:tc>
        <w:tc>
          <w:tcPr>
            <w:tcW w:type="dxa" w:w="1688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R9M</w:t>
            </w:r>
          </w:p>
        </w:tc>
        <w:tc>
          <w:tcPr>
            <w:tcW w:type="dxa" w:w="3396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S.E.T.H.S launch speed + UDOC client acquisition</w:t>
            </w:r>
          </w:p>
        </w:tc>
      </w:tr>
      <w:tr>
        <w:tc>
          <w:tcPr>
            <w:tcW w:type="dxa" w:w="9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Year 2</w:t>
            </w:r>
          </w:p>
        </w:tc>
        <w:tc>
          <w:tcPr>
            <w:tcW w:type="dxa" w:w="1688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R15M</w:t>
            </w:r>
          </w:p>
        </w:tc>
        <w:tc>
          <w:tcPr>
            <w:tcW w:type="dxa" w:w="1688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R34.05M</w:t>
            </w:r>
          </w:p>
        </w:tc>
        <w:tc>
          <w:tcPr>
            <w:tcW w:type="dxa" w:w="1688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R55M</w:t>
            </w:r>
          </w:p>
        </w:tc>
        <w:tc>
          <w:tcPr>
            <w:tcW w:type="dxa" w:w="3396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Series A deployment pace + govt contract awards</w:t>
            </w:r>
          </w:p>
        </w:tc>
      </w:tr>
      <w:tr>
        <w:tc>
          <w:tcPr>
            <w:tcW w:type="dxa" w:w="9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Year 3</w:t>
            </w:r>
          </w:p>
        </w:tc>
        <w:tc>
          <w:tcPr>
            <w:tcW w:type="dxa" w:w="1688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R55M</w:t>
            </w:r>
          </w:p>
        </w:tc>
        <w:tc>
          <w:tcPr>
            <w:tcW w:type="dxa" w:w="1688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R99.7M</w:t>
            </w:r>
          </w:p>
        </w:tc>
        <w:tc>
          <w:tcPr>
            <w:tcW w:type="dxa" w:w="1688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R155M</w:t>
            </w:r>
          </w:p>
        </w:tc>
        <w:tc>
          <w:tcPr>
            <w:tcW w:type="dxa" w:w="3396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T.S project ramp + UDOC sovereign deployments</w:t>
            </w:r>
          </w:p>
        </w:tc>
      </w:tr>
      <w:tr>
        <w:tc>
          <w:tcPr>
            <w:tcW w:type="dxa" w:w="9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Year 4</w:t>
            </w:r>
          </w:p>
        </w:tc>
        <w:tc>
          <w:tcPr>
            <w:tcW w:type="dxa" w:w="1688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R150M</w:t>
            </w:r>
          </w:p>
        </w:tc>
        <w:tc>
          <w:tcPr>
            <w:tcW w:type="dxa" w:w="1688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R298.3M</w:t>
            </w:r>
          </w:p>
        </w:tc>
        <w:tc>
          <w:tcPr>
            <w:tcW w:type="dxa" w:w="1688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R450M</w:t>
            </w:r>
          </w:p>
        </w:tc>
        <w:tc>
          <w:tcPr>
            <w:tcW w:type="dxa" w:w="3396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SADC entry + M.A.D.I.B.A fund activation</w:t>
            </w:r>
          </w:p>
        </w:tc>
      </w:tr>
      <w:tr>
        <w:tc>
          <w:tcPr>
            <w:tcW w:type="dxa" w:w="9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Year 5</w:t>
            </w:r>
          </w:p>
        </w:tc>
        <w:tc>
          <w:tcPr>
            <w:tcW w:type="dxa" w:w="1688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R280M</w:t>
            </w:r>
          </w:p>
        </w:tc>
        <w:tc>
          <w:tcPr>
            <w:tcW w:type="dxa" w:w="1688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R795M</w:t>
            </w:r>
          </w:p>
        </w:tc>
        <w:tc>
          <w:tcPr>
            <w:tcW w:type="dxa" w:w="1688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R1.15B</w:t>
            </w:r>
          </w:p>
        </w:tc>
        <w:tc>
          <w:tcPr>
            <w:tcW w:type="dxa" w:w="3396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Quantum premium tier + 3+ SADC markets live</w:t>
            </w:r>
          </w:p>
        </w:tc>
      </w:tr>
      <w:tr>
        <w:tc>
          <w:tcPr>
            <w:tcW w:type="dxa" w:w="9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Year 7</w:t>
            </w:r>
          </w:p>
        </w:tc>
        <w:tc>
          <w:tcPr>
            <w:tcW w:type="dxa" w:w="1688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R850M</w:t>
            </w:r>
          </w:p>
        </w:tc>
        <w:tc>
          <w:tcPr>
            <w:tcW w:type="dxa" w:w="1688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R1.5B</w:t>
            </w:r>
          </w:p>
        </w:tc>
        <w:tc>
          <w:tcPr>
            <w:tcW w:type="dxa" w:w="1688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R2.5B</w:t>
            </w:r>
          </w:p>
        </w:tc>
        <w:tc>
          <w:tcPr>
            <w:tcW w:type="dxa" w:w="3396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Continental rollout + on-prem QPU + AQGN live</w:t>
            </w:r>
          </w:p>
        </w:tc>
      </w:tr>
      <w:tr>
        <w:tc>
          <w:tcPr>
            <w:tcW w:type="dxa" w:w="9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Year 10</w:t>
            </w:r>
          </w:p>
        </w:tc>
        <w:tc>
          <w:tcPr>
            <w:tcW w:type="dxa" w:w="1688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R1.8B</w:t>
            </w:r>
          </w:p>
        </w:tc>
        <w:tc>
          <w:tcPr>
            <w:tcW w:type="dxa" w:w="1688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R3.5B</w:t>
            </w:r>
          </w:p>
        </w:tc>
        <w:tc>
          <w:tcPr>
            <w:tcW w:type="dxa" w:w="1688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R6.2B</w:t>
            </w:r>
          </w:p>
        </w:tc>
        <w:tc>
          <w:tcPr>
            <w:tcW w:type="dxa" w:w="3396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5+ SADC markets + global licensing</w:t>
            </w:r>
          </w:p>
        </w:tc>
      </w:tr>
    </w:tbl>
    <w:p>
      <w:pPr>
        <w:pStyle w:val="Heading2"/>
        <w:spacing w:before="240" w:after="100"/>
      </w:pPr>
      <w:r>
        <w:rPr>
          <w:b/>
          <w:bCs/>
          <w:color w:val="060E1C"/>
          <w:sz w:val="28"/>
          <w:szCs w:val="28"/>
          <w:rFonts w:ascii="Georgia" w:cs="Georgia" w:eastAsia="Georgia" w:hAnsi="Georgia"/>
        </w:rPr>
        <w:t xml:space="preserve">5.1 Key Assumptions — Conservative vs Optimistic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2186"/>
        <w:gridCol w:w="2186"/>
        <w:gridCol w:w="2188"/>
      </w:tblGrid>
      <w:tr>
        <w:tc>
          <w:tcPr>
            <w:tcW w:type="dxa" w:w="28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Assumption</w:t>
            </w:r>
          </w:p>
        </w:tc>
        <w:tc>
          <w:tcPr>
            <w:tcW w:type="dxa" w:w="2186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Conservative</w:t>
            </w:r>
          </w:p>
        </w:tc>
        <w:tc>
          <w:tcPr>
            <w:tcW w:type="dxa" w:w="2186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Base Case</w:t>
            </w:r>
          </w:p>
        </w:tc>
        <w:tc>
          <w:tcPr>
            <w:tcW w:type="dxa" w:w="2188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Optimistic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S.E.T.H.S placement rate</w:t>
            </w:r>
          </w:p>
        </w:tc>
        <w:tc>
          <w:tcPr>
            <w:tcW w:type="dxa" w:w="2186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65%</w:t>
            </w:r>
          </w:p>
        </w:tc>
        <w:tc>
          <w:tcPr>
            <w:tcW w:type="dxa" w:w="2186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75–80%</w:t>
            </w:r>
          </w:p>
        </w:tc>
        <w:tc>
          <w:tcPr>
            <w:tcW w:type="dxa" w:w="2188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85%+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UDOC enterprise sales cycle</w:t>
            </w:r>
          </w:p>
        </w:tc>
        <w:tc>
          <w:tcPr>
            <w:tcW w:type="dxa" w:w="2186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9 months avg</w:t>
            </w:r>
          </w:p>
        </w:tc>
        <w:tc>
          <w:tcPr>
            <w:tcW w:type="dxa" w:w="2186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5 months avg</w:t>
            </w:r>
          </w:p>
        </w:tc>
        <w:tc>
          <w:tcPr>
            <w:tcW w:type="dxa" w:w="2188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3 months avg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UDOC government contract timeline</w:t>
            </w:r>
          </w:p>
        </w:tc>
        <w:tc>
          <w:tcPr>
            <w:tcW w:type="dxa" w:w="2186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24 months to live</w:t>
            </w:r>
          </w:p>
        </w:tc>
        <w:tc>
          <w:tcPr>
            <w:tcW w:type="dxa" w:w="2186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18 months</w:t>
            </w:r>
          </w:p>
        </w:tc>
        <w:tc>
          <w:tcPr>
            <w:tcW w:type="dxa" w:w="2188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12 months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T.S project pipeline activation</w:t>
            </w:r>
          </w:p>
        </w:tc>
        <w:tc>
          <w:tcPr>
            <w:tcW w:type="dxa" w:w="2186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Month 18+</w:t>
            </w:r>
          </w:p>
        </w:tc>
        <w:tc>
          <w:tcPr>
            <w:tcW w:type="dxa" w:w="2186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Month 14</w:t>
            </w:r>
          </w:p>
        </w:tc>
        <w:tc>
          <w:tcPr>
            <w:tcW w:type="dxa" w:w="2188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Month 10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Series A close timing</w:t>
            </w:r>
          </w:p>
        </w:tc>
        <w:tc>
          <w:tcPr>
            <w:tcW w:type="dxa" w:w="2186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Month 24</w:t>
            </w:r>
          </w:p>
        </w:tc>
        <w:tc>
          <w:tcPr>
            <w:tcW w:type="dxa" w:w="2186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Month 20</w:t>
            </w:r>
          </w:p>
        </w:tc>
        <w:tc>
          <w:tcPr>
            <w:tcW w:type="dxa" w:w="2188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Month 16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SADC first market entry</w:t>
            </w:r>
          </w:p>
        </w:tc>
        <w:tc>
          <w:tcPr>
            <w:tcW w:type="dxa" w:w="2186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Year 5</w:t>
            </w:r>
          </w:p>
        </w:tc>
        <w:tc>
          <w:tcPr>
            <w:tcW w:type="dxa" w:w="2186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Year 4</w:t>
            </w:r>
          </w:p>
        </w:tc>
        <w:tc>
          <w:tcPr>
            <w:tcW w:type="dxa" w:w="2188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Year 3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M.A.D.I.B.A Fund I close</w:t>
            </w:r>
          </w:p>
        </w:tc>
        <w:tc>
          <w:tcPr>
            <w:tcW w:type="dxa" w:w="2186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Year 4</w:t>
            </w:r>
          </w:p>
        </w:tc>
        <w:tc>
          <w:tcPr>
            <w:tcW w:type="dxa" w:w="2186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Year 3</w:t>
            </w:r>
          </w:p>
        </w:tc>
        <w:tc>
          <w:tcPr>
            <w:tcW w:type="dxa" w:w="2188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Year 2.5</w:t>
            </w:r>
          </w:p>
        </w:tc>
      </w:tr>
    </w:tbl>
    <w:p>
      <w:pPr>
        <w:pStyle w:val="Heading1"/>
        <w:pBdr>
          <w:bottom w:val="single" w:color="C9A84C" w:sz="6"/>
        </w:pBdr>
        <w:spacing w:before="320" w:after="120"/>
      </w:pPr>
      <w:r>
        <w:rPr>
          <w:b/>
          <w:bCs/>
          <w:color w:val="C9A84C"/>
          <w:sz w:val="34"/>
          <w:szCs w:val="34"/>
          <w:rFonts w:ascii="Georgia" w:cs="Georgia" w:eastAsia="Georgia" w:hAnsi="Georgia"/>
        </w:rPr>
        <w:t xml:space="preserve">6. BREAK-EVEN &amp; PAYBACK ANALYSIS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2186"/>
        <w:gridCol w:w="2186"/>
        <w:gridCol w:w="2188"/>
      </w:tblGrid>
      <w:tr>
        <w:tc>
          <w:tcPr>
            <w:tcW w:type="dxa" w:w="28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Metric</w:t>
            </w:r>
          </w:p>
        </w:tc>
        <w:tc>
          <w:tcPr>
            <w:tcW w:type="dxa" w:w="2186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Conservative</w:t>
            </w:r>
          </w:p>
        </w:tc>
        <w:tc>
          <w:tcPr>
            <w:tcW w:type="dxa" w:w="2186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Base Case</w:t>
            </w:r>
          </w:p>
        </w:tc>
        <w:tc>
          <w:tcPr>
            <w:tcW w:type="dxa" w:w="2188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Optimistic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EBITDA Break-Even</w:t>
            </w:r>
          </w:p>
        </w:tc>
        <w:tc>
          <w:tcPr>
            <w:tcW w:type="dxa" w:w="2186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Year 5</w:t>
            </w:r>
          </w:p>
        </w:tc>
        <w:tc>
          <w:tcPr>
            <w:tcW w:type="dxa" w:w="2186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Year 4</w:t>
            </w:r>
          </w:p>
        </w:tc>
        <w:tc>
          <w:tcPr>
            <w:tcW w:type="dxa" w:w="2188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Year 3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Cash Flow Break-Even (Operating)</w:t>
            </w:r>
          </w:p>
        </w:tc>
        <w:tc>
          <w:tcPr>
            <w:tcW w:type="dxa" w:w="2186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Year 5</w:t>
            </w:r>
          </w:p>
        </w:tc>
        <w:tc>
          <w:tcPr>
            <w:tcW w:type="dxa" w:w="2186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Year 4</w:t>
            </w:r>
          </w:p>
        </w:tc>
        <w:tc>
          <w:tcPr>
            <w:tcW w:type="dxa" w:w="2188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Year 3.5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Full Capital Recovery (Seed + Series A)</w:t>
            </w:r>
          </w:p>
        </w:tc>
        <w:tc>
          <w:tcPr>
            <w:tcW w:type="dxa" w:w="2186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Year 7–8</w:t>
            </w:r>
          </w:p>
        </w:tc>
        <w:tc>
          <w:tcPr>
            <w:tcW w:type="dxa" w:w="2186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Year 6</w:t>
            </w:r>
          </w:p>
        </w:tc>
        <w:tc>
          <w:tcPr>
            <w:tcW w:type="dxa" w:w="2188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Year 4–5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Series A IRR (Exit Year 6)</w:t>
            </w:r>
          </w:p>
        </w:tc>
        <w:tc>
          <w:tcPr>
            <w:tcW w:type="dxa" w:w="2186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18–22%</w:t>
            </w:r>
          </w:p>
        </w:tc>
        <w:tc>
          <w:tcPr>
            <w:tcW w:type="dxa" w:w="2186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28–35%</w:t>
            </w:r>
          </w:p>
        </w:tc>
        <w:tc>
          <w:tcPr>
            <w:tcW w:type="dxa" w:w="2188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45–60%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Series A MOIC (Exit Year 7)</w:t>
            </w:r>
          </w:p>
        </w:tc>
        <w:tc>
          <w:tcPr>
            <w:tcW w:type="dxa" w:w="2186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2.5–3.5×</w:t>
            </w:r>
          </w:p>
        </w:tc>
        <w:tc>
          <w:tcPr>
            <w:tcW w:type="dxa" w:w="2186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5–8×</w:t>
            </w:r>
          </w:p>
        </w:tc>
        <w:tc>
          <w:tcPr>
            <w:tcW w:type="dxa" w:w="2188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10–15×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Total Capital Required (Years 1–5)</w:t>
            </w:r>
          </w:p>
        </w:tc>
        <w:tc>
          <w:tcPr>
            <w:tcW w:type="dxa" w:w="2186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R85M</w:t>
            </w:r>
          </w:p>
        </w:tc>
        <w:tc>
          <w:tcPr>
            <w:tcW w:type="dxa" w:w="2186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R110M</w:t>
            </w:r>
          </w:p>
        </w:tc>
        <w:tc>
          <w:tcPr>
            <w:tcW w:type="dxa" w:w="2188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R145M</w:t>
            </w:r>
          </w:p>
        </w:tc>
      </w:tr>
    </w:tbl>
    <w:p>
      <w:pPr>
        <w:pBdr>
          <w:bottom w:val="single" w:color="C9A84C" w:sz="6"/>
        </w:pBdr>
        <w:spacing w:before="160" w:after="160"/>
      </w:pPr>
    </w:p>
    <w:p>
      <w:pPr>
        <w:jc w:val="center"/>
      </w:pPr>
      <w:r>
        <w:rPr>
          <w:color w:val="8A8A9A"/>
          <w:sz w:val="18"/>
          <w:szCs w:val="18"/>
          <w:rFonts w:ascii="Arial" w:cs="Arial" w:eastAsia="Arial" w:hAnsi="Arial"/>
        </w:rPr>
        <w:t xml:space="preserve">G.O.D.S Holdings (Pty) Ltd | 5-Year Financial Model | March 2026 | RESTRICTED — INVESTOR NDA REQUIRED</w:t>
      </w:r>
    </w:p>
    <w:sectPr>
      <w:headerReference w:type="default" r:id="rId6"/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A84C" w:sz="4"/>
      </w:pBdr>
      <w:jc w:val="center"/>
    </w:pPr>
    <w:r>
      <w:rPr>
        <w:color w:val="8A8A9A"/>
        <w:sz w:val="14"/>
        <w:szCs w:val="14"/>
        <w:rFonts w:ascii="Arial" w:cs="Arial" w:eastAsia="Arial" w:hAnsi="Arial"/>
      </w:rPr>
      <w:t xml:space="preserve">CONFIDENTIAL  |  © 2026 G.O.D.S Holdings (Pty) Ltd  |  Johannesburg, South Africa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9A84C" w:sz="6"/>
      </w:pBdr>
    </w:pPr>
    <w:r>
      <w:rPr>
        <w:color w:val="8A8A9A"/>
        <w:sz w:val="16"/>
        <w:szCs w:val="16"/>
        <w:rFonts w:ascii="Arial" w:cs="Arial" w:eastAsia="Arial" w:hAnsi="Arial"/>
      </w:rPr>
      <w:t xml:space="preserve">G.O.D.S Holdings (Pty) Ltd  |  5-Year Financial Model  |  CONFIDENTIAL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0"/>
        <w:szCs w:val="20"/>
        <w:rFonts w:ascii="Arial" w:cs="Arial" w:eastAsia="Arial" w:hAnsi="Arial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320" w:after="120"/>
      <w:outlineLvl w:val="0"/>
    </w:pPr>
    <w:rPr>
      <w:b/>
      <w:bCs/>
      <w:color w:val="C9A84C"/>
      <w:sz w:val="34"/>
      <w:szCs w:val="34"/>
      <w:rFonts w:ascii="Georgia" w:cs="Georgia" w:eastAsia="Georgia" w:hAnsi="Georgia"/>
    </w:rPr>
  </w:style>
  <w:style w:type="paragraph" w:styleId="Heading2">
    <w:name w:val="Heading 2"/>
    <w:basedOn w:val="Normal"/>
    <w:next w:val="Normal"/>
    <w:qFormat/>
    <w:pPr>
      <w:spacing w:before="240" w:after="100"/>
      <w:outlineLvl w:val="1"/>
    </w:pPr>
    <w:rPr>
      <w:b/>
      <w:bCs/>
      <w:color w:val="060E1C"/>
      <w:sz w:val="28"/>
      <w:szCs w:val="28"/>
      <w:rFonts w:ascii="Georgia" w:cs="Georgia" w:eastAsia="Georgia" w:hAnsi="Georgia"/>
    </w:rPr>
  </w:style>
  <w:style w:type="paragraph" w:styleId="Heading3">
    <w:name w:val="Heading 3"/>
    <w:basedOn w:val="Normal"/>
    <w:next w:val="Normal"/>
    <w:qFormat/>
    <w:pPr>
      <w:spacing w:before="160" w:after="80"/>
      <w:outlineLvl w:val="2"/>
    </w:pPr>
    <w:rPr>
      <w:b/>
      <w:bCs/>
      <w:color w:val="333355"/>
      <w:sz w:val="22"/>
      <w:szCs w:val="22"/>
      <w:rFonts w:ascii="Arial" w:cs="Arial" w:eastAsia="Arial" w:hAnsi="Arial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2026-04-16T06:15:29.280Z</dcterms:created>
  <dcterms:modified xsi:type="dcterms:W3CDTF">2026-04-16T06:15:29.281Z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