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/>
    <w:p/>
    <w:p/>
    <w:p>
      <w:pPr>
        <w:spacing w:before="200" w:after="80"/>
        <w:jc w:val="center"/>
      </w:pPr>
      <w:r>
        <w:rPr>
          <w:b/>
          <w:bCs/>
          <w:color w:val="C9A84C"/>
          <w:sz w:val="56"/>
          <w:szCs w:val="56"/>
          <w:rFonts w:ascii="Georgia" w:cs="Georgia" w:eastAsia="Georgia" w:hAnsi="Georgia"/>
        </w:rPr>
        <w:t xml:space="preserve">G.O.D.S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Good Orderly Directional Systems</w:t>
      </w:r>
    </w:p>
    <w:p>
      <w:pPr>
        <w:pBdr>
          <w:bottom w:val="single" w:color="C9A84C" w:sz="6"/>
        </w:pBdr>
        <w:spacing w:before="160" w:after="160"/>
      </w:pP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B-BBEE STRATEGY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Broad-Based Black Economic Empowerment Architecture</w:t>
      </w:r>
    </w:p>
    <w:p/>
    <w:p>
      <w:pPr>
        <w:spacing w:before="40" w:after="40"/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March 2026 | Access Level 2 — Institutional</w:t>
      </w:r>
    </w:p>
    <w:p/>
    <w:p>
      <w:pPr>
        <w:spacing w:before="40" w:after="40"/>
        <w:jc w:val="center"/>
      </w:pPr>
      <w:r>
        <w:rPr>
          <w:i/>
          <w:iCs/>
          <w:color w:val="8A8A9A"/>
          <w:sz w:val="14"/>
          <w:szCs w:val="14"/>
          <w:rFonts w:ascii="Arial" w:cs="Arial" w:eastAsia="Arial" w:hAnsi="Arial"/>
        </w:rPr>
        <w:t xml:space="preserve">CONFIDENTIAL — B-BBEE STRATEGY — G.O.D.S Holdings (Pty) Ltd — March 2026</w:t>
      </w:r>
    </w:p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1. EXECUTIVE SUMMARY</w:t>
      </w:r>
    </w:p>
    <w:p>
      <w:pPr>
        <w:pBdr>
          <w:top w:val="single" w:color="E8E4DA" w:sz="4"/>
          <w:bottom w:val="single" w:color="E8E4DA" w:sz="4"/>
          <w:left w:val="single" w:color="C9A84C" w:sz="12"/>
          <w:right w:val="single" w:color="E8E4DA" w:sz="4"/>
        </w:pBdr>
        <w:spacing w:before="160" w:after="160"/>
      </w:pPr>
      <w:r>
        <w:rPr>
          <w:i/>
          <w:iCs/>
          <w:color w:val="060E1C"/>
          <w:sz w:val="22"/>
          <w:szCs w:val="22"/>
          <w:rFonts w:ascii="Georgia" w:cs="Georgia" w:eastAsia="Georgia" w:hAnsi="Georgia"/>
        </w:rPr>
        <w:t xml:space="preserve">G.O.D.S B-BBEE is not a compliance exercise. It is constitutionally mandated. Pillar IX (Equity of Access) and the G.O.D.S design mandate require that benefits reach the most marginalised populations first — structural B-BBEE alignment is the commercial expression of this constitutional requirement.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G.O.D.S Holdings (Pty) Ltd is designed from inception as a transformation vehicle. The four divisions collectively address South Africa's most critical transformation imperatives: workforce inclusion (S.E.T.H.S), infrastructure employment (T.S), sovereign digital governance (UDOC), and developmental capital (M.A.D.I.B.A). B-BBEE compliance is embedded architecturally — not bolted on as a post-structuring adjustment.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Target B-BBEE Level: Level 1 or Level 2 contributor status at Phase 2 (Year 3+). Phase 1 target: Level 3 contributor. This is achievable through the programme's natural design without artificial structuring.</w:t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2. B-BBEE SCORECARD ARCHITECTURE</w:t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2.1 BEE Act Framework — Applicable Codes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G.O.D.S Holdings operates under the Broad-Based Black Economic Empowerment Act 53 of 2003 (as amended by Act 46 of 2013) and the B-BBEE Codes of Good Practice (revised 2013). The applicable sector codes are: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General Economy — G.O.D.S Holdings (Pty) Ltd and G.O.D.S TS Holdings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Information Communication Technology (ICT) Sector Code — UDOC Technologies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Construction Sector Code — T.S Industries (TS Construction &amp; Housing)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Energy Sector Code — T.S Energy (solar EPC activities)</w:t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2.2 Scorecard Targets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800"/>
        <w:gridCol w:w="2000"/>
        <w:gridCol w:w="2000"/>
        <w:gridCol w:w="2760"/>
      </w:tblGrid>
      <w:tr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Element</w:t>
            </w:r>
          </w:p>
        </w:tc>
        <w:tc>
          <w:tcPr>
            <w:tcW w:type="dxa" w:w="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Weight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Phase 1 (Year 1–2) Target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Phase 2 (Year 3+) Target</w:t>
            </w:r>
          </w:p>
        </w:tc>
        <w:tc>
          <w:tcPr>
            <w:tcW w:type="dxa" w:w="27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Mechanism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1. Ownership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25 points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25–35% black ownership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40–51% black ownership</w:t>
            </w:r>
          </w:p>
        </w:tc>
        <w:tc>
          <w:tcPr>
            <w:tcW w:type="dxa" w:w="2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Founder equity (Black person) + Class D employee participation scheme + S.E.T.H.S graduate equity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2. Management Control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15 points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60%+ black executives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75%+ black board + executive</w:t>
            </w:r>
          </w:p>
        </w:tc>
        <w:tc>
          <w:tcPr>
            <w:tcW w:type="dxa" w:w="2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Founder (Black) + COB composition + executive hiring policy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3. Skills Development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20 points (enhanced)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Maximum points — S.E.T.H.S core activity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Maximum — 500+ participants/year</w:t>
            </w:r>
          </w:p>
        </w:tc>
        <w:tc>
          <w:tcPr>
            <w:tcW w:type="dxa" w:w="2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is a skills development programme by design. SETA accreditation unlocks mandatory and discretionary grants.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4. Enterprise &amp; Supplier Development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40 points (priority)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ESD spending 3% of NPAT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ESD spending 3%+ of NPAT</w:t>
            </w:r>
          </w:p>
        </w:tc>
        <w:tc>
          <w:tcPr>
            <w:tcW w:type="dxa" w:w="2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alumni enterprise development. T.S subcontractor development. Supplier development fund.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5. Socio-Economic Development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 points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Maximum — 1%+ NPAT to SED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Maximum — 1%+ NPAT to SED</w:t>
            </w:r>
          </w:p>
        </w:tc>
        <w:tc>
          <w:tcPr>
            <w:tcW w:type="dxa" w:w="2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programme qualifies as SED expenditure. T.S community development. UDOC pro-bono government assistance.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 SCORE TARGET</w:t>
            </w:r>
          </w:p>
        </w:tc>
        <w:tc>
          <w:tcPr>
            <w:tcW w:type="dxa" w:w="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105 points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75–85 points (Level 3–4)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90–100 points (Level 1–2)</w:t>
            </w:r>
          </w:p>
        </w:tc>
        <w:tc>
          <w:tcPr>
            <w:tcW w:type="dxa" w:w="2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Constitutional mandate alignment drives natural B-BBEE performance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3. OWNERSHIP ARCHITECTURE</w:t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3.1 Founder Equity as B-BBEE Anchor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Sashin J. Singh (Founder) is a Black South African citizen. The Founder holds 100% of the founding equity in G.O.D.S Holdings through the G.O.D.S IP Trust at inception. This provides the foundational ownership points under the B-BBEE codes.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The constitutional architecture ensures that this ownership cannot be diluted below the minimum threshold required for government contract eligibility without COB approval — protecting B-BBEE status as new equity is issued.</w:t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3.2 Class D Employee Participation Scheme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The Class D Employee Participation Scheme is designed to entrench B-BBEE ownership while incentivising long-term contribution. Key design elements: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Parameter</w:t>
            </w:r>
          </w:p>
        </w:tc>
        <w:tc>
          <w:tcPr>
            <w:tcW w:type="dxa" w:w="69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Detail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Eligibility</w:t>
            </w:r>
          </w:p>
        </w:tc>
        <w:tc>
          <w:tcPr>
            <w:tcW w:type="dxa" w:w="6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employees of any G.O.D.S entity after 3 years of service + all S.E.T.H.S programme graduates in verified employment after 3 years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B-BBEE Qualifying</w:t>
            </w:r>
          </w:p>
        </w:tc>
        <w:tc>
          <w:tcPr>
            <w:tcW w:type="dxa" w:w="6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 Black participants — programme designed exclusively for structurally excluded populations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Equity Type</w:t>
            </w:r>
          </w:p>
        </w:tc>
        <w:tc>
          <w:tcPr>
            <w:tcW w:type="dxa" w:w="6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Class D — no voting rights, economic participation only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Maximum Pool</w:t>
            </w:r>
          </w:p>
        </w:tc>
        <w:tc>
          <w:tcPr>
            <w:tcW w:type="dxa" w:w="6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7% of G.O.D.S TS Holdings fully diluted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Vesting Schedule</w:t>
            </w:r>
          </w:p>
        </w:tc>
        <w:tc>
          <w:tcPr>
            <w:tcW w:type="dxa" w:w="6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 years service or employment minimum, then pro-rata quarterly vesting over next 2 years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Funded How</w:t>
            </w:r>
          </w:p>
        </w:tc>
        <w:tc>
          <w:tcPr>
            <w:tcW w:type="dxa" w:w="6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Vendor financing from G.O.D.S TS Holdings — no participant upfront cost. Dividends used to repay funding.</w:t>
            </w:r>
          </w:p>
        </w:tc>
      </w:tr>
      <w:tr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B-BBEE Calculation</w:t>
            </w:r>
          </w:p>
        </w:tc>
        <w:tc>
          <w:tcPr>
            <w:tcW w:type="dxa" w:w="69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Economic interest only counted (no control). Qualifying as broad-based BEE participant.</w:t>
            </w:r>
          </w:p>
        </w:tc>
      </w:tr>
    </w:tbl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3.3 Government SPV Co-Ownership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All T.S and UDOC government SPVs are structured with minimum 30–40% government equity. This further strengthens B-BBEE at SPV level — most government co-owners are B-BBEE qualifying entities.</w:t>
      </w:r>
    </w:p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4. SKILLS DEVELOPMENT — S.E.T.H.S AS MAXIMUM POINTS DRIVER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S.E.T.H.S is a skills development programme by design. The G.O.D.S S.E.T.H.S programme directly addresses the two skills development pillars with maximum available points:</w:t>
      </w: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800"/>
        <w:gridCol w:w="1400"/>
      </w:tblGrid>
      <w:tr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Skills Dev Indicator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B-BBEE Mechanism</w:t>
            </w:r>
          </w:p>
        </w:tc>
        <w:tc>
          <w:tcPr>
            <w:tcW w:type="dxa" w:w="2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G.O.D.S Application</w:t>
            </w:r>
          </w:p>
        </w:tc>
        <w:tc>
          <w:tcPr>
            <w:tcW w:type="dxa" w:w="1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Points Available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Learnerships, Internships, Apprenticeships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6% of NPAT spent on SETA-registered skills development</w:t>
            </w:r>
          </w:p>
        </w:tc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delivers structured learnerships for 500+ participants/year at full SETA accreditation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8 points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Unemployed Black Youth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Skills development spending for unemployed persons aged 18–35</w:t>
            </w:r>
          </w:p>
        </w:tc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100% of S.E.T.H.S participants qualify as unemployed; majority Black youth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 points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Disability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0.25% of NPAT on skills for disabled persons</w:t>
            </w:r>
          </w:p>
        </w:tc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 inclusive design — stream D targets persons with disabilities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 points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Absorption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Qualifying absorption into employment after learnership</w:t>
            </w:r>
          </w:p>
        </w:tc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absorbs S.E.T.H.S graduates — target 70%+ absorption rate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 points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TOTAL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2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—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20 points (maximum available)</w:t>
            </w:r>
          </w:p>
        </w:tc>
      </w:tr>
    </w:tbl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5. ENTERPRISE &amp; SUPPLIER DEVELOPMENT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ESD (Enterprise &amp; Supplier Development) at 40 points is the highest-weighted scorecard element. G.O.D.S's ESD strategy addresses this through three mechanisms: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S.E.T.H.S alumni enterprise fund: graduates with entrepreneurial potential receive enterprise development support, training, and micro-financing through a dedicated fund (minimum 1% NPAT annually).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T.S construction and energy subcontractor development: T.S prioritises Black-owned SME subcontractors for all projects, with active preferential procurement and supplier development programmes.</w:t>
      </w:r>
    </w:p>
    <w:p>
      <w:pPr>
        <w:pStyle w:val="ListParagraph"/>
        <w:numPr>
          <w:ilvl w:val="0"/>
          <w:numId w:val="2"/>
        </w:numPr>
        <w:spacing w:before="40" w:after="4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UDOC SaaS reseller programme: Black-owned technology partners licensed to resell and implement UDOC in sectors where G.O.D.S does not have direct capacity.</w:t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6. GOVERNMENT CONTRACT IMPLICATIONS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B-BBEE compliance directly affects G.O.D.S's ability to win government contracts under PPPFA (Preferential Procurement Policy Framework Act). Key thresholds: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400"/>
        <w:gridCol w:w="2400"/>
        <w:gridCol w:w="2760"/>
      </w:tblGrid>
      <w:tr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Contract Value</w:t>
            </w:r>
          </w:p>
        </w:tc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B-BBEE Points in Tender Scoring</w:t>
            </w:r>
          </w:p>
        </w:tc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Level Required for Full Score</w:t>
            </w:r>
          </w:p>
        </w:tc>
        <w:tc>
          <w:tcPr>
            <w:tcW w:type="dxa" w:w="27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G.O.D.S Target Level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&lt; R10M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10% of total tender score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Level 1–2</w:t>
            </w:r>
          </w:p>
        </w:tc>
        <w:tc>
          <w:tcPr>
            <w:tcW w:type="dxa" w:w="2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Level 3+ (Phase 1)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R10M – R50M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10% of total tender score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Level 1–2</w:t>
            </w:r>
          </w:p>
        </w:tc>
        <w:tc>
          <w:tcPr>
            <w:tcW w:type="dxa" w:w="2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Level 2 (Phase 2)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&gt; R50M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10% of total tender score + transformation criteria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Level 1</w:t>
            </w:r>
          </w:p>
        </w:tc>
        <w:tc>
          <w:tcPr>
            <w:tcW w:type="dxa" w:w="2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Level 1 (Phase 3)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Sole-source / Negotiated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B-BBEE compliance required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Level 1–2 preferred</w:t>
            </w:r>
          </w:p>
        </w:tc>
        <w:tc>
          <w:tcPr>
            <w:tcW w:type="dxa" w:w="2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Level 1–2 (Phase 2+)</w:t>
            </w:r>
          </w:p>
        </w:tc>
      </w:tr>
    </w:tbl>
    <w:p>
      <w:pPr>
        <w:pBdr>
          <w:bottom w:val="single" w:color="C9A84C" w:sz="6"/>
        </w:pBdr>
        <w:spacing w:before="160" w:after="160"/>
      </w:pPr>
    </w:p>
    <w:p>
      <w:pPr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B-BBEE Strategy | March 2026 | CONFIDENTIAL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A84C" w:sz="4"/>
      </w:pBdr>
      <w:jc w:val="center"/>
    </w:pPr>
    <w:r>
      <w:rPr>
        <w:color w:val="8A8A9A"/>
        <w:sz w:val="14"/>
        <w:szCs w:val="14"/>
        <w:rFonts w:ascii="Arial" w:cs="Arial" w:eastAsia="Arial" w:hAnsi="Arial"/>
      </w:rPr>
      <w:t xml:space="preserve">CONFIDENTIAL  |  © 2026 G.O.D.S Holdings (Pty) Ltd  |  Johannesburg, South Africa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84C" w:sz="6"/>
      </w:pBdr>
    </w:pPr>
    <w:r>
      <w:rPr>
        <w:color w:val="8A8A9A"/>
        <w:sz w:val="16"/>
        <w:szCs w:val="16"/>
        <w:rFonts w:ascii="Arial" w:cs="Arial" w:eastAsia="Arial" w:hAnsi="Arial"/>
      </w:rPr>
      <w:t xml:space="preserve">G.O.D.S Holdings (Pty) Ltd  |  B-BBEE Strategy  |  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20"/>
      <w:outlineLvl w:val="0"/>
    </w:pPr>
    <w:rPr>
      <w:b/>
      <w:bCs/>
      <w:color w:val="C9A84C"/>
      <w:sz w:val="34"/>
      <w:szCs w:val="34"/>
      <w:rFonts w:ascii="Georgia" w:cs="Georgia" w:eastAsia="Georgia" w:hAnsi="Georgia"/>
    </w:rPr>
  </w:style>
  <w:style w:type="paragraph" w:styleId="Heading2">
    <w:name w:val="Heading 2"/>
    <w:basedOn w:val="Normal"/>
    <w:next w:val="Normal"/>
    <w:qFormat/>
    <w:pPr>
      <w:spacing w:before="240" w:after="100"/>
      <w:outlineLvl w:val="1"/>
    </w:pPr>
    <w:rPr>
      <w:b/>
      <w:bCs/>
      <w:color w:val="060E1C"/>
      <w:sz w:val="28"/>
      <w:szCs w:val="28"/>
      <w:rFonts w:ascii="Georgia" w:cs="Georgia" w:eastAsia="Georgia" w:hAnsi="Georgia"/>
    </w:rPr>
  </w:style>
  <w:style w:type="paragraph" w:styleId="Heading3">
    <w:name w:val="Heading 3"/>
    <w:basedOn w:val="Normal"/>
    <w:next w:val="Normal"/>
    <w:qFormat/>
    <w:pPr>
      <w:spacing w:before="160" w:after="80"/>
      <w:outlineLvl w:val="2"/>
    </w:pPr>
    <w:rPr>
      <w:b/>
      <w:bCs/>
      <w:color w:val="333355"/>
      <w:sz w:val="22"/>
      <w:szCs w:val="22"/>
      <w:rFonts w:ascii="Arial" w:cs="Arial" w:eastAsia="Arial" w:hAnsi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2026-04-13T03:07:32.556Z</dcterms:created>
  <dcterms:modified xsi:type="dcterms:W3CDTF">2026-04-13T03:07:32.556Z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