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80"/>
      </w:pPr>
    </w:p>
    <w:p>
      <w:pPr>
        <w:spacing w:before="200" w:after="80"/>
        <w:jc w:val="center"/>
      </w:pPr>
      <w:r>
        <w:rPr>
          <w:b/>
          <w:bCs/>
          <w:color w:val="C9A84C"/>
          <w:sz w:val="56"/>
          <w:szCs w:val="56"/>
          <w:rFonts w:ascii="Georgia" w:cs="Georgia" w:eastAsia="Georgia" w:hAnsi="Georgia"/>
        </w:rPr>
        <w:t xml:space="preserve">G.O.D.S</w:t>
      </w:r>
    </w:p>
    <w:p>
      <w:pPr>
        <w:spacing w:before="60" w:after="60"/>
        <w:jc w:val="center"/>
      </w:pPr>
      <w:r>
        <w:rPr>
          <w:color w:val="F5F0E8"/>
          <w:sz w:val="22"/>
          <w:szCs w:val="22"/>
          <w:rFonts w:ascii="Arial" w:cs="Arial" w:eastAsia="Arial" w:hAnsi="Arial"/>
        </w:rPr>
        <w:t xml:space="preserve">Good Orderly Directional Systems</w:t>
      </w:r>
    </w:p>
    <w:p>
      <w:pPr>
        <w:pBdr>
          <w:bottom w:val="single" w:color="C9A84C" w:sz="6"/>
        </w:pBdr>
        <w:spacing w:before="160" w:after="160"/>
      </w:pPr>
    </w:p>
    <w:p>
      <w:pPr>
        <w:spacing w:before="60" w:after="60"/>
        <w:jc w:val="center"/>
      </w:pPr>
      <w:r>
        <w:rPr>
          <w:color w:val="F5F0E8"/>
          <w:sz w:val="22"/>
          <w:szCs w:val="22"/>
          <w:rFonts w:ascii="Arial" w:cs="Arial" w:eastAsia="Arial" w:hAnsi="Arial"/>
        </w:rPr>
        <w:t xml:space="preserve">EXECUTIVE INVESTMENT MEMORANDUM</w:t>
      </w:r>
    </w:p>
    <w:p>
      <w:pPr>
        <w:spacing w:before="80"/>
      </w:pPr>
    </w:p>
    <w:p>
      <w:pPr>
        <w:spacing w:before="40" w:after="40"/>
        <w:jc w:val="center"/>
      </w:pPr>
      <w:r>
        <w:rPr>
          <w:color w:val="8A8A9A"/>
          <w:sz w:val="18"/>
          <w:szCs w:val="18"/>
          <w:rFonts w:ascii="Arial" w:cs="Arial" w:eastAsia="Arial" w:hAnsi="Arial"/>
        </w:rPr>
        <w:t xml:space="preserve">SERIES A — G.O.D.S TS Holdings (Pty) Ltd</w:t>
      </w:r>
    </w:p>
    <w:p>
      <w:pPr>
        <w:spacing w:before="40" w:after="40"/>
        <w:jc w:val="center"/>
      </w:pPr>
      <w:r>
        <w:rPr>
          <w:color w:val="8A8A9A"/>
          <w:sz w:val="18"/>
          <w:szCs w:val="18"/>
          <w:rFonts w:ascii="Arial" w:cs="Arial" w:eastAsia="Arial" w:hAnsi="Arial"/>
        </w:rPr>
        <w:t xml:space="preserve">Target Raise: R30M – R60M | March 2026</w:t>
      </w:r>
    </w:p>
    <w:p>
      <w:pPr>
        <w:spacing w:before="40" w:after="40"/>
        <w:jc w:val="center"/>
      </w:pPr>
      <w:r>
        <w:rPr>
          <w:color w:val="8A8A9A"/>
          <w:sz w:val="18"/>
          <w:szCs w:val="18"/>
          <w:rFonts w:ascii="Arial" w:cs="Arial" w:eastAsia="Arial" w:hAnsi="Arial"/>
        </w:rPr>
        <w:t xml:space="preserve">Sashin J. Singh — Founder &amp; Systems Architect</w:t>
      </w:r>
    </w:p>
    <w:p>
      <w:pPr>
        <w:spacing w:before="160"/>
      </w:pPr>
    </w:p>
    <w:p>
      <w:pPr>
        <w:spacing w:before="40" w:after="40"/>
        <w:jc w:val="center"/>
      </w:pPr>
      <w:r>
        <w:rPr>
          <w:i/>
          <w:iCs/>
          <w:color w:val="8A8A9A"/>
          <w:sz w:val="14"/>
          <w:szCs w:val="14"/>
          <w:rFonts w:ascii="Arial" w:cs="Arial" w:eastAsia="Arial" w:hAnsi="Arial"/>
        </w:rPr>
        <w:t xml:space="preserve">CONFIDENTIAL — INVESTOR NDA REQUIRED — EXECUTIVE INVESTMENT MEMORANDUM — G.O.D.S Holdings (Pty) Ltd — March 2026</w:t>
      </w:r>
    </w:p>
    <w:p>
      <w:pPr>
        <w:spacing w:before="160"/>
      </w:pPr>
    </w:p>
    <w:p>
      <w:pPr>
        <w:pBdr>
          <w:top w:val="single" w:color="E8E4DA" w:sz="4"/>
          <w:bottom w:val="single" w:color="E8E4DA" w:sz="4"/>
          <w:left w:val="single" w:color="C9A84C" w:sz="12"/>
          <w:right w:val="single" w:color="E8E4DA" w:sz="4"/>
        </w:pBdr>
        <w:spacing w:before="160" w:after="160"/>
      </w:pPr>
      <w:r>
        <w:rPr>
          <w:i/>
          <w:iCs/>
          <w:color w:val="060E1C"/>
          <w:sz w:val="22"/>
          <w:szCs w:val="22"/>
          <w:rFonts w:ascii="Georgia" w:cs="Georgia" w:eastAsia="Georgia" w:hAnsi="Georgia"/>
        </w:rPr>
        <w:t xml:space="preserve">"G.O.D.S is not a moonshot. It is a deliberate, sequenced, compounding system — starting with what can be proven, and building to what is needed." — Sashin J. Singh, Founder</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LEGAL NOTICE &amp; DISCLAIMER</w:t>
      </w:r>
    </w:p>
    <w:p>
      <w:pPr>
        <w:spacing w:before="80" w:after="80"/>
      </w:pPr>
      <w:r>
        <w:rPr>
          <w:color w:val="1A1A2E"/>
          <w:sz w:val="20"/>
          <w:szCs w:val="20"/>
          <w:rFonts w:ascii="Arial" w:cs="Arial" w:eastAsia="Arial" w:hAnsi="Arial"/>
        </w:rPr>
        <w:t xml:space="preserve">This Executive Investment Memorandum ("Memorandum") is furnished to prospective investors on a confidential basis solely for their use in evaluating an investment in G.O.D.S TS Holdings (Pty) Ltd ("the Company"). By accepting this Memorandum, the recipient acknowledges that: (i) it will treat the information herein as confidential; (ii) it will not reproduce, distribute, or use this Memorandum for any purpose other than evaluating a potential investment; and (iii) it will return or destroy this Memorandum upon request.</w:t>
      </w:r>
    </w:p>
    <w:p>
      <w:pPr>
        <w:spacing w:before="80" w:after="80"/>
      </w:pPr>
      <w:r>
        <w:rPr>
          <w:color w:val="1A1A2E"/>
          <w:sz w:val="20"/>
          <w:szCs w:val="20"/>
          <w:rFonts w:ascii="Arial" w:cs="Arial" w:eastAsia="Arial" w:hAnsi="Arial"/>
        </w:rPr>
        <w:t xml:space="preserve">This Memorandum does not constitute an offer or solicitation to purchase securities in any jurisdiction. It has not been registered with any securities regulator. All financial projections are internal planning estimates and do not constitute audited forecasts or guarantees of future performance. Prospective investors should conduct independent due diligence and consult legal, financial, and tax advisors before making any investment decision.</w:t>
      </w:r>
    </w:p>
    <w:p>
      <w:pPr>
        <w:spacing w:before="80" w:after="80"/>
      </w:pPr>
      <w:r>
        <w:rPr>
          <w:color w:val="1A1A2E"/>
          <w:sz w:val="20"/>
          <w:szCs w:val="20"/>
          <w:rFonts w:ascii="Arial" w:cs="Arial" w:eastAsia="Arial" w:hAnsi="Arial"/>
        </w:rPr>
        <w:t xml:space="preserve">Defined terms used herein have the meanings assigned in the G.O.D.S Constitutional Governance Charter, Shareholders Agreement Template, and related constitutional documents.</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1. EXECUTIVE SUMMARY</w:t>
      </w:r>
    </w:p>
    <w:p>
      <w:pPr>
        <w:pBdr>
          <w:top w:val="single" w:color="E8E4DA" w:sz="4"/>
          <w:bottom w:val="single" w:color="E8E4DA" w:sz="4"/>
          <w:left w:val="single" w:color="C9A84C" w:sz="12"/>
          <w:right w:val="single" w:color="E8E4DA" w:sz="4"/>
        </w:pBdr>
        <w:spacing w:before="160" w:after="160"/>
      </w:pPr>
      <w:r>
        <w:rPr>
          <w:i/>
          <w:iCs/>
          <w:color w:val="060E1C"/>
          <w:sz w:val="22"/>
          <w:szCs w:val="22"/>
          <w:rFonts w:ascii="Georgia" w:cs="Georgia" w:eastAsia="Georgia" w:hAnsi="Georgia"/>
        </w:rPr>
        <w:t xml:space="preserve">G.O.D.S is raising a Series A of R30M – R60M to fund the commercial scale-up of the world's first constitutionally governed, quantum-ready, compounding infrastructure platform for emerging markets.</w:t>
      </w:r>
    </w:p>
    <w:p>
      <w:pPr>
        <w:spacing w:before="80" w:after="80"/>
      </w:pPr>
      <w:r>
        <w:rPr>
          <w:color w:val="1A1A2E"/>
          <w:sz w:val="20"/>
          <w:szCs w:val="20"/>
          <w:rFonts w:ascii="Arial" w:cs="Arial" w:eastAsia="Arial" w:hAnsi="Arial"/>
        </w:rPr>
        <w:t xml:space="preserve">G.O.D.S (Good Orderly Directional Systems) is a South African-headquartered global systems company building the institutional infrastructure that emerging markets urgently need: an integrated, self-reinforcing architecture that simultaneously addresses workforce displacement, infrastructure deficit, AI governance vacuum, and sovereign capital deployment failures — in a single compounding loop that cannot be replicated without building all four engines simultaneously.</w:t>
      </w:r>
    </w:p>
    <w:p>
      <w:pPr>
        <w:spacing w:before="80" w:after="80"/>
      </w:pPr>
      <w:r>
        <w:rPr>
          <w:color w:val="1A1A2E"/>
          <w:sz w:val="20"/>
          <w:szCs w:val="20"/>
          <w:rFonts w:ascii="Arial" w:cs="Arial" w:eastAsia="Arial" w:hAnsi="Arial"/>
        </w:rPr>
        <w:t xml:space="preserve">The Series A funds the scale-up from pilot proof to commercial infrastructure across three high-margin, sovereign-critical divisions:</w:t>
      </w:r>
    </w:p>
    <w:p>
      <w:pPr>
        <w:pStyle w:val="ListParagraph"/>
        <w:numPr>
          <w:ilvl w:val="0"/>
          <w:numId w:val="2"/>
        </w:numPr>
        <w:spacing w:before="40" w:after="40"/>
      </w:pPr>
      <w:r>
        <w:rPr>
          <w:b w:val="false"/>
          <w:bCs w:val="false"/>
          <w:color w:val="1A1A2E"/>
          <w:sz w:val="20"/>
          <w:szCs w:val="20"/>
          <w:rFonts w:ascii="Arial" w:cs="Arial" w:eastAsia="Arial" w:hAnsi="Arial"/>
        </w:rPr>
        <w:t xml:space="preserve">S.E.T.H.S (Human Capital): Scale from 50 to 500 annual programme participants. Government contract pipeline from R3.5M to R28M+ ARR.</w:t>
      </w:r>
    </w:p>
    <w:p>
      <w:pPr>
        <w:pStyle w:val="ListParagraph"/>
        <w:numPr>
          <w:ilvl w:val="0"/>
          <w:numId w:val="2"/>
        </w:numPr>
        <w:spacing w:before="40" w:after="40"/>
      </w:pPr>
      <w:r>
        <w:rPr>
          <w:b w:val="false"/>
          <w:bCs w:val="false"/>
          <w:color w:val="1A1A2E"/>
          <w:sz w:val="20"/>
          <w:szCs w:val="20"/>
          <w:rFonts w:ascii="Arial" w:cs="Arial" w:eastAsia="Arial" w:hAnsi="Arial"/>
        </w:rPr>
        <w:t xml:space="preserve">UDOC (AI Governance SaaS): Commercial enterprise launch across 3–15 clients. First government sovereign deployment. Target R7M ARR by Month 18.</w:t>
      </w:r>
    </w:p>
    <w:p>
      <w:pPr>
        <w:pStyle w:val="ListParagraph"/>
        <w:numPr>
          <w:ilvl w:val="0"/>
          <w:numId w:val="2"/>
        </w:numPr>
        <w:spacing w:before="40" w:after="40"/>
      </w:pPr>
      <w:r>
        <w:rPr>
          <w:b w:val="false"/>
          <w:bCs w:val="false"/>
          <w:color w:val="1A1A2E"/>
          <w:sz w:val="20"/>
          <w:szCs w:val="20"/>
          <w:rFonts w:ascii="Arial" w:cs="Arial" w:eastAsia="Arial" w:hAnsi="Arial"/>
        </w:rPr>
        <w:t xml:space="preserve">T.S Infrastructure: First SPV project co-investment in energy or vertical farming using S.E.T.H.S-trained workforce.</w:t>
      </w:r>
    </w:p>
    <w:p>
      <w:pPr>
        <w:spacing w:before="80" w:after="80"/>
      </w:pPr>
      <w:r>
        <w:rPr>
          <w:color w:val="1A1A2E"/>
          <w:sz w:val="20"/>
          <w:szCs w:val="20"/>
          <w:rFonts w:ascii="Arial" w:cs="Arial" w:eastAsia="Arial" w:hAnsi="Arial"/>
        </w:rPr>
        <w:t xml:space="preserve">Investors fund a proven system at scale — not a startup hypothesis. The Stage One pilot (18 months, 50 participants) will have produced independently audited outcome data before Series A capital is deployed.</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400"/>
        <w:gridCol w:w="7000"/>
      </w:tblGrid>
      <w:tr>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Parameter</w:t>
            </w:r>
          </w:p>
        </w:tc>
        <w:tc>
          <w:tcPr>
            <w:tcW w:type="dxa" w:w="70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Detail</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Issuing Entity</w:t>
            </w:r>
          </w:p>
        </w:tc>
        <w:tc>
          <w:tcPr>
            <w:tcW w:type="dxa" w:w="7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 TS Holdings (Pty) Ltd</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Round Size</w:t>
            </w:r>
          </w:p>
        </w:tc>
        <w:tc>
          <w:tcPr>
            <w:tcW w:type="dxa" w:w="7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R30M – R60M (indicative)</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Share Class</w:t>
            </w:r>
          </w:p>
        </w:tc>
        <w:tc>
          <w:tcPr>
            <w:tcW w:type="dxa" w:w="7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Class B — Investor Shares. 1 vote per share. No constitutional override rights.</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Valuation Basis</w:t>
            </w:r>
          </w:p>
        </w:tc>
        <w:tc>
          <w:tcPr>
            <w:tcW w:type="dxa" w:w="7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Pre-money valuation by independent valuation at Series A close — DCF + audited Stage One outcomes</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Use of Funds</w:t>
            </w:r>
          </w:p>
        </w:tc>
        <w:tc>
          <w:tcPr>
            <w:tcW w:type="dxa" w:w="7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S.E.T.H.S scale R12M | UDOC commercial launch R8M | T.S first SPV equity R20M | Opex R10M</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Lead Investor Target</w:t>
            </w:r>
          </w:p>
        </w:tc>
        <w:tc>
          <w:tcPr>
            <w:tcW w:type="dxa" w:w="7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IDC, DBSA, or aligned DFI as anchor — R15M minimum cornerstone</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Target Close</w:t>
            </w:r>
          </w:p>
        </w:tc>
        <w:tc>
          <w:tcPr>
            <w:tcW w:type="dxa" w:w="7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Months 20–24 from incorporation — after Stage One outcomes documented</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Constitutional Constraint</w:t>
            </w:r>
          </w:p>
        </w:tc>
        <w:tc>
          <w:tcPr>
            <w:tcW w:type="dxa" w:w="7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Class B cannot override Class A (constitutional) decisions. Investors acquire commercial participation — not constitutional authority.</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Information Rights</w:t>
            </w:r>
          </w:p>
        </w:tc>
        <w:tc>
          <w:tcPr>
            <w:tcW w:type="dxa" w:w="7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Quarterly management accounts, annual audited financials, COB compliance certificate</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Investor Protections</w:t>
            </w:r>
          </w:p>
        </w:tc>
        <w:tc>
          <w:tcPr>
            <w:tcW w:type="dxa" w:w="7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Anti-dilution (broad-based weighted average), pro-rata rights, drag-along/tag-along, ROFR</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2. THE PROBLEM &amp; MARKET OPPORTUNITY</w:t>
      </w:r>
    </w:p>
    <w:p>
      <w:pPr>
        <w:spacing w:before="80" w:after="80"/>
      </w:pPr>
      <w:r>
        <w:rPr>
          <w:color w:val="1A1A2E"/>
          <w:sz w:val="20"/>
          <w:szCs w:val="20"/>
          <w:rFonts w:ascii="Arial" w:cs="Arial" w:eastAsia="Arial" w:hAnsi="Arial"/>
        </w:rPr>
        <w:t xml:space="preserve">South Africa and the SADC region face five simultaneously active structural crises that existing institutions cannot solve individually. G.O.D.S is designed to address all five through one integrated, compounding architecture.</w:t>
      </w:r>
    </w:p>
    <w:p>
      <w:pPr>
        <w:pStyle w:val="Heading2"/>
        <w:spacing w:before="320" w:after="120"/>
      </w:pPr>
      <w:r>
        <w:rPr>
          <w:b/>
          <w:bCs/>
          <w:color w:val="060E1C"/>
          <w:sz w:val="28"/>
          <w:szCs w:val="28"/>
          <w:rFonts w:ascii="Georgia" w:cs="Georgia" w:eastAsia="Georgia" w:hAnsi="Georgia"/>
        </w:rPr>
        <w:t xml:space="preserve">2.1 Structural Unemployment — The Human Capital Crisis</w:t>
      </w:r>
    </w:p>
    <w:p>
      <w:pPr>
        <w:spacing w:before="80" w:after="80"/>
      </w:pPr>
      <w:r>
        <w:rPr>
          <w:color w:val="1A1A2E"/>
          <w:sz w:val="20"/>
          <w:szCs w:val="20"/>
          <w:rFonts w:ascii="Arial" w:cs="Arial" w:eastAsia="Arial" w:hAnsi="Arial"/>
        </w:rPr>
        <w:t xml:space="preserve">South Africa's official unemployment rate exceeds 33% — the highest sustained unemployment among major economies globally. The expanded definition reaches 46%+. Youth unemployment exceeds 60% in key provinces. 3.3 million young people are classified as NEET (not in employment, education, or training). AI automation is accelerating displacement faster than reskilling infrastructure can be built. No integrated system exists that simultaneously redirects displaced workers, rebuilds productive capacity, and deploys graduates into infrastructure projects.</w:t>
      </w:r>
    </w:p>
    <w:p>
      <w:pPr>
        <w:pStyle w:val="ListParagraph"/>
        <w:numPr>
          <w:ilvl w:val="0"/>
          <w:numId w:val="2"/>
        </w:numPr>
        <w:spacing w:before="40" w:after="40"/>
      </w:pPr>
      <w:r>
        <w:rPr>
          <w:b w:val="false"/>
          <w:bCs w:val="false"/>
          <w:color w:val="1A1A2E"/>
          <w:sz w:val="20"/>
          <w:szCs w:val="20"/>
          <w:rFonts w:ascii="Arial" w:cs="Arial" w:eastAsia="Arial" w:hAnsi="Arial"/>
        </w:rPr>
        <w:t xml:space="preserve">S.E.T.H.S addresses this directly: intake, assessment, skills development, placement, and monitoring — 36 weeks from excluded to employed.</w:t>
      </w:r>
    </w:p>
    <w:p>
      <w:pPr>
        <w:pStyle w:val="Heading2"/>
        <w:spacing w:before="320" w:after="120"/>
      </w:pPr>
      <w:r>
        <w:rPr>
          <w:b/>
          <w:bCs/>
          <w:color w:val="060E1C"/>
          <w:sz w:val="28"/>
          <w:szCs w:val="28"/>
          <w:rFonts w:ascii="Georgia" w:cs="Georgia" w:eastAsia="Georgia" w:hAnsi="Georgia"/>
        </w:rPr>
        <w:t xml:space="preserve">2.2 AI Governance Vacuum — The Digital Sovereignty Crisis</w:t>
      </w:r>
    </w:p>
    <w:p>
      <w:pPr>
        <w:spacing w:before="80" w:after="80"/>
      </w:pPr>
      <w:r>
        <w:rPr>
          <w:color w:val="1A1A2E"/>
          <w:sz w:val="20"/>
          <w:szCs w:val="20"/>
          <w:rFonts w:ascii="Arial" w:cs="Arial" w:eastAsia="Arial" w:hAnsi="Arial"/>
        </w:rPr>
        <w:t xml:space="preserve">44 African nations have enacted data protection laws; 38 have enforcement bodies; zero have constitutional-grade AI governance infrastructure. 65–70% of global public cloud remains under three US-headquartered corporations. African governments deploying AI in welfare, justice, and public administration operate with no audit trails, no explainability frameworks, and no independent oversight. The EU AI Act creates mandatory compliance requirements from 2026 — creating enterprise demand that no African-built solution currently addresses.</w:t>
      </w:r>
    </w:p>
    <w:p>
      <w:pPr>
        <w:pStyle w:val="ListParagraph"/>
        <w:numPr>
          <w:ilvl w:val="0"/>
          <w:numId w:val="2"/>
        </w:numPr>
        <w:spacing w:before="40" w:after="40"/>
      </w:pPr>
      <w:r>
        <w:rPr>
          <w:b w:val="false"/>
          <w:bCs w:val="false"/>
          <w:color w:val="1A1A2E"/>
          <w:sz w:val="20"/>
          <w:szCs w:val="20"/>
          <w:rFonts w:ascii="Arial" w:cs="Arial" w:eastAsia="Arial" w:hAnsi="Arial"/>
        </w:rPr>
        <w:t xml:space="preserve">UDOC fills this gap: sovereign-first, quantum-ready, constitutionally governed AI governance SaaS at enterprise and government scale.</w:t>
      </w:r>
    </w:p>
    <w:p>
      <w:pPr>
        <w:pStyle w:val="Heading2"/>
        <w:spacing w:before="320" w:after="120"/>
      </w:pPr>
      <w:r>
        <w:rPr>
          <w:b/>
          <w:bCs/>
          <w:color w:val="060E1C"/>
          <w:sz w:val="28"/>
          <w:szCs w:val="28"/>
          <w:rFonts w:ascii="Georgia" w:cs="Georgia" w:eastAsia="Georgia" w:hAnsi="Georgia"/>
        </w:rPr>
        <w:t xml:space="preserve">2.3 Infrastructure Deficit — The Physical Foundation Crisis</w:t>
      </w:r>
    </w:p>
    <w:p>
      <w:pPr>
        <w:spacing w:before="80" w:after="80"/>
      </w:pPr>
      <w:r>
        <w:rPr>
          <w:color w:val="1A1A2E"/>
          <w:sz w:val="20"/>
          <w:szCs w:val="20"/>
          <w:rFonts w:ascii="Arial" w:cs="Arial" w:eastAsia="Arial" w:hAnsi="Arial"/>
        </w:rPr>
        <w:t xml:space="preserve">South Africa's housing backlog stands at 3.7 million units. Energy insecurity costs an estimated R900M per day in lost economic output. 37% of municipal water is lost to leaks. SADC infrastructure gap is estimated at USD 68–108 billion annually. Infrastructure solutions that create employment rather than eliminate it are urgently demanded by governments and DFIs alike.</w:t>
      </w:r>
    </w:p>
    <w:p>
      <w:pPr>
        <w:pStyle w:val="ListParagraph"/>
        <w:numPr>
          <w:ilvl w:val="0"/>
          <w:numId w:val="2"/>
        </w:numPr>
        <w:spacing w:before="40" w:after="40"/>
      </w:pPr>
      <w:r>
        <w:rPr>
          <w:b w:val="false"/>
          <w:bCs w:val="false"/>
          <w:color w:val="1A1A2E"/>
          <w:sz w:val="20"/>
          <w:szCs w:val="20"/>
          <w:rFonts w:ascii="Arial" w:cs="Arial" w:eastAsia="Arial" w:hAnsi="Arial"/>
        </w:rPr>
        <w:t xml:space="preserve">T.S Industries closes this gap: solar, vertical farming, water, and housing infrastructure built by S.E.T.H.S-trained workforce through SPV co-ownership.</w:t>
      </w:r>
    </w:p>
    <w:p>
      <w:pPr>
        <w:pStyle w:val="Heading2"/>
        <w:spacing w:before="320" w:after="120"/>
      </w:pPr>
      <w:r>
        <w:rPr>
          <w:b/>
          <w:bCs/>
          <w:color w:val="060E1C"/>
          <w:sz w:val="28"/>
          <w:szCs w:val="28"/>
          <w:rFonts w:ascii="Georgia" w:cs="Georgia" w:eastAsia="Georgia" w:hAnsi="Georgia"/>
        </w:rPr>
        <w:t xml:space="preserve">2.4 Capital Misallocation — The Deployment Vehicle Deficit</w:t>
      </w:r>
    </w:p>
    <w:p>
      <w:pPr>
        <w:spacing w:before="80" w:after="80"/>
      </w:pPr>
      <w:r>
        <w:rPr>
          <w:color w:val="1A1A2E"/>
          <w:sz w:val="20"/>
          <w:szCs w:val="20"/>
          <w:rFonts w:ascii="Arial" w:cs="Arial" w:eastAsia="Arial" w:hAnsi="Arial"/>
        </w:rPr>
        <w:t xml:space="preserve">DFIs, sovereign wealth funds, and impact investors hold trillions earmarked for emerging market infrastructure. The bottleneck is not capital — it is the absence of credible, integrated, absorptive deployment vehicles. DBSA, IDC, AfDB, Afreximbank, PIC, and GEPF collectively hold USD 200B+ available but un-deployed due to insufficient bankable project pipeline.</w:t>
      </w:r>
    </w:p>
    <w:p>
      <w:pPr>
        <w:pStyle w:val="ListParagraph"/>
        <w:numPr>
          <w:ilvl w:val="0"/>
          <w:numId w:val="2"/>
        </w:numPr>
        <w:spacing w:before="40" w:after="40"/>
      </w:pPr>
      <w:r>
        <w:rPr>
          <w:b w:val="false"/>
          <w:bCs w:val="false"/>
          <w:color w:val="1A1A2E"/>
          <w:sz w:val="20"/>
          <w:szCs w:val="20"/>
          <w:rFonts w:ascii="Arial" w:cs="Arial" w:eastAsia="Arial" w:hAnsi="Arial"/>
        </w:rPr>
        <w:t xml:space="preserve">M.A.D.I.B.A creates the deployment vehicle: a proven, auditable, constitutionally governed capital architecture backed by documented operational proof from the other three divisions.</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3. THE G.O.D.S SOLUTION — THE COMPOUNDING LOOP</w:t>
      </w:r>
    </w:p>
    <w:p>
      <w:pPr>
        <w:pBdr>
          <w:top w:val="single" w:color="E8E4DA" w:sz="4"/>
          <w:bottom w:val="single" w:color="E8E4DA" w:sz="4"/>
          <w:left w:val="single" w:color="C9A84C" w:sz="12"/>
          <w:right w:val="single" w:color="E8E4DA" w:sz="4"/>
        </w:pBdr>
        <w:spacing w:before="160" w:after="160"/>
      </w:pPr>
      <w:r>
        <w:rPr>
          <w:i/>
          <w:iCs/>
          <w:color w:val="060E1C"/>
          <w:sz w:val="22"/>
          <w:szCs w:val="22"/>
          <w:rFonts w:ascii="Georgia" w:cs="Georgia" w:eastAsia="Georgia" w:hAnsi="Georgia"/>
        </w:rPr>
        <w:t xml:space="preserve">No competitor can replicate the compounding loop without building all four engines simultaneously. The loop cannot be entered from the side — it must be built from the start.</w:t>
      </w:r>
    </w:p>
    <w:p>
      <w:pPr>
        <w:spacing w:before="80" w:after="80"/>
      </w:pPr>
      <w:r>
        <w:rPr>
          <w:color w:val="1A1A2E"/>
          <w:sz w:val="20"/>
          <w:szCs w:val="20"/>
          <w:rFonts w:ascii="Arial" w:cs="Arial" w:eastAsia="Arial" w:hAnsi="Arial"/>
        </w:rPr>
        <w:t xml:space="preserve">G.O.D.S operates through four interdependent divisions forming a closed compounding loop. Each division produces outputs that are inputs to the next. The loop does not merely add value — it multiplies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000"/>
        <w:gridCol w:w="2700"/>
        <w:gridCol w:w="1860"/>
      </w:tblGrid>
      <w:tr>
        <w:tc>
          <w:tcPr>
            <w:tcW w:type="dxa" w:w="1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Division</w:t>
            </w:r>
          </w:p>
        </w:tc>
        <w:tc>
          <w:tcPr>
            <w:tcW w:type="dxa" w:w="30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Function</w:t>
            </w:r>
          </w:p>
        </w:tc>
        <w:tc>
          <w:tcPr>
            <w:tcW w:type="dxa" w:w="27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Feeds Into</w:t>
            </w:r>
          </w:p>
        </w:tc>
        <w:tc>
          <w:tcPr>
            <w:tcW w:type="dxa" w:w="18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 1 Revenue Target</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S.E.T.H.S</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Human capital engine — intake, skills, placement, monitoring</w:t>
            </w:r>
          </w:p>
        </w:tc>
        <w:tc>
          <w:tcPr>
            <w:tcW w:type="dxa" w:w="27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T.S (workforce) + UDOC (outcome data) + M.A.D.I.B.A (impact proof)</w:t>
            </w:r>
          </w:p>
        </w:tc>
        <w:tc>
          <w:tcPr>
            <w:tcW w:type="dxa" w:w="18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R3.95M</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T.S Industries</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Infrastructure production using S.E.T.H.S graduates</w:t>
            </w:r>
          </w:p>
        </w:tc>
        <w:tc>
          <w:tcPr>
            <w:tcW w:type="dxa" w:w="27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UDOC (infrastructure data) + M.A.D.I.B.A (SPV equity)</w:t>
            </w:r>
          </w:p>
        </w:tc>
        <w:tc>
          <w:tcPr>
            <w:tcW w:type="dxa" w:w="18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R0 (Year 1) → R22M (Year 3)</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UDOC</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Sovereign AI governance SaaS + quantum-ready backbone</w:t>
            </w:r>
          </w:p>
        </w:tc>
        <w:tc>
          <w:tcPr>
            <w:tcW w:type="dxa" w:w="27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M.A.D.I.B.A (governance data as capital signal)</w:t>
            </w:r>
          </w:p>
        </w:tc>
        <w:tc>
          <w:tcPr>
            <w:tcW w:type="dxa" w:w="18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R2.2M</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M.A.D.I.B.A</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Capital platform + DFI engagement + sovereign partnerships</w:t>
            </w:r>
          </w:p>
        </w:tc>
        <w:tc>
          <w:tcPr>
            <w:tcW w:type="dxa" w:w="27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S.E.T.H.S (scale funding)</w:t>
            </w:r>
          </w:p>
        </w:tc>
        <w:tc>
          <w:tcPr>
            <w:tcW w:type="dxa" w:w="18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R0.8M advisory</w:t>
            </w:r>
          </w:p>
        </w:tc>
      </w:tr>
    </w:tbl>
    <w:p>
      <w:pPr>
        <w:spacing w:before="160"/>
      </w:pPr>
    </w:p>
    <w:p>
      <w:pPr>
        <w:pStyle w:val="Heading2"/>
        <w:spacing w:before="320" w:after="120"/>
      </w:pPr>
      <w:r>
        <w:rPr>
          <w:b/>
          <w:bCs/>
          <w:color w:val="060E1C"/>
          <w:sz w:val="28"/>
          <w:szCs w:val="28"/>
          <w:rFonts w:ascii="Georgia" w:cs="Georgia" w:eastAsia="Georgia" w:hAnsi="Georgia"/>
        </w:rPr>
        <w:t xml:space="preserve">3.1 HQ-OS — The Quantum Substrate</w:t>
      </w:r>
    </w:p>
    <w:p>
      <w:pPr>
        <w:spacing w:before="80" w:after="80"/>
      </w:pPr>
      <w:r>
        <w:rPr>
          <w:color w:val="1A1A2E"/>
          <w:sz w:val="20"/>
          <w:szCs w:val="20"/>
          <w:rFonts w:ascii="Arial" w:cs="Arial" w:eastAsia="Arial" w:hAnsi="Arial"/>
        </w:rPr>
        <w:t xml:space="preserve">Beneath all four divisions operates HQ-OS (Hybrid Classical + Quantum Operating System) — the post-quantum cryptographic and computational foundation deployed from Phase 1. HQ-OS is quantum-ready from day one: NIST PQC standards (CRYSTALS-Kyber, CRYSTALS-Dilithium) active at deployment, Quantum-Classical Interface middleware dormant pending QPU attachment, all data structures architected for quantum acceleration. This means no architectural rebuild is required when quantum hardware matures.</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4. FINANCIAL SUMMARY &amp; PROJECTIONS</w:t>
      </w:r>
    </w:p>
    <w:p>
      <w:pPr>
        <w:spacing w:before="80" w:after="80"/>
      </w:pPr>
      <w:r>
        <w:rPr>
          <w:color w:val="1A1A2E"/>
          <w:sz w:val="20"/>
          <w:szCs w:val="20"/>
          <w:rFonts w:ascii="Arial" w:cs="Arial" w:eastAsia="Arial" w:hAnsi="Arial"/>
        </w:rPr>
        <w:t xml:space="preserve">All projections are internal planning estimates. Not audited forecasts. Figures are ZAR nominal values.</w:t>
      </w:r>
    </w:p>
    <w:p>
      <w:pPr>
        <w:pStyle w:val="Heading2"/>
        <w:spacing w:before="320" w:after="120"/>
      </w:pPr>
      <w:r>
        <w:rPr>
          <w:b/>
          <w:bCs/>
          <w:color w:val="060E1C"/>
          <w:sz w:val="28"/>
          <w:szCs w:val="28"/>
          <w:rFonts w:ascii="Georgia" w:cs="Georgia" w:eastAsia="Georgia" w:hAnsi="Georgia"/>
        </w:rPr>
        <w:t xml:space="preserve">4.1 Three-Year Consolidated P&amp;L — Base Case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100"/>
        <w:gridCol w:w="2100"/>
        <w:gridCol w:w="2160"/>
      </w:tblGrid>
      <w:tr>
        <w:tc>
          <w:tcPr>
            <w:tcW w:type="dxa" w:w="30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Line Item</w:t>
            </w:r>
          </w:p>
        </w:tc>
        <w:tc>
          <w:tcPr>
            <w:tcW w:type="dxa" w:w="21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 1</w:t>
            </w:r>
          </w:p>
        </w:tc>
        <w:tc>
          <w:tcPr>
            <w:tcW w:type="dxa" w:w="21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 2</w:t>
            </w:r>
          </w:p>
        </w:tc>
        <w:tc>
          <w:tcPr>
            <w:tcW w:type="dxa" w:w="21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 3</w:t>
            </w:r>
          </w:p>
        </w:tc>
      </w:tr>
      <w:tr>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TOTAL REVENUE</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R6.95M</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R32M</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R78M</w:t>
            </w:r>
          </w:p>
        </w:tc>
      </w:tr>
      <w:tr>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S.E.T.H.S Revenue</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R3.95M</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R14M</w:t>
            </w:r>
          </w:p>
        </w:tc>
        <w:tc>
          <w:tcPr>
            <w:tcW w:type="dxa" w:w="2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R28M</w:t>
            </w:r>
          </w:p>
        </w:tc>
      </w:tr>
      <w:tr>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T.S Revenue</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R0</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R8M</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R22M</w:t>
            </w:r>
          </w:p>
        </w:tc>
      </w:tr>
      <w:tr>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UDOC Revenue</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R2.2M</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R7M</w:t>
            </w:r>
          </w:p>
        </w:tc>
        <w:tc>
          <w:tcPr>
            <w:tcW w:type="dxa" w:w="2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R22M</w:t>
            </w:r>
          </w:p>
        </w:tc>
      </w:tr>
      <w:tr>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M.A.D.I.B.A Revenue</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R0.8M</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R3M</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R6M</w:t>
            </w:r>
          </w:p>
        </w:tc>
      </w:tr>
      <w:tr>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TOTAL OPERATING COSTS</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R13.46M</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R22M</w:t>
            </w:r>
          </w:p>
        </w:tc>
        <w:tc>
          <w:tcPr>
            <w:tcW w:type="dxa" w:w="2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R44M</w:t>
            </w:r>
          </w:p>
        </w:tc>
      </w:tr>
      <w:tr>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EBITDA</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-R6.5M</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+R10M</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+R34M</w:t>
            </w:r>
          </w:p>
        </w:tc>
      </w:tr>
      <w:tr>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Capex (infrastructure, tech)</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R2M</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R8M</w:t>
            </w:r>
          </w:p>
        </w:tc>
        <w:tc>
          <w:tcPr>
            <w:tcW w:type="dxa" w:w="2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R18M</w:t>
            </w:r>
          </w:p>
        </w:tc>
      </w:tr>
      <w:tr>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FREE CASH FLOW</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-R8.5M</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+R2M</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+R16M</w:t>
            </w:r>
          </w:p>
        </w:tc>
      </w:tr>
      <w:tr>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Cumulative Cash Position (with funding)</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R5.5M</w:t>
            </w:r>
          </w:p>
        </w:tc>
        <w:tc>
          <w:tcPr>
            <w:tcW w:type="dxa" w:w="21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R7.5M</w:t>
            </w:r>
          </w:p>
        </w:tc>
        <w:tc>
          <w:tcPr>
            <w:tcW w:type="dxa" w:w="2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R23.5M</w:t>
            </w:r>
          </w:p>
        </w:tc>
      </w:tr>
      <w:tr>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Headcount (FTEs)</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18</w:t>
            </w:r>
          </w:p>
        </w:tc>
        <w:tc>
          <w:tcPr>
            <w:tcW w:type="dxa" w:w="21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45</w:t>
            </w:r>
          </w:p>
        </w:tc>
        <w:tc>
          <w:tcPr>
            <w:tcW w:type="dxa" w:w="2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95</w:t>
            </w:r>
          </w:p>
        </w:tc>
      </w:tr>
    </w:tbl>
    <w:p>
      <w:pPr>
        <w:spacing w:before="160"/>
      </w:pPr>
    </w:p>
    <w:p>
      <w:pPr>
        <w:pStyle w:val="Heading2"/>
        <w:spacing w:before="320" w:after="120"/>
      </w:pPr>
      <w:r>
        <w:rPr>
          <w:b/>
          <w:bCs/>
          <w:color w:val="060E1C"/>
          <w:sz w:val="28"/>
          <w:szCs w:val="28"/>
          <w:rFonts w:ascii="Georgia" w:cs="Georgia" w:eastAsia="Georgia" w:hAnsi="Georgia"/>
        </w:rPr>
        <w:t xml:space="preserve">4.2 25-Year Scenario Projections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520"/>
        <w:gridCol w:w="2520"/>
        <w:gridCol w:w="2520"/>
      </w:tblGrid>
      <w:tr>
        <w:tc>
          <w:tcPr>
            <w:tcW w:type="dxa" w:w="18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Year</w:t>
            </w:r>
          </w:p>
        </w:tc>
        <w:tc>
          <w:tcPr>
            <w:tcW w:type="dxa" w:w="252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Conservative Revenue</w:t>
            </w:r>
          </w:p>
        </w:tc>
        <w:tc>
          <w:tcPr>
            <w:tcW w:type="dxa" w:w="252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Base Case Revenue</w:t>
            </w:r>
          </w:p>
        </w:tc>
        <w:tc>
          <w:tcPr>
            <w:tcW w:type="dxa" w:w="252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Optimistic Revenue</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Year 1</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R7M</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R12M</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R18M</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Year 3</w:t>
            </w:r>
          </w:p>
        </w:tc>
        <w:tc>
          <w:tcPr>
            <w:tcW w:type="dxa" w:w="25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R55M</w:t>
            </w:r>
          </w:p>
        </w:tc>
        <w:tc>
          <w:tcPr>
            <w:tcW w:type="dxa" w:w="25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R78M</w:t>
            </w:r>
          </w:p>
        </w:tc>
        <w:tc>
          <w:tcPr>
            <w:tcW w:type="dxa" w:w="25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R120M</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Year 5</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R280M</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R450M</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R750M</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Year 7</w:t>
            </w:r>
          </w:p>
        </w:tc>
        <w:tc>
          <w:tcPr>
            <w:tcW w:type="dxa" w:w="25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R850M</w:t>
            </w:r>
          </w:p>
        </w:tc>
        <w:tc>
          <w:tcPr>
            <w:tcW w:type="dxa" w:w="25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R1.2B</w:t>
            </w:r>
          </w:p>
        </w:tc>
        <w:tc>
          <w:tcPr>
            <w:tcW w:type="dxa" w:w="25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R2.1B</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Year 10</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R1.8B</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R3.5B</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R6.2B</w:t>
            </w:r>
          </w:p>
        </w:tc>
      </w:tr>
      <w:tr>
        <w:tc>
          <w:tcPr>
            <w:tcW w:type="dxa" w:w="18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Year 15</w:t>
            </w:r>
          </w:p>
        </w:tc>
        <w:tc>
          <w:tcPr>
            <w:tcW w:type="dxa" w:w="25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R5.2B</w:t>
            </w:r>
          </w:p>
        </w:tc>
        <w:tc>
          <w:tcPr>
            <w:tcW w:type="dxa" w:w="25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R11B</w:t>
            </w:r>
          </w:p>
        </w:tc>
        <w:tc>
          <w:tcPr>
            <w:tcW w:type="dxa" w:w="252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R22B</w:t>
            </w:r>
          </w:p>
        </w:tc>
      </w:tr>
      <w:tr>
        <w:tc>
          <w:tcPr>
            <w:tcW w:type="dxa" w:w="18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Year 25</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R25B</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R60B</w:t>
            </w:r>
          </w:p>
        </w:tc>
        <w:tc>
          <w:tcPr>
            <w:tcW w:type="dxa" w:w="252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R140B</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5. USE OF SERIES A PROCEEDS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200"/>
        <w:gridCol w:w="5760"/>
      </w:tblGrid>
      <w:tr>
        <w:tc>
          <w:tcPr>
            <w:tcW w:type="dxa" w:w="24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Allocation</w:t>
            </w:r>
          </w:p>
        </w:tc>
        <w:tc>
          <w:tcPr>
            <w:tcW w:type="dxa" w:w="1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Amount</w:t>
            </w:r>
          </w:p>
        </w:tc>
        <w:tc>
          <w:tcPr>
            <w:tcW w:type="dxa" w:w="57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Expected Outcome by Month 24</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S.E.T.H.S Scale: 50 → 500 participants</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R12M</w:t>
            </w:r>
          </w:p>
        </w:tc>
        <w:tc>
          <w:tcPr>
            <w:tcW w:type="dxa" w:w="5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Government master contract. 350+ placements/year. R15M+ ARR by Year 3.</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UDOC Commercial Launch: 3 → 15 enterprise clients</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R8M</w:t>
            </w:r>
          </w:p>
        </w:tc>
        <w:tc>
          <w:tcPr>
            <w:tcW w:type="dxa" w:w="57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R15M ARR by Year 3. Government pilot contract by Year 2.</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T.S First SPV Equity (energy + housing)</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R20M</w:t>
            </w:r>
          </w:p>
        </w:tc>
        <w:tc>
          <w:tcPr>
            <w:tcW w:type="dxa" w:w="5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First R200M+ infrastructure SPV. T.S Energy first REIPP contract.</w:t>
            </w:r>
          </w:p>
        </w:tc>
      </w:tr>
      <w:tr>
        <w:tc>
          <w:tcPr>
            <w:tcW w:type="dxa" w:w="24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Holdings Team &amp; Working Capital</w:t>
            </w:r>
          </w:p>
        </w:tc>
        <w:tc>
          <w:tcPr>
            <w:tcW w:type="dxa" w:w="1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R10M</w:t>
            </w:r>
          </w:p>
        </w:tc>
        <w:tc>
          <w:tcPr>
            <w:tcW w:type="dxa" w:w="57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Full Holdings executive team. 24-month operating reserve.</w:t>
            </w:r>
          </w:p>
        </w:tc>
      </w:tr>
      <w:tr>
        <w:tc>
          <w:tcPr>
            <w:tcW w:type="dxa" w:w="24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TOTAL</w:t>
            </w:r>
          </w:p>
        </w:tc>
        <w:tc>
          <w:tcPr>
            <w:tcW w:type="dxa" w:w="1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R50M (midpoint)</w:t>
            </w:r>
          </w:p>
        </w:tc>
        <w:tc>
          <w:tcPr>
            <w:tcW w:type="dxa" w:w="57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System operational at scale. Series B pathway documented.</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6. CONSTITUTIONAL GOVERNANCE ARCHITECTURE</w:t>
      </w:r>
    </w:p>
    <w:p>
      <w:pPr>
        <w:spacing w:before="80" w:after="80"/>
      </w:pPr>
      <w:r>
        <w:rPr>
          <w:color w:val="1A1A2E"/>
          <w:sz w:val="20"/>
          <w:szCs w:val="20"/>
          <w:rFonts w:ascii="Arial" w:cs="Arial" w:eastAsia="Arial" w:hAnsi="Arial"/>
        </w:rPr>
        <w:t xml:space="preserve">G.O.D.S governance architecture is designed to give institutional investors confidence that commercial participation does not come with mission corruption risk — and that the systems protecting investor value are structurally embedded, not contractually asserted.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3960"/>
      </w:tblGrid>
      <w:tr>
        <w:tc>
          <w:tcPr>
            <w:tcW w:type="dxa" w:w="2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Governance Element</w:t>
            </w:r>
          </w:p>
        </w:tc>
        <w:tc>
          <w:tcPr>
            <w:tcW w:type="dxa" w:w="3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Structure</w:t>
            </w:r>
          </w:p>
        </w:tc>
        <w:tc>
          <w:tcPr>
            <w:tcW w:type="dxa" w:w="39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Investor Benefit</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G.O.D.S IP Trust</w:t>
            </w:r>
          </w:p>
        </w:tc>
        <w:tc>
          <w:tcPr>
            <w:tcW w:type="dxa" w:w="3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Holds all Class A shares and IP in perpetual trust. Cannot be acquired, wound up, or sold.</w:t>
            </w:r>
          </w:p>
        </w:tc>
        <w:tc>
          <w:tcPr>
            <w:tcW w:type="dxa" w:w="39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Prevents mission drift that would damage government relationships and long-term value.</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Class A Shares</w:t>
            </w:r>
          </w:p>
        </w:tc>
        <w:tc>
          <w:tcPr>
            <w:tcW w:type="dxa" w:w="3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10 votes per share. Held by IP Trust only. Cannot be sold or transferred.</w:t>
            </w:r>
          </w:p>
        </w:tc>
        <w:tc>
          <w:tcPr>
            <w:tcW w:type="dxa" w:w="39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Investors cannot be used to override the system architecture that generates value.</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Constitutional Oversight Board</w:t>
            </w:r>
          </w:p>
        </w:tc>
        <w:tc>
          <w:tcPr>
            <w:tcW w:type="dxa" w:w="3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5–9 independent members. Binding authority on constitutional compliance. Quarterly review.</w:t>
            </w:r>
          </w:p>
        </w:tc>
        <w:tc>
          <w:tcPr>
            <w:tcW w:type="dxa" w:w="39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Independent governance check prevents reputational risk from constitutional violations.</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Founder Constraint (Pillar VII)</w:t>
            </w:r>
          </w:p>
        </w:tc>
        <w:tc>
          <w:tcPr>
            <w:tcW w:type="dxa" w:w="3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Founder can be removed from operations by unanimous COB vote if Pillars are violated.</w:t>
            </w:r>
          </w:p>
        </w:tc>
        <w:tc>
          <w:tcPr>
            <w:tcW w:type="dxa" w:w="39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Prevents founder-risk concentration. System survives any single individual.</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Anti-Capture (Pillar VII)</w:t>
            </w:r>
          </w:p>
        </w:tc>
        <w:tc>
          <w:tcPr>
            <w:tcW w:type="dxa" w:w="3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No single investor &gt;20% without COB approval. Reserved matters require supermajority.</w:t>
            </w:r>
          </w:p>
        </w:tc>
        <w:tc>
          <w:tcPr>
            <w:tcW w:type="dxa" w:w="39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Protects against hostile capture and mission compromise.</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Annual Audit</w:t>
            </w:r>
          </w:p>
        </w:tc>
        <w:tc>
          <w:tcPr>
            <w:tcW w:type="dxa" w:w="3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Big 4 audit firm engaged from Day 1. Annual compliance certificate from COB.</w:t>
            </w:r>
          </w:p>
        </w:tc>
        <w:tc>
          <w:tcPr>
            <w:tcW w:type="dxa" w:w="39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Investor-grade financial transparency with constitutional compliance documentation.</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7. COMPETITIVE POSITIONING &amp; STRUCTURAL MOAT</w:t>
      </w:r>
    </w:p>
    <w:p>
      <w:pPr>
        <w:pBdr>
          <w:top w:val="single" w:color="E8E4DA" w:sz="4"/>
          <w:bottom w:val="single" w:color="E8E4DA" w:sz="4"/>
          <w:left w:val="single" w:color="C9A84C" w:sz="12"/>
          <w:right w:val="single" w:color="E8E4DA" w:sz="4"/>
        </w:pBdr>
        <w:spacing w:before="160" w:after="160"/>
      </w:pPr>
      <w:r>
        <w:rPr>
          <w:i/>
          <w:iCs/>
          <w:color w:val="060E1C"/>
          <w:sz w:val="22"/>
          <w:szCs w:val="22"/>
          <w:rFonts w:ascii="Georgia" w:cs="Georgia" w:eastAsia="Georgia" w:hAnsi="Georgia"/>
        </w:rPr>
        <w:t xml:space="preserve">G.O.D.S is a new category. There is no direct competitor — no company that simultaneously operates workforce reintegration, physical infrastructure production, AI governance SaaS, and institutional capital architecture in an integrated compounding loop.</w:t>
      </w:r>
    </w:p>
    <w:p>
      <w:pPr>
        <w:spacing w:before="80" w:after="80"/>
      </w:pPr>
      <w:r>
        <w:rPr>
          <w:color w:val="1A1A2E"/>
          <w:sz w:val="20"/>
          <w:szCs w:val="20"/>
          <w:rFonts w:ascii="Arial" w:cs="Arial" w:eastAsia="Arial" w:hAnsi="Arial"/>
        </w:rPr>
        <w:t xml:space="preserve">The moat is not technology patents, market share, or brand. The moat is the integration itself.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000"/>
        <w:gridCol w:w="4160"/>
      </w:tblGrid>
      <w:tr>
        <w:tc>
          <w:tcPr>
            <w:tcW w:type="dxa" w:w="22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Dimension</w:t>
            </w:r>
          </w:p>
        </w:tc>
        <w:tc>
          <w:tcPr>
            <w:tcW w:type="dxa" w:w="300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Existing Organisations</w:t>
            </w:r>
          </w:p>
        </w:tc>
        <w:tc>
          <w:tcPr>
            <w:tcW w:type="dxa" w:w="4160"/>
            <w:tcBorders>
              <w:top w:val="single" w:color="C9A84C" w:sz="6"/>
              <w:left w:val="single" w:color="C9A84C" w:sz="6"/>
              <w:bottom w:val="single" w:color="C9A84C" w:sz="6"/>
              <w:right w:val="single" w:color="C9A84C" w:sz="6"/>
            </w:tcBorders>
            <w:shd w:fill="060E1C" w:val="clear"/>
            <w:tcMar>
              <w:top w:type="dxa" w:w="80"/>
              <w:left w:type="dxa" w:w="120"/>
              <w:bottom w:type="dxa" w:w="80"/>
              <w:right w:type="dxa" w:w="120"/>
            </w:tcMar>
          </w:tcPr>
          <w:p>
            <w:r>
              <w:rPr>
                <w:b/>
                <w:bCs/>
                <w:color w:val="C9A84C"/>
                <w:sz w:val="18"/>
                <w:szCs w:val="18"/>
                <w:rFonts w:ascii="Arial" w:cs="Arial" w:eastAsia="Arial" w:hAnsi="Arial"/>
              </w:rPr>
              <w:t xml:space="preserve">G.O.D.S Position</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Workforce Reintegration</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NGOs, government programmes (siloed, unfunded, unscaled)</w:t>
            </w:r>
          </w:p>
        </w:tc>
        <w:tc>
          <w:tcPr>
            <w:tcW w:type="dxa" w:w="4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Integrated into capital-generating compounding loop</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Infrastructure Build</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Contractors (no workforce link, no governance integration)</w:t>
            </w:r>
          </w:p>
        </w:tc>
        <w:tc>
          <w:tcPr>
            <w:tcW w:type="dxa" w:w="4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Built by trained workforce; compounding; constitutional</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AI Governance</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Palantir, US/EU SaaS tools (foreign jurisdiction, no sovereignty)</w:t>
            </w:r>
          </w:p>
        </w:tc>
        <w:tc>
          <w:tcPr>
            <w:tcW w:type="dxa" w:w="4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Sovereign-first, African-built, government-deployable, constitutional-grade</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Capital Deployment</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BlackRock, DFIs (external, single-function, no operational integration)</w:t>
            </w:r>
          </w:p>
        </w:tc>
        <w:tc>
          <w:tcPr>
            <w:tcW w:type="dxa" w:w="4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Internal capital architecture with SPV co-governance structure</w:t>
            </w:r>
          </w:p>
        </w:tc>
      </w:tr>
      <w:tr>
        <w:tc>
          <w:tcPr>
            <w:tcW w:type="dxa" w:w="22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System Integration</w:t>
            </w:r>
          </w:p>
        </w:tc>
        <w:tc>
          <w:tcPr>
            <w:tcW w:type="dxa" w:w="300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None — each function separate, no compounding loop</w:t>
            </w:r>
          </w:p>
        </w:tc>
        <w:tc>
          <w:tcPr>
            <w:tcW w:type="dxa" w:w="4160"/>
            <w:tcBorders>
              <w:top w:val="single" w:color="D4D4D4" w:sz="4"/>
              <w:left w:val="single" w:color="D4D4D4" w:sz="4"/>
              <w:bottom w:val="single" w:color="D4D4D4" w:sz="4"/>
              <w:right w:val="single" w:color="D4D4D4" w:sz="4"/>
            </w:tcBorders>
            <w:shd w:fill="F9F7F2" w:val="clear"/>
            <w:tcMar>
              <w:top w:type="dxa" w:w="80"/>
              <w:left w:type="dxa" w:w="120"/>
              <w:bottom w:type="dxa" w:w="80"/>
              <w:right w:type="dxa" w:w="120"/>
            </w:tcMar>
          </w:tcPr>
          <w:p>
            <w:r>
              <w:rPr>
                <w:color w:val="1A1A2E"/>
                <w:sz w:val="18"/>
                <w:szCs w:val="18"/>
                <w:rFonts w:ascii="Arial" w:cs="Arial" w:eastAsia="Arial" w:hAnsi="Arial"/>
              </w:rPr>
              <w:t xml:space="preserve">Single closed compounding loop; structural moat by design</w:t>
            </w:r>
          </w:p>
        </w:tc>
      </w:tr>
      <w:tr>
        <w:tc>
          <w:tcPr>
            <w:tcW w:type="dxa" w:w="22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Quantum Readiness</w:t>
            </w:r>
          </w:p>
        </w:tc>
        <w:tc>
          <w:tcPr>
            <w:tcW w:type="dxa" w:w="300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Classical-only competitors (migration liability)</w:t>
            </w:r>
          </w:p>
        </w:tc>
        <w:tc>
          <w:tcPr>
            <w:tcW w:type="dxa" w:w="4160"/>
            <w:tcBorders>
              <w:top w:val="single" w:color="D4D4D4" w:sz="4"/>
              <w:left w:val="single" w:color="D4D4D4" w:sz="4"/>
              <w:bottom w:val="single" w:color="D4D4D4" w:sz="4"/>
              <w:right w:val="single" w:color="D4D4D4" w:sz="4"/>
            </w:tcBorders>
            <w:shd w:fill="FFFFFF" w:val="clear"/>
            <w:tcMar>
              <w:top w:type="dxa" w:w="80"/>
              <w:left w:type="dxa" w:w="120"/>
              <w:bottom w:type="dxa" w:w="80"/>
              <w:right w:type="dxa" w:w="120"/>
            </w:tcMar>
          </w:tcPr>
          <w:p>
            <w:r>
              <w:rPr>
                <w:color w:val="1A1A2E"/>
                <w:sz w:val="18"/>
                <w:szCs w:val="18"/>
                <w:rFonts w:ascii="Arial" w:cs="Arial" w:eastAsia="Arial" w:hAnsi="Arial"/>
              </w:rPr>
              <w:t xml:space="preserve">HQ-OS quantum-ready from Day 1; no architectural rebuild required</w:t>
            </w:r>
          </w:p>
        </w:tc>
      </w:tr>
    </w:tbl>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8. WHY NOW — MARKET TIMING</w:t>
      </w:r>
    </w:p>
    <w:p>
      <w:pPr>
        <w:pStyle w:val="ListParagraph"/>
        <w:numPr>
          <w:ilvl w:val="0"/>
          <w:numId w:val="2"/>
        </w:numPr>
        <w:spacing w:before="40" w:after="40"/>
      </w:pPr>
      <w:r>
        <w:rPr>
          <w:b w:val="false"/>
          <w:bCs w:val="false"/>
          <w:color w:val="1A1A2E"/>
          <w:sz w:val="20"/>
          <w:szCs w:val="20"/>
          <w:rFonts w:ascii="Arial" w:cs="Arial" w:eastAsia="Arial" w:hAnsi="Arial"/>
        </w:rPr>
        <w:t xml:space="preserve">EU AI Act enforcement began 2026 — South African regulated industries face mandatory AI governance compliance with no existing local solution.</w:t>
      </w:r>
    </w:p>
    <w:p>
      <w:pPr>
        <w:pStyle w:val="ListParagraph"/>
        <w:numPr>
          <w:ilvl w:val="0"/>
          <w:numId w:val="2"/>
        </w:numPr>
        <w:spacing w:before="40" w:after="40"/>
      </w:pPr>
      <w:r>
        <w:rPr>
          <w:b w:val="false"/>
          <w:bCs w:val="false"/>
          <w:color w:val="1A1A2E"/>
          <w:sz w:val="20"/>
          <w:szCs w:val="20"/>
          <w:rFonts w:ascii="Arial" w:cs="Arial" w:eastAsia="Arial" w:hAnsi="Arial"/>
        </w:rPr>
        <w:t xml:space="preserve">NIST PQC standards finalised August 2024 — organisations building quantum-resistant infrastructure now avoid forced migration at crisis point.</w:t>
      </w:r>
    </w:p>
    <w:p>
      <w:pPr>
        <w:pStyle w:val="ListParagraph"/>
        <w:numPr>
          <w:ilvl w:val="0"/>
          <w:numId w:val="2"/>
        </w:numPr>
        <w:spacing w:before="40" w:after="40"/>
      </w:pPr>
      <w:r>
        <w:rPr>
          <w:b w:val="false"/>
          <w:bCs w:val="false"/>
          <w:color w:val="1A1A2E"/>
          <w:sz w:val="20"/>
          <w:szCs w:val="20"/>
          <w:rFonts w:ascii="Arial" w:cs="Arial" w:eastAsia="Arial" w:hAnsi="Arial"/>
        </w:rPr>
        <w:t xml:space="preserve">REIPP Round 7 approved — R200B renewable energy pipeline requires workforce that does not currently exist at scale.</w:t>
      </w:r>
    </w:p>
    <w:p>
      <w:pPr>
        <w:pStyle w:val="ListParagraph"/>
        <w:numPr>
          <w:ilvl w:val="0"/>
          <w:numId w:val="2"/>
        </w:numPr>
        <w:spacing w:before="40" w:after="40"/>
      </w:pPr>
      <w:r>
        <w:rPr>
          <w:b w:val="false"/>
          <w:bCs w:val="false"/>
          <w:color w:val="1A1A2E"/>
          <w:sz w:val="20"/>
          <w:szCs w:val="20"/>
          <w:rFonts w:ascii="Arial" w:cs="Arial" w:eastAsia="Arial" w:hAnsi="Arial"/>
        </w:rPr>
        <w:t xml:space="preserve">AU-Google sovereign AI partnership signed February 2026 — digital sovereignty is a government budget line, funded through national security appropriations.</w:t>
      </w:r>
    </w:p>
    <w:p>
      <w:pPr>
        <w:pStyle w:val="ListParagraph"/>
        <w:numPr>
          <w:ilvl w:val="0"/>
          <w:numId w:val="2"/>
        </w:numPr>
        <w:spacing w:before="40" w:after="40"/>
      </w:pPr>
      <w:r>
        <w:rPr>
          <w:b w:val="false"/>
          <w:bCs w:val="false"/>
          <w:color w:val="1A1A2E"/>
          <w:sz w:val="20"/>
          <w:szCs w:val="20"/>
          <w:rFonts w:ascii="Arial" w:cs="Arial" w:eastAsia="Arial" w:hAnsi="Arial"/>
        </w:rPr>
        <w:t xml:space="preserve">Stage One proof will be complete — Series A deploys capital into a proven system, not a startup hypothesis.</w:t>
      </w:r>
    </w:p>
    <w:p>
      <w:pPr>
        <w:pStyle w:val="ListParagraph"/>
        <w:numPr>
          <w:ilvl w:val="0"/>
          <w:numId w:val="2"/>
        </w:numPr>
        <w:spacing w:before="40" w:after="40"/>
      </w:pPr>
      <w:r>
        <w:rPr>
          <w:b w:val="false"/>
          <w:bCs w:val="false"/>
          <w:color w:val="1A1A2E"/>
          <w:sz w:val="20"/>
          <w:szCs w:val="20"/>
          <w:rFonts w:ascii="Arial" w:cs="Arial" w:eastAsia="Arial" w:hAnsi="Arial"/>
        </w:rPr>
        <w:t xml:space="preserve">DFI capital availability is at historic high — DBSA, IDC, AfDB, Afreximbank all in active deployment mandate.</w:t>
      </w:r>
    </w:p>
    <w:p>
      <w:pPr>
        <w:pStyle w:val="ListParagraph"/>
        <w:numPr>
          <w:ilvl w:val="0"/>
          <w:numId w:val="2"/>
        </w:numPr>
        <w:spacing w:before="40" w:after="40"/>
      </w:pPr>
      <w:r>
        <w:rPr>
          <w:b w:val="false"/>
          <w:bCs w:val="false"/>
          <w:color w:val="1A1A2E"/>
          <w:sz w:val="20"/>
          <w:szCs w:val="20"/>
          <w:rFonts w:ascii="Arial" w:cs="Arial" w:eastAsia="Arial" w:hAnsi="Arial"/>
        </w:rPr>
        <w:t xml:space="preserve">South Africa's demographic pressure window demands intervention now — not in a decade.</w:t>
      </w:r>
    </w:p>
    <w:p>
      <w:r>
        <w:br w:type="page"/>
      </w:r>
    </w:p>
    <w:p>
      <w:pPr>
        <w:pStyle w:val="Heading1"/>
        <w:pBdr>
          <w:bottom w:val="single" w:color="C9A84C" w:sz="6"/>
        </w:pBdr>
        <w:spacing w:before="320" w:after="120"/>
      </w:pPr>
      <w:r>
        <w:rPr>
          <w:b/>
          <w:bCs/>
          <w:color w:val="C9A84C"/>
          <w:sz w:val="34"/>
          <w:szCs w:val="34"/>
          <w:rFonts w:ascii="Georgia" w:cs="Georgia" w:eastAsia="Georgia" w:hAnsi="Georgia"/>
        </w:rPr>
        <w:t xml:space="preserve">9. INVESTMENT THESIS</w:t>
      </w:r>
    </w:p>
    <w:p>
      <w:pPr>
        <w:spacing w:before="80" w:after="80"/>
      </w:pPr>
      <w:r>
        <w:rPr>
          <w:color w:val="1A1A2E"/>
          <w:sz w:val="20"/>
          <w:szCs w:val="20"/>
          <w:rFonts w:ascii="Arial" w:cs="Arial" w:eastAsia="Arial" w:hAnsi="Arial"/>
        </w:rPr>
        <w:t xml:space="preserve">The G.O.D.S Series A offers institutional investors a rare combination: near-term commercial revenue from three defensible product lines, compounding long-term equity appreciation through an integrated architecture no competitor can replicate, constitutional governance protecting the mission integrity on which commercial value depends, and impact-adjusted returns from one of the highest-demand emerging market infrastructure plays of the decade.</w:t>
      </w:r>
    </w:p>
    <w:p>
      <w:pPr>
        <w:spacing w:before="80" w:after="80"/>
      </w:pPr>
      <w:r>
        <w:rPr>
          <w:color w:val="1A1A2E"/>
          <w:sz w:val="20"/>
          <w:szCs w:val="20"/>
          <w:rFonts w:ascii="Arial" w:cs="Arial" w:eastAsia="Arial" w:hAnsi="Arial"/>
        </w:rPr>
        <w:t xml:space="preserve">Investors are not funding a vision. They are funding the scale-up of a proven system — entering after Stage One proof, before the institutional credibility that would render entry valuations prohibitive.</w:t>
      </w:r>
    </w:p>
    <w:p>
      <w:pPr>
        <w:pBdr>
          <w:bottom w:val="single" w:color="C9A84C" w:sz="6"/>
        </w:pBdr>
        <w:spacing w:before="160" w:after="160"/>
      </w:pPr>
    </w:p>
    <w:p>
      <w:pPr>
        <w:spacing w:before="160" w:after="80"/>
        <w:jc w:val="center"/>
      </w:pPr>
      <w:r>
        <w:rPr>
          <w:color w:val="8A8A9A"/>
          <w:sz w:val="18"/>
          <w:szCs w:val="18"/>
          <w:rFonts w:ascii="Arial" w:cs="Arial" w:eastAsia="Arial" w:hAnsi="Arial"/>
        </w:rPr>
        <w:t xml:space="preserve">G.O.D.S Holdings (Pty) Ltd | Johannesburg, South Africa | March 2026</w:t>
      </w:r>
    </w:p>
    <w:p>
      <w:pPr>
        <w:jc w:val="center"/>
      </w:pPr>
      <w:r>
        <w:rPr>
          <w:color w:val="8A8A9A"/>
          <w:sz w:val="18"/>
          <w:szCs w:val="18"/>
          <w:rFonts w:ascii="Arial" w:cs="Arial" w:eastAsia="Arial" w:hAnsi="Arial"/>
        </w:rPr>
        <w:t xml:space="preserve">Sashin J. Singh — Founder &amp; Systems Architect | info@gods.systems | www.gods.systems</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jc w:val="center"/>
    </w:pPr>
    <w:r>
      <w:rPr>
        <w:color w:val="8A8A9A"/>
        <w:sz w:val="14"/>
        <w:szCs w:val="14"/>
        <w:rFonts w:ascii="Arial" w:cs="Arial" w:eastAsia="Arial" w:hAnsi="Arial"/>
      </w:rPr>
      <w:t xml:space="preserve">CONFIDENTIAL — NOT FOR DISTRIBUTION WITHOUT FOUNDER APPROVAL  |  © 2026 G.O.D.S Holdings (Pty)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pBdr>
    </w:pPr>
    <w:r>
      <w:rPr>
        <w:color w:val="8A8A9A"/>
        <w:sz w:val="16"/>
        <w:szCs w:val="16"/>
        <w:rFonts w:ascii="Arial" w:cs="Arial" w:eastAsia="Arial" w:hAnsi="Arial"/>
      </w:rPr>
      <w:t xml:space="preserve">G.O.D.S Holdings (Pty) Ltd  |  Executive Investment Memorandum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0"/>
        <w:szCs w:val="20"/>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20"/>
      <w:outlineLvl w:val="0"/>
    </w:pPr>
    <w:rPr>
      <w:b/>
      <w:bCs/>
      <w:color w:val="C9A84C"/>
      <w:sz w:val="34"/>
      <w:szCs w:val="34"/>
      <w:rFonts w:ascii="Georgia" w:cs="Georgia" w:eastAsia="Georgia" w:hAnsi="Georgia"/>
    </w:rPr>
  </w:style>
  <w:style w:type="paragraph" w:styleId="Heading2">
    <w:name w:val="Heading 2"/>
    <w:basedOn w:val="Normal"/>
    <w:next w:val="Normal"/>
    <w:qFormat/>
    <w:pPr>
      <w:spacing w:before="240" w:after="100"/>
      <w:outlineLvl w:val="1"/>
    </w:pPr>
    <w:rPr>
      <w:b/>
      <w:bCs/>
      <w:color w:val="060E1C"/>
      <w:sz w:val="28"/>
      <w:szCs w:val="28"/>
      <w:rFonts w:ascii="Georgia" w:cs="Georgia" w:eastAsia="Georgia" w:hAnsi="Georgia"/>
    </w:rPr>
  </w:style>
  <w:style w:type="paragraph" w:styleId="Heading3">
    <w:name w:val="Heading 3"/>
    <w:basedOn w:val="Normal"/>
    <w:next w:val="Normal"/>
    <w:qFormat/>
    <w:pPr>
      <w:spacing w:before="160" w:after="80"/>
      <w:outlineLvl w:val="2"/>
    </w:pPr>
    <w:rPr>
      <w:b/>
      <w:bCs/>
      <w:color w:val="333355"/>
      <w:sz w:val="22"/>
      <w:szCs w:val="22"/>
      <w:rFonts w:ascii="Arial" w:cs="Arial" w:eastAsia="Arial" w:hAnsi="Arial"/>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2026-04-12T22:14:39.401Z</dcterms:created>
  <dcterms:modified xsi:type="dcterms:W3CDTF">2026-04-12T22:14:39.402Z</dcterms:modified>
</cp:coreProperties>
</file>

<file path=docProps/custom.xml><?xml version="1.0" encoding="utf-8"?>
<Properties xmlns="http://schemas.openxmlformats.org/officeDocument/2006/custom-properties" xmlns:vt="http://schemas.openxmlformats.org/officeDocument/2006/docPropsVTypes"/>
</file>