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FINANCIAL ARCHITECTURE PAPER</w:t>
      </w:r>
    </w:p>
    <w:p>
      <w:pPr>
        <w:spacing w:before="0" w:after="80"/>
        <w:jc w:val="center"/>
      </w:pPr>
      <w:r>
        <w:rPr>
          <w:rFonts w:ascii="Arial" w:cs="Arial" w:eastAsia="Arial" w:hAnsi="Arial"/>
          <w:b/>
          <w:bCs/>
          <w:color w:val="1A1A2E"/>
          <w:sz w:val="26"/>
          <w:szCs w:val="26"/>
        </w:rPr>
        <w:t xml:space="preserve">Capital Structure · Revenue Architecture · Funding Model · Long-Horizon Financial Strategy</w:t>
      </w:r>
    </w:p>
    <w:p>
      <w:pPr>
        <w:spacing w:before="0" w:after="120"/>
        <w:jc w:val="center"/>
      </w:pPr>
      <w:r>
        <w:rPr>
          <w:rFonts w:ascii="Arial" w:cs="Arial" w:eastAsia="Arial" w:hAnsi="Arial"/>
          <w:color w:val="888888"/>
          <w:sz w:val="20"/>
          <w:szCs w:val="20"/>
        </w:rPr>
        <w:t xml:space="preserve">The Financial Constitution of G.O.D.S Holdings — For Institutional Due Diligence</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Sashin J. Singh — Founder &amp; Architect | G.O.D.S Holdings | 2026</w:t>
      </w:r>
    </w:p>
    <w:p>
      <w:r>
        <w:br w:type="page"/>
      </w:r>
    </w:p>
    <w:p>
      <w:pPr>
        <w:spacing w:before="400" w:after="160"/>
      </w:pPr>
      <w:r>
        <w:rPr>
          <w:rFonts w:ascii="Arial" w:cs="Arial" w:eastAsia="Arial" w:hAnsi="Arial"/>
          <w:b/>
          <w:bCs/>
          <w:color w:val="0A0A0A"/>
          <w:sz w:val="36"/>
          <w:szCs w:val="36"/>
        </w:rPr>
        <w:t xml:space="preserve">PART ONE — THE FINANCIAL PHILOSOPHY</w:t>
      </w:r>
    </w:p>
    <w:p>
      <w:pPr>
        <w:pBdr>
          <w:bottom w:val="single" w:color="C9A84C" w:sz="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Three Financial Principles That Govern G.O.D.S</w:t>
            </w:r>
          </w:p>
          <w:p>
            <w:pPr>
              <w:spacing w:before="80" w:after="80"/>
            </w:pPr>
            <w:r>
              <w:t xml:space="preserve"/>
            </w:r>
          </w:p>
          <w:p>
            <w:pPr>
              <w:spacing w:before="200" w:after="80"/>
            </w:pPr>
            <w:r>
              <w:rPr>
                <w:rFonts w:ascii="Arial" w:cs="Arial" w:eastAsia="Arial" w:hAnsi="Arial"/>
                <w:b/>
                <w:bCs/>
                <w:color w:val="C9A84C"/>
                <w:sz w:val="24"/>
                <w:szCs w:val="24"/>
              </w:rPr>
              <w:t xml:space="preserve">Principle 1: Revenue Before Dependence</w:t>
            </w:r>
          </w:p>
          <w:p>
            <w:pPr>
              <w:spacing w:before="80" w:after="80"/>
            </w:pPr>
            <w:r>
              <w:rPr>
                <w:rFonts w:ascii="Arial" w:cs="Arial" w:eastAsia="Arial" w:hAnsi="Arial"/>
                <w:b w:val="false"/>
                <w:bCs w:val="false"/>
                <w:color w:val="111111"/>
                <w:sz w:val="22"/>
                <w:szCs w:val="22"/>
              </w:rPr>
              <w:t xml:space="preserve">G.O.D.S is designed to generate revenue from its first year of operation. The system does not depend on grant funding or philanthropic capital to function. Government contracts (S.E.T.H.S), enterprise SaaS subscriptions (UDOC), and infrastructure contracts (T.S) are all commercial revenue streams. Philanthropic or concessional capital may supplement growth — it does not sustain operations.</w:t>
            </w:r>
          </w:p>
          <w:p>
            <w:pPr>
              <w:spacing w:before="80" w:after="80"/>
            </w:pPr>
            <w:r>
              <w:t xml:space="preserve"/>
            </w:r>
          </w:p>
          <w:p>
            <w:pPr>
              <w:spacing w:before="200" w:after="80"/>
            </w:pPr>
            <w:r>
              <w:rPr>
                <w:rFonts w:ascii="Arial" w:cs="Arial" w:eastAsia="Arial" w:hAnsi="Arial"/>
                <w:b/>
                <w:bCs/>
                <w:color w:val="C9A84C"/>
                <w:sz w:val="24"/>
                <w:szCs w:val="24"/>
              </w:rPr>
              <w:t xml:space="preserve">Principle 2: Division Financial Independence</w:t>
            </w:r>
          </w:p>
          <w:p>
            <w:pPr>
              <w:spacing w:before="80" w:after="80"/>
            </w:pPr>
            <w:r>
              <w:rPr>
                <w:rFonts w:ascii="Arial" w:cs="Arial" w:eastAsia="Arial" w:hAnsi="Arial"/>
                <w:b w:val="false"/>
                <w:bCs w:val="false"/>
                <w:color w:val="111111"/>
                <w:sz w:val="22"/>
                <w:szCs w:val="22"/>
              </w:rPr>
              <w:t xml:space="preserve">Each G.O.D.S division must achieve financial independence within its defined phase timeline. Cross-subsidization between divisions is permitted only in the first 24 months. After that, each division must cover its own operating costs from its own revenue. This prevents any single division's commercial underperformance from threatening the system.</w:t>
            </w:r>
          </w:p>
          <w:p>
            <w:pPr>
              <w:spacing w:before="80" w:after="80"/>
            </w:pPr>
            <w:r>
              <w:t xml:space="preserve"/>
            </w:r>
          </w:p>
          <w:p>
            <w:pPr>
              <w:spacing w:before="200" w:after="80"/>
            </w:pPr>
            <w:r>
              <w:rPr>
                <w:rFonts w:ascii="Arial" w:cs="Arial" w:eastAsia="Arial" w:hAnsi="Arial"/>
                <w:b/>
                <w:bCs/>
                <w:color w:val="C9A84C"/>
                <w:sz w:val="24"/>
                <w:szCs w:val="24"/>
              </w:rPr>
              <w:t xml:space="preserve">Principle 3: Long-Horizon Capital Allocation</w:t>
            </w:r>
          </w:p>
          <w:p>
            <w:pPr>
              <w:spacing w:before="80" w:after="80"/>
            </w:pPr>
            <w:r>
              <w:rPr>
                <w:rFonts w:ascii="Arial" w:cs="Arial" w:eastAsia="Arial" w:hAnsi="Arial"/>
                <w:b w:val="false"/>
                <w:bCs w:val="false"/>
                <w:color w:val="111111"/>
                <w:sz w:val="22"/>
                <w:szCs w:val="22"/>
              </w:rPr>
              <w:t xml:space="preserve">G.O.D.S does not optimize for short-term return. The 250-year mandate requires a capital allocation philosophy that prioritizes compounding infrastructure value over quarterly profit extraction. Dividend policies are designed to return capital to shareholders only after reinvestment obligations are met.</w:t>
            </w:r>
          </w:p>
        </w:tc>
      </w:tr>
    </w:tbl>
    <w:p>
      <w:pPr>
        <w:spacing w:before="80" w:after="80"/>
      </w:pPr>
      <w:r>
        <w:t xml:space="preserve"/>
      </w:r>
    </w:p>
    <w:p>
      <w:pPr>
        <w:spacing w:before="400" w:after="160"/>
      </w:pPr>
      <w:r>
        <w:rPr>
          <w:rFonts w:ascii="Arial" w:cs="Arial" w:eastAsia="Arial" w:hAnsi="Arial"/>
          <w:b/>
          <w:bCs/>
          <w:color w:val="0A0A0A"/>
          <w:sz w:val="36"/>
          <w:szCs w:val="36"/>
        </w:rPr>
        <w:t xml:space="preserve">PART TWO — THE HOLDING STRUCTURE FINANCIAL MAP</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Money flows through the G.O.D.S structure in a defined hierarchy. Understanding this hierarchy is essential for institutional due diligence.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Revenue Flow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960"/>
              <w:gridCol w:w="2200"/>
              <w:gridCol w:w="2200"/>
            </w:tblGrid>
            <w:tr>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Entity</w:t>
                  </w:r>
                </w:p>
              </w:tc>
              <w:tc>
                <w:tcPr>
                  <w:tcW w:type="dxa" w:w="29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Revenue Sources</w:t>
                  </w:r>
                </w:p>
              </w:tc>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Flows To</w:t>
                  </w:r>
                </w:p>
              </w:tc>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Retained For</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 (Pty) Ltd</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contracts, employer SaaS, certification fees, outcome data licensing</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(management fee), retained earnings for expansion</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Phase 2 scale-up, working capital</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Technologies (Pty) Ltd</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Enterprise SaaS subscriptions, implementation fees, government contracts, data sovereignty services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(management fee), retained earnings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Engineering team expansion, Phase 2 development</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Industries (Pty) Ltd</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 EPC contracts, government housing contracts, energy project revenue, O&amp;M fees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(management fee + dividend), reinvestment in projects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SPV equity contributions, working capital</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M.A.D.I.B.A Capital (Pty) Ltd</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Fund management fees, carried interest, advisory fees, SPV management fees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(management fee), retained for fund operations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Fund operational costs, team compensation</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(Pty) Ltd</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Division management fees, dividends from subsidiaries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Holdings (Pty) Ltd (dividend + management fee)</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Commercial reserves, expansion capital</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Holdings (Pty) Ltd</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Holdings dividends, strategic advisory fees, licensing revenue</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(governance costs), Shareholders (Class B/C dividends), reinvestment</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Oversight Board costs, IP Trust operations, strategic reserves</w:t>
                  </w:r>
                </w:p>
              </w:tc>
            </w:tr>
          </w:tbl>
          <w:p/>
        </w:tc>
      </w:tr>
    </w:tbl>
    <w:p>
      <w:pPr>
        <w:spacing w:before="80" w:after="80"/>
      </w:pPr>
      <w:r>
        <w:t xml:space="preserve"/>
      </w:r>
    </w:p>
    <w:p>
      <w:pPr>
        <w:spacing w:before="400" w:after="160"/>
      </w:pPr>
      <w:r>
        <w:rPr>
          <w:rFonts w:ascii="Arial" w:cs="Arial" w:eastAsia="Arial" w:hAnsi="Arial"/>
          <w:b/>
          <w:bCs/>
          <w:color w:val="0A0A0A"/>
          <w:sz w:val="36"/>
          <w:szCs w:val="36"/>
        </w:rPr>
        <w:t xml:space="preserve">PART THREE — FUNDING REQUIREMENTS BY PHASE</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Stage One Capital Requirement — The Proof Phase (18 months)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80" w:after="80"/>
            </w:pPr>
            <w:r>
              <w:rPr>
                <w:rFonts w:ascii="Arial" w:cs="Arial" w:eastAsia="Arial" w:hAnsi="Arial"/>
                <w:b w:val="false"/>
                <w:bCs w:val="false"/>
                <w:color w:val="111111"/>
                <w:sz w:val="22"/>
                <w:szCs w:val="22"/>
              </w:rPr>
              <w:t xml:space="preserve">Stage One requires sufficient capital to operate S.E.T.H.S and UDOC simultaneously for 18 months without requiring revenue from either to cover costs. The goal is to prove the system before depending on it commercially.</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1800"/>
              <w:gridCol w:w="2960"/>
            </w:tblGrid>
            <w:tr>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Cost Category</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Division</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18-Month Estimate</w:t>
                  </w:r>
                </w:p>
              </w:tc>
              <w:tc>
                <w:tcPr>
                  <w:tcW w:type="dxa" w:w="29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Facility lease and fit-out</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R2.4M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Programme facility, Gauteng. 18-month lease.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Core staff (23 FTE × 18 months)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R9.8M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Average fully-loaded cost R27k/month per person across all roles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Participant stipends (50 × 6 months)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R1.8M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R600/week stipend during training phases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Training materials and certification</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R800K</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SETA registration, materials, external assessors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engineering team (15 FTE × 12 months)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R7.2M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Build phase. Average R40k/month fully loaded.</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infrastructure (AWS SA, initial)</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R600K</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Cloud infrastructure, tools, licenses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Holdings executive team (8 FTE × 18 months)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Holdings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R5.4M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CEO, CFO, General Counsel, ops team</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Legal and compliance (company registration, MOI, Trust)</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Holdings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R800K</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Custom MOI, Trust deed, SETA registration, compliance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Working capital and contingency (15%)</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All</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R4.3M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18-month operational contingency</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TOTAL STAGE ONE REQUIREMENT</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R33.1M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~$1.8M USD at current exchange rate</w:t>
                  </w:r>
                </w:p>
              </w:tc>
            </w:tr>
          </w:tbl>
          <w:p/>
        </w:tc>
      </w:tr>
    </w:tbl>
    <w:p>
      <w:pPr>
        <w:spacing w:before="80" w:after="80"/>
      </w:pPr>
      <w:r>
        <w:t xml:space="preserve"/>
      </w:r>
    </w:p>
    <w:p>
      <w:pPr>
        <w:spacing w:before="280" w:after="120"/>
      </w:pPr>
      <w:r>
        <w:rPr>
          <w:rFonts w:ascii="Arial" w:cs="Arial" w:eastAsia="Arial" w:hAnsi="Arial"/>
          <w:b/>
          <w:bCs/>
          <w:color w:val="1A1A2E"/>
          <w:sz w:val="28"/>
          <w:szCs w:val="28"/>
        </w:rPr>
        <w:t xml:space="preserve">Stage One Revenue Projections — Conservative Case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2280"/>
              <w:gridCol w:w="2280"/>
            </w:tblGrid>
            <w:tr>
              <w:tc>
                <w:tcPr>
                  <w:tcW w:type="dxa" w:w="3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Revenue Stream</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Division</w:t>
                  </w:r>
                </w:p>
              </w:tc>
              <w:tc>
                <w:tcPr>
                  <w:tcW w:type="dxa" w:w="2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Year 1 Conservative</w:t>
                  </w:r>
                </w:p>
              </w:tc>
              <w:tc>
                <w:tcPr>
                  <w:tcW w:type="dxa" w:w="2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Year 2 Conservative</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contract — S.E.T.H.S placement fees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R1.5M</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R6M</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Employer SaaS subscriptions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R300K</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R1.8M</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enterprise SaaS (3 clients Year 1)</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R2.4M</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R8M</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implementation fees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R1.5M</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R3M</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Energy first contracts (H2 Year 2)</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R0</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R15M</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TOTAL CONSERVATIVE REVENUE</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R5.7M</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R33.8M</w:t>
                  </w:r>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Year 2 revenue of R33.8M exceeds Stage One capital requirement. From Year 2, the system becomes self-funding in the conservative scenario. Stage Two expansion capital comes from operating revenue and M.A.D.I.B.A's first fund close — not from Holdings-level dilutive capital raises.</w:t>
            </w:r>
          </w:p>
        </w:tc>
      </w:tr>
    </w:tbl>
    <w:p>
      <w:pPr>
        <w:spacing w:before="80" w:after="80"/>
      </w:pPr>
      <w:r>
        <w:t xml:space="preserve"/>
      </w:r>
    </w:p>
    <w:p>
      <w:pPr>
        <w:spacing w:before="400" w:after="160"/>
      </w:pPr>
      <w:r>
        <w:rPr>
          <w:rFonts w:ascii="Arial" w:cs="Arial" w:eastAsia="Arial" w:hAnsi="Arial"/>
          <w:b/>
          <w:bCs/>
          <w:color w:val="0A0A0A"/>
          <w:sz w:val="36"/>
          <w:szCs w:val="36"/>
        </w:rPr>
        <w:t xml:space="preserve">PART FOUR — CAPITAL RAISE ARCHITECTURE</w:t>
      </w:r>
    </w:p>
    <w:p>
      <w:pPr>
        <w:pBdr>
          <w:bottom w:val="single" w:color="C9A84C" w:sz="4"/>
        </w:pBdr>
        <w:spacing w:before="120" w:after="120"/>
      </w:pPr>
    </w:p>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1400"/>
        <w:gridCol w:w="1800"/>
        <w:gridCol w:w="2560"/>
        <w:gridCol w:w="2200"/>
      </w:tblGrid>
      <w:tr>
        <w:tc>
          <w:tcPr>
            <w:tcW w:type="dxa" w:w="1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Round</w:t>
            </w:r>
          </w:p>
        </w:tc>
        <w:tc>
          <w:tcPr>
            <w:tcW w:type="dxa" w:w="1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Timing</w:t>
            </w:r>
          </w:p>
        </w:tc>
        <w:tc>
          <w:tcPr>
            <w:tcW w:type="dxa" w:w="1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Target Size</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Vehicle</w:t>
            </w:r>
          </w:p>
        </w:tc>
        <w:tc>
          <w:tcPr>
            <w:tcW w:type="dxa" w:w="2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Use of Funds</w:t>
            </w:r>
          </w:p>
        </w:tc>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Target Investors</w:t>
            </w:r>
          </w:p>
        </w:tc>
      </w:tr>
      <w:tr>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Seed</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Months 1–3</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R10M–R15M</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Holdings equity (Class B)</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Holdings team, legal structure, initial S.E.T.H.S facility, UDOC engineering team start</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Angel investors, family offices, impact investors</w:t>
            </w:r>
          </w:p>
        </w:tc>
      </w:tr>
      <w:tr>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Series A</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Months 18–24</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R30M–R60M</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equity (Class B)</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 scale to 250 participants, UDOC commercial launch, T.S first project SPVs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Institutional impact investors, IDC, DBSA, sector VCs</w:t>
            </w:r>
          </w:p>
        </w:tc>
      </w:tr>
      <w:tr>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 Fund I</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2–3</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R2bn</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M.A.D.I.B.A Infrastructure Fund LP interests</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infrastructure project portfolio: energy, housing, water</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PIC, GEPF, AfDB, IFC, selected international LPs</w:t>
            </w:r>
          </w:p>
        </w:tc>
      </w:tr>
      <w:tr>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Series B</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3–4</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R200M–R500M</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TS Holdings equity (Class B/C)</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National S.E.T.H.S rollout, UDOC government deployment, SADC expansion</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Strategic investors, sovereign funds, DFIs</w:t>
            </w:r>
          </w:p>
        </w:tc>
      </w:tr>
      <w:tr>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 Fund II</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5+</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R10bn</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M.A.D.I.B.A Infrastructure Fund II LP interests</w:t>
            </w:r>
          </w:p>
        </w:tc>
        <w:tc>
          <w:tcPr>
            <w:tcW w:type="dxa" w:w="2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SADC multi-country infrastructure portfolio</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Continental and international institutional capital</w:t>
            </w:r>
          </w:p>
        </w:tc>
      </w:tr>
    </w:tbl>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Financial Architecture Paper — G.O.D.S Holdings</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2026-03-12T08:03:51.447Z</dcterms:created>
  <dcterms:modified xsi:type="dcterms:W3CDTF">2026-03-12T08:03:51.447Z</dcterms:modified>
</cp:coreProperties>
</file>

<file path=docProps/custom.xml><?xml version="1.0" encoding="utf-8"?>
<Properties xmlns="http://schemas.openxmlformats.org/officeDocument/2006/custom-properties" xmlns:vt="http://schemas.openxmlformats.org/officeDocument/2006/docPropsVTypes"/>
</file>