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INVESTMENT MEMORANDUM</w:t>
      </w:r>
    </w:p>
    <w:p>
      <w:pPr>
        <w:spacing w:before="0" w:after="80"/>
        <w:jc w:val="center"/>
      </w:pPr>
      <w:r>
        <w:rPr>
          <w:rFonts w:ascii="Arial" w:cs="Arial" w:eastAsia="Arial" w:hAnsi="Arial"/>
          <w:b/>
          <w:bCs/>
          <w:color w:val="1A1A2E"/>
          <w:sz w:val="26"/>
          <w:szCs w:val="26"/>
        </w:rPr>
        <w:t xml:space="preserve">SERIES A — G.O.D.S TS HOLDINGS</w:t>
      </w:r>
    </w:p>
    <w:p>
      <w:pPr>
        <w:spacing w:before="0" w:after="120"/>
        <w:jc w:val="center"/>
      </w:pPr>
      <w:r>
        <w:rPr>
          <w:rFonts w:ascii="Arial" w:cs="Arial" w:eastAsia="Arial" w:hAnsi="Arial"/>
          <w:color w:val="888888"/>
          <w:sz w:val="20"/>
          <w:szCs w:val="20"/>
        </w:rPr>
        <w:t xml:space="preserve">Summary Investment Overview for Institutional Investors | Strictly Confidential</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G.O.D.S Holdings | Johannesburg, South Africa | 2026 | NOT A SECURITIES OFFERING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FF3E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LEGAL NOTICE</w:t>
            </w:r>
          </w:p>
          <w:p>
            <w:pPr>
              <w:spacing w:before="80" w:after="80"/>
            </w:pPr>
            <w:r>
              <w:rPr>
                <w:rFonts w:ascii="Arial" w:cs="Arial" w:eastAsia="Arial" w:hAnsi="Arial"/>
                <w:b w:val="false"/>
                <w:bCs w:val="false"/>
                <w:color w:val="111111"/>
                <w:sz w:val="22"/>
                <w:szCs w:val="22"/>
              </w:rPr>
              <w:t xml:space="preserve">This Investment Memorandum is provided for informational purposes only to qualified institutional investors and does not constitute an offer or solicitation to purchase securities in any jurisdiction. This document has not been registered with any securities regulator. Prospective investors should conduct their own due diligence and consult independent legal and financial advisors before making any investment decision. Past performance of comparable entities does not guarantee future results.</w:t>
            </w:r>
          </w:p>
        </w:tc>
      </w:tr>
    </w:tbl>
    <w:p>
      <w:pPr>
        <w:spacing w:before="80" w:after="80"/>
      </w:pPr>
      <w:r>
        <w:t xml:space="preserve"/>
      </w:r>
    </w:p>
    <w:p>
      <w:pPr>
        <w:spacing w:before="400" w:after="160"/>
      </w:pPr>
      <w:r>
        <w:rPr>
          <w:rFonts w:ascii="Arial" w:cs="Arial" w:eastAsia="Arial" w:hAnsi="Arial"/>
          <w:b/>
          <w:bCs/>
          <w:color w:val="0A0A0A"/>
          <w:sz w:val="36"/>
          <w:szCs w:val="36"/>
        </w:rPr>
        <w:t xml:space="preserve">EXECUTIVE SUMMARY</w:t>
      </w:r>
    </w:p>
    <w:p>
      <w:pPr>
        <w:pBdr>
          <w:bottom w:val="single" w:color="C9A84C" w:sz="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Opportunity in One Paragraph</w:t>
            </w:r>
          </w:p>
          <w:p>
            <w:pPr>
              <w:spacing w:before="80" w:after="80"/>
            </w:pPr>
            <w:r>
              <w:rPr>
                <w:rFonts w:ascii="Arial" w:cs="Arial" w:eastAsia="Arial" w:hAnsi="Arial"/>
                <w:b w:val="false"/>
                <w:bCs w:val="false"/>
                <w:color w:val="111111"/>
                <w:sz w:val="22"/>
                <w:szCs w:val="22"/>
              </w:rPr>
              <w:t xml:space="preserve">G.O.D.S is raising a Series A for G.O.D.S TS Holdings — the commercial engine of the G.O.D.S architecture — to fund the scale-up of the S.E.T.H.S human capital program from 50 to 500 annual participants, the commercial launch of UDOC enterprise AI governance SaaS, and the first T.S infrastructure project SPVs. The Stage One pilot (18 months, 50 participants) will have produced audited outcome data before Series A deployment begins. Investors are not funding a vision. They are funding a proven system at scale.</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Parameter</w:t>
            </w:r>
          </w:p>
        </w:tc>
        <w:tc>
          <w:tcPr>
            <w:tcW w:type="dxa" w:w="6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Detail</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Issuing entity</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(Pty) Ltd — commercial holding company</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Round size</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R30M–R60M (indicative)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Share class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B — Investor Shares. 1 vote per share. No constitutional override rights.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Valuation basis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Pre-money valuation determined by independent valuation upon Series A close — based on audited Stage One outcomes and DCF model</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Use of funds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 scale to 500 participants (R12M), UDOC commercial launch (R8M), T.S first SPV equity (R20M), Holdings working capital and team expansion (R10M)</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Investor protections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Information rights, pro-rata rights, anti-dilution (broad-based weighted average), drag-along / tag-along rights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constraint on investors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B shares cannot be used to override Class A (constitutional) decisions. Investors purchase commercial participation — not constitutional authority.</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Lead investor target</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IDC, DBSA, or aligned impact institutional investor as anchor</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Target close</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Month 20–24 of operations — after Stage One outcomes are documented</w:t>
            </w:r>
          </w:p>
        </w:tc>
      </w:tr>
    </w:tbl>
    <w:p>
      <w:pPr>
        <w:spacing w:before="80" w:after="80"/>
      </w:pPr>
      <w:r>
        <w:t xml:space="preserve"/>
      </w:r>
    </w:p>
    <w:p>
      <w:pPr>
        <w:spacing w:before="400" w:after="160"/>
      </w:pPr>
      <w:r>
        <w:rPr>
          <w:rFonts w:ascii="Arial" w:cs="Arial" w:eastAsia="Arial" w:hAnsi="Arial"/>
          <w:b/>
          <w:bCs/>
          <w:color w:val="0A0A0A"/>
          <w:sz w:val="36"/>
          <w:szCs w:val="36"/>
        </w:rPr>
        <w:t xml:space="preserve">THE PROBLEM AND THE MARKET OPPORTUNITY</w:t>
      </w:r>
    </w:p>
    <w:p>
      <w:pPr>
        <w:pBdr>
          <w:bottom w:val="single" w:color="C9A84C" w:sz="4"/>
        </w:pBdr>
        <w:spacing w:before="120" w:after="12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200"/>
            </w:tcMar>
          </w:tcPr>
          <w:p>
            <w:pPr>
              <w:spacing w:before="200" w:after="80"/>
            </w:pPr>
            <w:r>
              <w:rPr>
                <w:rFonts w:ascii="Arial" w:cs="Arial" w:eastAsia="Arial" w:hAnsi="Arial"/>
                <w:b/>
                <w:bCs/>
                <w:color w:val="C9A84C"/>
                <w:sz w:val="24"/>
                <w:szCs w:val="24"/>
              </w:rPr>
              <w:t xml:space="preserve">The Structural Gap</w:t>
            </w:r>
          </w:p>
          <w:p>
            <w:pPr>
              <w:spacing w:before="80" w:after="80"/>
            </w:pPr>
            <w:r>
              <w:rPr>
                <w:rFonts w:ascii="Arial" w:cs="Arial" w:eastAsia="Arial" w:hAnsi="Arial"/>
                <w:b w:val="false"/>
                <w:bCs w:val="false"/>
                <w:color w:val="111111"/>
                <w:sz w:val="22"/>
                <w:szCs w:val="22"/>
              </w:rPr>
              <w:t xml:space="preserve">South Africa faces three simultaneous structural crises that existing institutions cannot solve individually:</w:t>
            </w:r>
          </w:p>
          <w:p>
            <w:pPr>
              <w:pStyle w:val="ListParagraph"/>
              <w:numPr>
                <w:ilvl w:val="0"/>
                <w:numId w:val="2"/>
              </w:numPr>
              <w:spacing w:before="60" w:after="60"/>
            </w:pPr>
            <w:r>
              <w:rPr>
                <w:rFonts w:ascii="Arial" w:cs="Arial" w:eastAsia="Arial" w:hAnsi="Arial"/>
                <w:sz w:val="22"/>
                <w:szCs w:val="22"/>
              </w:rPr>
              <w:t xml:space="preserve">42% expanded unemployment — the highest of any major economy globally</w:t>
            </w:r>
          </w:p>
          <w:p>
            <w:pPr>
              <w:pStyle w:val="ListParagraph"/>
              <w:numPr>
                <w:ilvl w:val="0"/>
                <w:numId w:val="2"/>
              </w:numPr>
              <w:spacing w:before="60" w:after="60"/>
            </w:pPr>
            <w:r>
              <w:rPr>
                <w:rFonts w:ascii="Arial" w:cs="Arial" w:eastAsia="Arial" w:hAnsi="Arial"/>
                <w:sz w:val="22"/>
                <w:szCs w:val="22"/>
              </w:rPr>
              <w:t xml:space="preserve">No national AI governance framework while 2,400+ AI systems are deployed in regulated industries</w:t>
            </w:r>
          </w:p>
          <w:p>
            <w:pPr>
              <w:pStyle w:val="ListParagraph"/>
              <w:numPr>
                <w:ilvl w:val="0"/>
                <w:numId w:val="2"/>
              </w:numPr>
              <w:spacing w:before="60" w:after="60"/>
            </w:pPr>
            <w:r>
              <w:rPr>
                <w:rFonts w:ascii="Arial" w:cs="Arial" w:eastAsia="Arial" w:hAnsi="Arial"/>
                <w:sz w:val="22"/>
                <w:szCs w:val="22"/>
              </w:rPr>
              <w:t xml:space="preserve">R800bn housing deficit with government delivery at 10% of the needed rate</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These crises are not isolated. They compound: unemployment drives crime and incarceration, which drives social welfare dependency, which reduces government fiscal capacity, which reduces infrastructure investment, which reduces employment. Breaking this cycle requires an integrated system — not three separate programs.</w:t>
            </w:r>
          </w:p>
        </w:tc>
        <w:tc>
          <w:tcPr>
            <w:tcW w:type="dxa" w:w="4680"/>
            <w:tcBorders>
              <w:top w:val="none" w:color="FFFFFF" w:sz="0"/>
              <w:left w:val="none" w:color="FFFFFF" w:sz="0"/>
              <w:bottom w:val="none" w:color="FFFFFF" w:sz="0"/>
              <w:right w:val="none" w:color="FFFFFF" w:sz="0"/>
            </w:tcBorders>
            <w:tcMar>
              <w:top w:type="dxa" w:w="80"/>
              <w:left w:type="dxa" w:w="200"/>
              <w:bottom w:type="dxa" w:w="80"/>
              <w:right w:type="dxa" w:w="0"/>
            </w:tcMar>
          </w:tcPr>
          <w:p>
            <w:pPr>
              <w:spacing w:before="200" w:after="80"/>
            </w:pPr>
            <w:r>
              <w:rPr>
                <w:rFonts w:ascii="Arial" w:cs="Arial" w:eastAsia="Arial" w:hAnsi="Arial"/>
                <w:b/>
                <w:bCs/>
                <w:color w:val="C9A84C"/>
                <w:sz w:val="24"/>
                <w:szCs w:val="24"/>
              </w:rPr>
              <w:t xml:space="preserve">The Market Size</w:t>
            </w:r>
          </w:p>
          <w:p>
            <w:pPr>
              <w:pStyle w:val="ListParagraph"/>
              <w:numPr>
                <w:ilvl w:val="0"/>
                <w:numId w:val="2"/>
              </w:numPr>
              <w:spacing w:before="60" w:after="60"/>
            </w:pPr>
            <w:r>
              <w:rPr>
                <w:rFonts w:ascii="Arial" w:cs="Arial" w:eastAsia="Arial" w:hAnsi="Arial"/>
                <w:sz w:val="22"/>
                <w:szCs w:val="22"/>
              </w:rPr>
              <w:t xml:space="preserve">SA government workforce reintegration contracts: R3–8bn annually addressable</w:t>
            </w:r>
          </w:p>
          <w:p>
            <w:pPr>
              <w:pStyle w:val="ListParagraph"/>
              <w:numPr>
                <w:ilvl w:val="0"/>
                <w:numId w:val="2"/>
              </w:numPr>
              <w:spacing w:before="60" w:after="60"/>
            </w:pPr>
            <w:r>
              <w:rPr>
                <w:rFonts w:ascii="Arial" w:cs="Arial" w:eastAsia="Arial" w:hAnsi="Arial"/>
                <w:sz w:val="22"/>
                <w:szCs w:val="22"/>
              </w:rPr>
              <w:t xml:space="preserve">AI governance SaaS (SA regulated industries): R1.5bn annually, growing 40%+ per year</w:t>
            </w:r>
          </w:p>
          <w:p>
            <w:pPr>
              <w:pStyle w:val="ListParagraph"/>
              <w:numPr>
                <w:ilvl w:val="0"/>
                <w:numId w:val="2"/>
              </w:numPr>
              <w:spacing w:before="60" w:after="60"/>
            </w:pPr>
            <w:r>
              <w:rPr>
                <w:rFonts w:ascii="Arial" w:cs="Arial" w:eastAsia="Arial" w:hAnsi="Arial"/>
                <w:sz w:val="22"/>
                <w:szCs w:val="22"/>
              </w:rPr>
              <w:t xml:space="preserve">AI governance (African market, 5 years): R15bn+ addressable</w:t>
            </w:r>
          </w:p>
          <w:p>
            <w:pPr>
              <w:pStyle w:val="ListParagraph"/>
              <w:numPr>
                <w:ilvl w:val="0"/>
                <w:numId w:val="2"/>
              </w:numPr>
              <w:spacing w:before="60" w:after="60"/>
            </w:pPr>
            <w:r>
              <w:rPr>
                <w:rFonts w:ascii="Arial" w:cs="Arial" w:eastAsia="Arial" w:hAnsi="Arial"/>
                <w:sz w:val="22"/>
                <w:szCs w:val="22"/>
              </w:rPr>
              <w:t xml:space="preserve">Social housing: R800bn total deficit, R50bn+ annual government procurement</w:t>
            </w:r>
          </w:p>
          <w:p>
            <w:pPr>
              <w:pStyle w:val="ListParagraph"/>
              <w:numPr>
                <w:ilvl w:val="0"/>
                <w:numId w:val="2"/>
              </w:numPr>
              <w:spacing w:before="60" w:after="60"/>
            </w:pPr>
            <w:r>
              <w:rPr>
                <w:rFonts w:ascii="Arial" w:cs="Arial" w:eastAsia="Arial" w:hAnsi="Arial"/>
                <w:sz w:val="22"/>
                <w:szCs w:val="22"/>
              </w:rPr>
              <w:t xml:space="preserve">Renewable energy (REIPP): R200bn+ pipeline approved for 2024–2030</w:t>
            </w:r>
          </w:p>
          <w:p>
            <w:pPr>
              <w:pStyle w:val="ListParagraph"/>
              <w:numPr>
                <w:ilvl w:val="0"/>
                <w:numId w:val="2"/>
              </w:numPr>
              <w:spacing w:before="60" w:after="60"/>
            </w:pPr>
            <w:r>
              <w:rPr>
                <w:rFonts w:ascii="Arial" w:cs="Arial" w:eastAsia="Arial" w:hAnsi="Arial"/>
                <w:sz w:val="22"/>
                <w:szCs w:val="22"/>
              </w:rPr>
              <w:t xml:space="preserve">African infrastructure fund market: $8.5bn committed by G7 to SA alone (JETP)</w:t>
            </w:r>
          </w:p>
          <w:p>
            <w:pPr>
              <w:pStyle w:val="ListParagraph"/>
              <w:numPr>
                <w:ilvl w:val="0"/>
                <w:numId w:val="2"/>
              </w:numPr>
              <w:spacing w:before="60" w:after="60"/>
            </w:pPr>
            <w:r>
              <w:rPr>
                <w:rFonts w:ascii="Arial" w:cs="Arial" w:eastAsia="Arial" w:hAnsi="Arial"/>
                <w:sz w:val="22"/>
                <w:szCs w:val="22"/>
              </w:rPr>
              <w:t xml:space="preserve">SADC infrastructure gap: $68–108bn annually — growing with urbanisation</w:t>
            </w:r>
          </w:p>
        </w:tc>
      </w:tr>
    </w:tbl>
    <w:p>
      <w:pPr>
        <w:spacing w:before="80" w:after="80"/>
      </w:pPr>
      <w:r>
        <w:t xml:space="preserve"/>
      </w:r>
    </w:p>
    <w:p>
      <w:pPr>
        <w:spacing w:before="400" w:after="160"/>
      </w:pPr>
      <w:r>
        <w:rPr>
          <w:rFonts w:ascii="Arial" w:cs="Arial" w:eastAsia="Arial" w:hAnsi="Arial"/>
          <w:b/>
          <w:bCs/>
          <w:color w:val="0A0A0A"/>
          <w:sz w:val="36"/>
          <w:szCs w:val="36"/>
        </w:rPr>
        <w:t xml:space="preserve">THE SYSTEM — HOW IT WORKS</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G.O.D.S operates through four integrated divisions that form a closed compounding loop:</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2400"/>
        <w:gridCol w:w="2160"/>
      </w:tblGrid>
      <w:tr>
        <w:tc>
          <w:tcPr>
            <w:tcW w:type="dxa" w:w="16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Division</w:t>
            </w:r>
          </w:p>
        </w:tc>
        <w:tc>
          <w:tcPr>
            <w:tcW w:type="dxa" w:w="3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What It Does</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Revenue Model</w:t>
            </w:r>
          </w:p>
        </w:tc>
        <w:tc>
          <w:tcPr>
            <w:tcW w:type="dxa" w:w="21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Year 1–2 Revenue Target</w:t>
            </w:r>
          </w:p>
        </w:tc>
      </w:tr>
      <w:tr>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Converts structural unemployment into credentialed human capital through 5-phase reintegration program</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per-placement contracts, employer SaaS, certification fees</w:t>
            </w:r>
          </w:p>
        </w:tc>
        <w:tc>
          <w:tcPr>
            <w:tcW w:type="dxa" w:w="2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R5M–R12M</w:t>
            </w:r>
          </w:p>
        </w:tc>
      </w:tr>
      <w:tr>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w:t>
            </w:r>
          </w:p>
        </w:tc>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Deploys S.E.T.H.S graduates into infrastructure production across energy, housing, agritech, water, logistics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EPC contracts, government housing contracts, O&amp;M retainers</w:t>
            </w:r>
          </w:p>
        </w:tc>
        <w:tc>
          <w:tcPr>
            <w:tcW w:type="dxa" w:w="2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R0 (Year 1) → R15M–R30M (Year 2)</w:t>
            </w:r>
          </w:p>
        </w:tc>
      </w:tr>
      <w:tr>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Provides AI governance SaaS for regulated enterprises and national digital sovereignty infrastructure</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Monthly SaaS subscriptions, implementation fees, government contracts</w:t>
            </w:r>
          </w:p>
        </w:tc>
        <w:tc>
          <w:tcPr>
            <w:tcW w:type="dxa" w:w="2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R4M–R12M</w:t>
            </w:r>
          </w:p>
        </w:tc>
      </w:tr>
      <w:tr>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M.A.D.I.B.A</w:t>
            </w:r>
          </w:p>
        </w:tc>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Structures institutional capital deployment into T.S projects and sovereign partnerships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Fund management fees, advisory fees, carried interest</w:t>
            </w:r>
          </w:p>
        </w:tc>
        <w:tc>
          <w:tcPr>
            <w:tcW w:type="dxa" w:w="2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R0 (Year 1) → R3M–R5M (Year 2)</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Why the Loop Is the Moat</w:t>
            </w:r>
          </w:p>
          <w:p>
            <w:pPr>
              <w:spacing w:before="80" w:after="80"/>
            </w:pPr>
            <w:r>
              <w:rPr>
                <w:rFonts w:ascii="Arial" w:cs="Arial" w:eastAsia="Arial" w:hAnsi="Arial"/>
                <w:b w:val="false"/>
                <w:bCs w:val="false"/>
                <w:color w:val="111111"/>
                <w:sz w:val="22"/>
                <w:szCs w:val="22"/>
              </w:rPr>
              <w:t xml:space="preserve">No competitor can replicate S.E.T.H.S without T.S as its employment destination. No competitor can replicate T.S without S.E.T.H.S as its workforce pipeline. No competitor can replicate UDOC's sovereign credibility without the constitutional governance framework. No competitor can replicate M.A.D.I.B.A's position without the combined proof from all three others. The loop cannot be entered from the side — it must be built from the start, simultaneously.</w:t>
            </w:r>
          </w:p>
        </w:tc>
      </w:tr>
    </w:tbl>
    <w:p>
      <w:pPr>
        <w:spacing w:before="80" w:after="80"/>
      </w:pPr>
      <w:r>
        <w:t xml:space="preserve"/>
      </w:r>
    </w:p>
    <w:p>
      <w:pPr>
        <w:spacing w:before="400" w:after="160"/>
      </w:pPr>
      <w:r>
        <w:rPr>
          <w:rFonts w:ascii="Arial" w:cs="Arial" w:eastAsia="Arial" w:hAnsi="Arial"/>
          <w:b/>
          <w:bCs/>
          <w:color w:val="0A0A0A"/>
          <w:sz w:val="36"/>
          <w:szCs w:val="36"/>
        </w:rPr>
        <w:t xml:space="preserve">THE GOVERNANCE STRUCTURE</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The governance architecture of G.O.D.S is designed specifically to give institutional investors confidence that commercial participation does not come with mission corruption risk.</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Governance Element</w:t>
            </w:r>
          </w:p>
        </w:tc>
        <w:tc>
          <w:tcPr>
            <w:tcW w:type="dxa" w:w="34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Structure</w:t>
            </w:r>
          </w:p>
        </w:tc>
        <w:tc>
          <w:tcPr>
            <w:tcW w:type="dxa" w:w="34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Investor Benefit</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IP Trust</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Holds Class A shares and all IP. Cannot be acquired, wound up, or sold.</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Prevents mission drift that would damage government relationships and long-term value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A shares (constitutional)</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10 votes per share. Held by IP Trust only. Cannot be sold to investors.</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Investors cannot be used to override the system architecture that generates the value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Oversight Board</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5–9 independent members. Binding authority on constitutional compliance.</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Independent governance check that prevents reputational risk from constitutional violations</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Founder Constraint (Pillar VII)</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Founder can be removed from operations by COB if they violate 3+ Pillars.</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Prevents founder-risk concentration. System survives any single individual.</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Independent audit</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Annual independent audit of financial and constitutional performance.</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Investor-grade financial transparency. Constitutional compliance documented.</w:t>
            </w:r>
          </w:p>
        </w:tc>
      </w:tr>
    </w:tbl>
    <w:p>
      <w:pPr>
        <w:spacing w:before="80" w:after="80"/>
      </w:pPr>
      <w:r>
        <w:t xml:space="preserve"/>
      </w:r>
    </w:p>
    <w:p>
      <w:pPr>
        <w:spacing w:before="400" w:after="160"/>
      </w:pPr>
      <w:r>
        <w:rPr>
          <w:rFonts w:ascii="Arial" w:cs="Arial" w:eastAsia="Arial" w:hAnsi="Arial"/>
          <w:b/>
          <w:bCs/>
          <w:color w:val="0A0A0A"/>
          <w:sz w:val="36"/>
          <w:szCs w:val="36"/>
        </w:rPr>
        <w:t xml:space="preserve">USE OF SERIES A FUNDS</w:t>
      </w:r>
    </w:p>
    <w:p>
      <w:pPr>
        <w:pBdr>
          <w:bottom w:val="single" w:color="C9A84C" w:sz="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600"/>
              <w:gridCol w:w="4560"/>
            </w:tblGrid>
            <w:tr>
              <w:tc>
                <w:tcPr>
                  <w:tcW w:type="dxa" w:w="3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Allocation</w:t>
                  </w:r>
                </w:p>
              </w:tc>
              <w:tc>
                <w:tcPr>
                  <w:tcW w:type="dxa" w:w="16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Amount</w:t>
                  </w:r>
                </w:p>
              </w:tc>
              <w:tc>
                <w:tcPr>
                  <w:tcW w:type="dxa" w:w="4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Expected Outcome</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 scale: 50 → 500 annual participants</w:t>
                  </w:r>
                </w:p>
              </w:tc>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R12M</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master contract. 350+ placements per year. R15M+ ARR by Year 3.</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commercial launch: 3 → 15 enterprise clients</w:t>
                  </w:r>
                </w:p>
              </w:tc>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R8M</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R15M ARR by Year 3. Government pilot contract by Year 2.</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first SPV equity contribution (energy + housing)</w:t>
                  </w:r>
                </w:p>
              </w:tc>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R20M</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First R200M+ infrastructure SPV. T.S Energy first REIPP contract.</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Holdings team and working capital</w:t>
                  </w:r>
                </w:p>
              </w:tc>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R10M</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Full Holdings executive team. 24-month operating reserve.</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TOTAL</w:t>
                  </w:r>
                </w:p>
              </w:tc>
              <w:tc>
                <w:tcPr>
                  <w:tcW w:type="dxa" w:w="1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R50M (midpoint)</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System operational at scale. Series B pathway documented.</w:t>
                  </w:r>
                </w:p>
              </w:tc>
            </w:tr>
          </w:tbl>
          <w:p/>
        </w:tc>
      </w:tr>
    </w:tbl>
    <w:p>
      <w:pPr>
        <w:spacing w:before="80" w:after="80"/>
      </w:pPr>
      <w:r>
        <w:t xml:space="preserve"/>
      </w:r>
    </w:p>
    <w:p>
      <w:pPr>
        <w:spacing w:before="400" w:after="160"/>
      </w:pPr>
      <w:r>
        <w:rPr>
          <w:rFonts w:ascii="Arial" w:cs="Arial" w:eastAsia="Arial" w:hAnsi="Arial"/>
          <w:b/>
          <w:bCs/>
          <w:color w:val="0A0A0A"/>
          <w:sz w:val="36"/>
          <w:szCs w:val="36"/>
        </w:rPr>
        <w:t xml:space="preserve">WHY NOW</w:t>
      </w:r>
    </w:p>
    <w:p>
      <w:pPr>
        <w:pBdr>
          <w:bottom w:val="single" w:color="C9A84C" w:sz="4"/>
        </w:pBdr>
        <w:spacing w:before="120" w:after="120"/>
      </w:pPr>
    </w:p>
    <w:p>
      <w:pPr>
        <w:pStyle w:val="ListParagraph"/>
        <w:numPr>
          <w:ilvl w:val="0"/>
          <w:numId w:val="2"/>
        </w:numPr>
        <w:spacing w:before="60" w:after="60"/>
      </w:pPr>
      <w:r>
        <w:rPr>
          <w:rFonts w:ascii="Arial" w:cs="Arial" w:eastAsia="Arial" w:hAnsi="Arial"/>
          <w:sz w:val="22"/>
          <w:szCs w:val="22"/>
        </w:rPr>
        <w:t xml:space="preserve">EU AI Act enforcement began 2026 — South African regulated industries face mandatory AI governance compliance with no existing local solution</w:t>
      </w:r>
    </w:p>
    <w:p>
      <w:pPr>
        <w:pStyle w:val="ListParagraph"/>
        <w:numPr>
          <w:ilvl w:val="0"/>
          <w:numId w:val="2"/>
        </w:numPr>
        <w:spacing w:before="60" w:after="60"/>
      </w:pPr>
      <w:r>
        <w:rPr>
          <w:rFonts w:ascii="Arial" w:cs="Arial" w:eastAsia="Arial" w:hAnsi="Arial"/>
          <w:sz w:val="22"/>
          <w:szCs w:val="22"/>
        </w:rPr>
        <w:t xml:space="preserve">REIPP Round 7 approved — R200bn renewable energy pipeline requires workforce that doesn't currently exist at scale</w:t>
      </w:r>
    </w:p>
    <w:p>
      <w:pPr>
        <w:pStyle w:val="ListParagraph"/>
        <w:numPr>
          <w:ilvl w:val="0"/>
          <w:numId w:val="2"/>
        </w:numPr>
        <w:spacing w:before="60" w:after="60"/>
      </w:pPr>
      <w:r>
        <w:rPr>
          <w:rFonts w:ascii="Arial" w:cs="Arial" w:eastAsia="Arial" w:hAnsi="Arial"/>
          <w:sz w:val="22"/>
          <w:szCs w:val="22"/>
        </w:rPr>
        <w:t xml:space="preserve">South African government's social compact framework creates direct procurement pathway for outcome-based workforce programs</w:t>
      </w:r>
    </w:p>
    <w:p>
      <w:pPr>
        <w:pStyle w:val="ListParagraph"/>
        <w:numPr>
          <w:ilvl w:val="0"/>
          <w:numId w:val="2"/>
        </w:numPr>
        <w:spacing w:before="60" w:after="60"/>
      </w:pPr>
      <w:r>
        <w:rPr>
          <w:rFonts w:ascii="Arial" w:cs="Arial" w:eastAsia="Arial" w:hAnsi="Arial"/>
          <w:sz w:val="22"/>
          <w:szCs w:val="22"/>
        </w:rPr>
        <w:t xml:space="preserve">Digital sovereignty legislation under development — UDOC positioned as the only Africa-sovereign solution</w:t>
      </w:r>
    </w:p>
    <w:p>
      <w:pPr>
        <w:pStyle w:val="ListParagraph"/>
        <w:numPr>
          <w:ilvl w:val="0"/>
          <w:numId w:val="2"/>
        </w:numPr>
        <w:spacing w:before="60" w:after="60"/>
      </w:pPr>
      <w:r>
        <w:rPr>
          <w:rFonts w:ascii="Arial" w:cs="Arial" w:eastAsia="Arial" w:hAnsi="Arial"/>
          <w:sz w:val="22"/>
          <w:szCs w:val="22"/>
        </w:rPr>
        <w:t xml:space="preserve">Stage One proof will be complete — Series A deploys capital into a proven system, not a startup hypothesis</w:t>
      </w:r>
    </w:p>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Investment Memorandum — G.O.D.S TS Holdings | NOT A SECURITIES OFFERING</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2026-03-12T08:07:27.141Z</dcterms:created>
  <dcterms:modified xsi:type="dcterms:W3CDTF">2026-03-12T08:07:27.142Z</dcterms:modified>
</cp:coreProperties>
</file>

<file path=docProps/custom.xml><?xml version="1.0" encoding="utf-8"?>
<Properties xmlns="http://schemas.openxmlformats.org/officeDocument/2006/custom-properties" xmlns:vt="http://schemas.openxmlformats.org/officeDocument/2006/docPropsVTypes"/>
</file>