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960" w:after="80"/>
        <w:jc w:val="center"/>
      </w:pPr>
      <w:r>
        <w:rPr>
          <w:rFonts w:ascii="Arial" w:cs="Arial" w:eastAsia="Arial" w:hAnsi="Arial"/>
          <w:b/>
          <w:bCs/>
          <w:color w:val="C9A84C"/>
          <w:sz w:val="72"/>
          <w:szCs w:val="72"/>
        </w:rPr>
        <w:t xml:space="preserve">G.O.D.S</w:t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1A1A2E"/>
          <w:sz w:val="34"/>
          <w:szCs w:val="34"/>
        </w:rPr>
        <w:t xml:space="preserve">M.A.D.I.B.A</w:t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MY AFRICAN DREAM IS BEING ACHIEVED — CAPITAL STRATEGY</w:t>
      </w:r>
    </w:p>
    <w:p>
      <w:pPr>
        <w:spacing w:before="0" w:after="12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Capital Architecture · Fund Structure · Sovereign Interface · SPV Model · Investment Thesis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200" w:after="400"/>
        <w:jc w:val="center"/>
      </w:pPr>
      <w:r>
        <w:rPr>
          <w:rFonts w:ascii="Arial" w:cs="Arial" w:eastAsia="Arial" w:hAnsi="Arial"/>
          <w:b/>
          <w:bCs/>
          <w:color w:val="C9A84C"/>
          <w:sz w:val="20"/>
          <w:szCs w:val="20"/>
        </w:rPr>
        <w:t xml:space="preserve">Sashin J. Singh — Founder &amp; Architect | G.O.D.S Holdings | 2026</w:t>
      </w:r>
    </w:p>
    <w:p>
      <w:r>
        <w:br w:type="page"/>
      </w:r>
    </w:p>
    <w:p>
      <w:pPr>
        <w:spacing w:before="400" w:after="16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PART ONE — WHAT M.A.D.I.B.A IS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M.A.D.I.B.A is not a bank. It is not a VC fund. It is not a development finance institution. It is the capital architecture and sovereign interface division of G.O.D.S Holdings — the mechanism by which the proven operational outcomes of S.E.T.H.S, T.S, and UDOC are translated into the capital structures that allow the system to scale.</w:t>
      </w:r>
    </w:p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9F5EC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The Core Problem M.A.D.I.B.A Solves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Africa has a documented infrastructure funding gap of $68–108 billion per year. It simultaneously has $4.2 trillion in global alternative assets seeking emerging market exposure. The capital is available. The infrastructure need is documented. What does not exist is the institutional architecture that connects them — governance credibility, execution proof, bankable project structures, and sovereign relationship frameworks.</w:t>
            </w:r>
          </w:p>
          <w:p>
            <w:pPr>
              <w:spacing w:before="80" w:after="8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M.A.D.I.B.A is that architecture. It is not raising capital to fund speculation. It is deploying capital into infrastructure that the G.O.D.S system has already proven it can execute.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280" w:after="12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M.A.D.I.B.A's Position in the Compounding Loop</w:t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M.A.D.I.B.A activates only after proof exists. The sequence is: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S.E.T.H.S produces credentialed workforce and government contract revenue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T.S executes infrastructure projects using that workforce and generates project track record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UDOC provides the governance data that makes the track record auditable and investor-credible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M.A.D.I.B.A takes that audited track record to institutional capital and structures investment vehicles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sz w:val="22"/>
          <w:szCs w:val="22"/>
        </w:rPr>
        <w:t xml:space="preserve">Capital flows back to T.S for larger infrastructure projects, and to S.E.T.H.S for national scale expansion</w:t>
      </w:r>
    </w:p>
    <w:p>
      <w:pPr>
        <w:spacing w:before="80" w:after="80"/>
      </w:pPr>
      <w:r>
        <w:t xml:space="preserve"/>
      </w: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This means M.A.D.I.B.A never needs to raise capital on the basis of vision alone. It raises capital on the basis of documented proof. That is a fundamentally stronger fundraising position than any pure development finance model.</w:t>
      </w:r>
    </w:p>
    <w:p>
      <w:pPr>
        <w:spacing w:before="80" w:after="80"/>
      </w:pPr>
      <w:r>
        <w:t xml:space="preserve"/>
      </w:r>
    </w:p>
    <w:p>
      <w:pPr>
        <w:spacing w:before="400" w:after="16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PART TWO — THE THREE-VEHICLE STRUCTURE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280" w:after="12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Vehicle 1: The G.O.D.S Infrastructure Fund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Fund Type: Closed-end private equity / infrastructure fund</w:t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/>
                <w:bCs/>
                <w:color w:val="111111"/>
                <w:sz w:val="22"/>
                <w:szCs w:val="22"/>
              </w:rPr>
              <w:t xml:space="preserve">Target Size: R2 billion (Stage One close) scaling to R10 billion (Stage Two close)</w:t>
            </w:r>
          </w:p>
          <w:p>
            <w:pPr>
              <w:spacing w:before="80" w:after="8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The G.O.D.S Infrastructure Fund is a private equity-style vehicle that pools institutional capital for deployment into T.S infrastructure projects across South Africa and SADC. It is structured as a South Africa-domiciled partnership fund managed by M.A.D.I.B.A Capital as GP.</w:t>
            </w:r>
          </w:p>
          <w:p>
            <w:pPr>
              <w:spacing w:before="80" w:after="8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800"/>
              <w:gridCol w:w="3280"/>
              <w:gridCol w:w="3280"/>
            </w:tblGrid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Fund Parameter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Stage One (R2bn)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Stage Two (R10bn)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Target LP profile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PIC, GEPF, IDC, DBSA, AfDB, IFC, selected family offices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Add sovereign wealth funds, international pension funds, DFIs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Fund term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10 years + 2 year extension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12 years + 2 year extension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GP commitment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2% of fund size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2% of fund size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Management fee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1.5% of committed capital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1.5% of committed capital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Carried interest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20% over 8% hurdle rate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20% over 8% hurdle rate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Impact measurement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IRIS+ framework + UDOC outcome data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IRIS+ framework + UDOC outcome data</w:t>
                  </w:r>
                </w:p>
              </w:tc>
            </w:tr>
            <w:tr>
              <w:tc>
                <w:tcPr>
                  <w:tcW w:type="dxa" w:w="28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Target return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12–16% net IRR</w:t>
                  </w:r>
                </w:p>
              </w:tc>
              <w:tc>
                <w:tcPr>
                  <w:tcW w:type="dxa" w:w="328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10–14% net IRR (larger, more stable)</w:t>
                  </w:r>
                </w:p>
              </w:tc>
            </w:tr>
          </w:tbl>
          <w:p>
            <w:pPr>
              <w:spacing w:before="80" w:after="8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Target portfolio allocation: 40% T.S Energy projects, 30% T.S Housing projects, 20% T.S Water and AgriTech, 10% UDOC digital infrastructure.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280" w:after="12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Vehicle 2: Project SPVs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SPVs are established for individual infrastructure projects above R50 million in capital requirement. Each SPV is a separate legal entity, co-owned by T.S Industries, the G.O.D.S Infrastructure Fund, and any project-specific government or private co-investors.</w:t>
            </w:r>
          </w:p>
          <w:p>
            <w:pPr>
              <w:spacing w:before="80" w:after="80"/>
            </w:pPr>
            <w: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00"/>
              <w:gridCol w:w="6360"/>
            </w:tblGrid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SPV Parameter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shd w:fill="1A1A2E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0"/>
                      <w:szCs w:val="20"/>
                    </w:rPr>
                    <w:t xml:space="preserve">Structure</w:t>
                  </w:r>
                </w:p>
              </w:tc>
            </w:tr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Minimum project size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R50 million total project value</w:t>
                  </w:r>
                </w:p>
              </w:tc>
            </w:tr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Equity structure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T.S Industries 40–51%, Fund 20–40%, Co-investor 10–30%</w:t>
                  </w:r>
                </w:p>
              </w:tc>
            </w:tr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Debt structure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Senior debt from commercial banks + DFI concessional debt (blended finance)</w:t>
                  </w:r>
                </w:p>
              </w:tc>
            </w:tr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Project types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REIPP solar farms, social housing developments, water infrastructure, sovereign digital infrastructure</w:t>
                  </w:r>
                </w:p>
              </w:tc>
            </w:tr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Return profile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7–12% levered equity IRR at project level</w:t>
                  </w:r>
                </w:p>
              </w:tc>
            </w:tr>
            <w:tr>
              <w:tc>
                <w:tcPr>
                  <w:tcW w:type="dxa" w:w="300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M.A.D.I.B.A fees</w:t>
                  </w:r>
                </w:p>
              </w:tc>
              <w:tc>
                <w:tcPr>
                  <w:tcW w:type="dxa" w:w="6360"/>
                  <w:tcBorders>
                    <w:top w:val="single" w:color="C9A84C" w:sz="1"/>
                    <w:left w:val="single" w:color="C9A84C" w:sz="1"/>
                    <w:bottom w:val="single" w:color="C9A84C" w:sz="1"/>
                    <w:right w:val="single" w:color="C9A84C" w:sz="1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sz w:val="20"/>
                      <w:szCs w:val="20"/>
                    </w:rPr>
                    <w:t xml:space="preserve">Advisory fee (1–2% of project value) + SPV management fee (1% per annum on equity)</w:t>
                  </w:r>
                </w:p>
              </w:tc>
            </w:tr>
          </w:tbl>
          <w:p/>
        </w:tc>
      </w:tr>
    </w:tbl>
    <w:p>
      <w:pPr>
        <w:spacing w:before="80" w:after="80"/>
      </w:pPr>
      <w:r>
        <w:t xml:space="preserve"/>
      </w:r>
    </w:p>
    <w:p>
      <w:pPr>
        <w:spacing w:before="280" w:after="12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Vehicle 3: Sovereign Advisory Services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5F5F0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M.A.D.I.B.A provides direct advisory services to SADC governments, African national treasuries, and development finance institutions. These services do not require fund capital — they are professional service revenues.</w:t>
            </w:r>
          </w:p>
          <w:p>
            <w:pPr>
              <w:spacing w:before="80" w:after="80"/>
            </w:pPr>
            <w:r>
              <w:t xml:space="preserve"/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Digital transition advisory: AI governance framework design, UDOC deployment consultation, sovereign cloud strategy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Infrastructure finance advisory: Blended finance structuring, PPP design, REIPP participation advisory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Workforce transition advisory: S.E.T.H.S program replication design for other countries, SETHS licensing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Capital market access: Connecting African governments to institutional capital through the G.O.D.S network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SPV structuring advisory: Public-private partnership architecture for specific national projects</w:t>
            </w:r>
          </w:p>
          <w:p>
            <w:pPr>
              <w:spacing w:before="80" w:after="8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Revenue: Project-based advisory fees (R2M–R20M per mandate). Annual retainer agreements with partner governments.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400" w:after="160"/>
      </w:pPr>
      <w:r>
        <w:rPr>
          <w:rFonts w:ascii="Arial" w:cs="Arial" w:eastAsia="Arial" w:hAnsi="Arial"/>
          <w:b/>
          <w:bCs/>
          <w:color w:val="0A0A0A"/>
          <w:sz w:val="36"/>
          <w:szCs w:val="36"/>
        </w:rPr>
        <w:t xml:space="preserve">PART THREE — THE SOVEREIGN INTERFACE ARCHITECTURE</w:t>
      </w:r>
    </w:p>
    <w:p>
      <w:pPr>
        <w:pBdr>
          <w:bottom w:val="single" w:color="C9A84C" w:sz="4"/>
        </w:pBdr>
        <w:spacing w:before="120" w:after="120"/>
      </w:pPr>
    </w:p>
    <w:p>
      <w:pPr>
        <w:spacing w:before="80" w:after="80"/>
      </w:pPr>
      <w:r>
        <w:rPr>
          <w:rFonts w:ascii="Arial" w:cs="Arial" w:eastAsia="Arial" w:hAnsi="Arial"/>
          <w:b w:val="false"/>
          <w:bCs w:val="false"/>
          <w:color w:val="111111"/>
          <w:sz w:val="22"/>
          <w:szCs w:val="22"/>
        </w:rPr>
        <w:t xml:space="preserve">M.A.D.I.B.A's most distinctive capability — the one that no conventional fund manager can replicate — is its sovereign interface architecture: the combination of UDOC governance credibility, S.E.T.H.S workforce proof, and the G.O.D.S constitutional framework that allows M.A.D.I.B.A to sit in the room with sovereigns as a peer, not a supplicant.</w:t>
      </w:r>
    </w:p>
    <w:p>
      <w:pPr>
        <w:spacing w:before="8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F9F5EC" w:val="clear"/>
            <w:tcMar>
              <w:top w:type="dxa" w:w="200"/>
              <w:left w:type="dxa" w:w="300"/>
              <w:bottom w:type="dxa" w:w="200"/>
              <w:right w:type="dxa" w:w="300"/>
            </w:tcMar>
          </w:tcPr>
          <w:p>
            <w:pPr>
              <w:spacing w:before="200" w:after="80"/>
            </w:pPr>
            <w:r>
              <w:rPr>
                <w:rFonts w:ascii="Arial" w:cs="Arial" w:eastAsia="Arial" w:hAnsi="Arial"/>
                <w:b/>
                <w:bCs/>
                <w:color w:val="C9A84C"/>
                <w:sz w:val="24"/>
                <w:szCs w:val="24"/>
              </w:rPr>
              <w:t xml:space="preserve">The Sovereign Credibility Stack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UDOC provides: Independently audited digital governance data that governments can verify — the foundation of data sovereignty credibility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S.E.T.H.S provides: Documented workforce outcomes that demonstrate the system's human capital capability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Constitutional framework provides: A governance architecture that governments trust because it has structural constraints they can audit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T.S provides: Completed infrastructure projects that are physically visible and commercially documented</w:t>
            </w:r>
          </w:p>
          <w:p>
            <w:pPr>
              <w:spacing w:before="80" w:after="80"/>
            </w:pPr>
            <w:r>
              <w:t xml:space="preserve"/>
            </w:r>
          </w:p>
          <w:p>
            <w:pPr>
              <w:spacing w:before="80" w:after="80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22"/>
                <w:szCs w:val="22"/>
              </w:rPr>
              <w:t xml:space="preserve">Combined, these four elements give M.A.D.I.B.A a sovereign credibility stack that conventional fund managers cannot replicate. A conventional fund arrives with a pitch deck. M.A.D.I.B.A arrives with a functioning system.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spacing w:before="280" w:after="12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Priority Sovereign Partners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200"/>
        <w:gridCol w:w="2960"/>
      </w:tblGrid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Country / Institution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Entry Point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Relevant G.O.D.S System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 Partnership Type</w:t>
            </w:r>
          </w:p>
        </w:tc>
      </w:tr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South Africa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DSD/DoL (S.E.T.H.S), DTPS (UDOC), DFFE (T.S Housing)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All four systems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Master program contract + national infrastructure SPVs</w:t>
            </w:r>
          </w:p>
        </w:tc>
      </w:tr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Rwanda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Rwanda Development Board — known early adopter of governance technology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UDOC + S.E.T.H.S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UDOC licensing + workforce reintegration program design</w:t>
            </w:r>
          </w:p>
        </w:tc>
      </w:tr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Ghana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Ghana Investment Promotion Centre — active infrastructure PPP pipeline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T.S + M.A.D.I.B.A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Infrastructure fund LP + SPV co-investment</w:t>
            </w:r>
          </w:p>
        </w:tc>
      </w:tr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Kenya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Kenya Electricity Generating Company — active renewable energy program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T.S Energy + M.A.D.I.B.A Fund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REIP-equivalent co-investment + UDOC energy governance</w:t>
            </w:r>
          </w:p>
        </w:tc>
      </w:tr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Nigeria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African Development Bank regional hub — Abuja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M.A.D.I.B.A Fund + T.S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Regional DFI partnership for West Africa expansion</w:t>
            </w:r>
          </w:p>
        </w:tc>
      </w:tr>
      <w:tr>
        <w:tc>
          <w:tcPr>
            <w:tcW w:type="dxa" w:w="20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AfDB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Private Sector Department — blended finance instruments</w:t>
            </w:r>
          </w:p>
        </w:tc>
        <w:tc>
          <w:tcPr>
            <w:tcW w:type="dxa" w:w="220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M.A.D.I.B.A Infrastructure Fund</w:t>
            </w:r>
          </w:p>
        </w:tc>
        <w:tc>
          <w:tcPr>
            <w:tcW w:type="dxa" w:w="2960"/>
            <w:tcBorders>
              <w:top w:val="single" w:color="C9A84C" w:sz="1"/>
              <w:left w:val="single" w:color="C9A84C" w:sz="1"/>
              <w:bottom w:val="single" w:color="C9A84C" w:sz="1"/>
              <w:right w:val="single" w:color="C9A84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Cornerstone LP commitment + blended finance co-structuring</w:t>
            </w:r>
          </w:p>
        </w:tc>
      </w:tr>
    </w:tbl>
    <w:p>
      <w:pPr>
        <w:spacing w:before="80" w:after="80"/>
      </w:pPr>
      <w:r>
        <w:t xml:space="preserve"/>
      </w:r>
    </w:p>
    <w:p>
      <w:pPr>
        <w:pBdr>
          <w:bottom w:val="single" w:color="C9A84C" w:sz="4"/>
        </w:pBdr>
        <w:spacing w:before="120" w:after="120"/>
      </w:pPr>
    </w:p>
    <w:p>
      <w:pPr>
        <w:spacing w:before="80" w:after="80"/>
      </w:pPr>
      <w:r>
        <w:t xml:space="preserve"/>
      </w:r>
    </w:p>
    <w:p>
      <w:pPr>
        <w:spacing w:before="80" w:after="80"/>
        <w:jc w:val="center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M.A.D.I.B.A Capital Strategy — G.O.D.S Holdings</w:t>
      </w:r>
    </w:p>
    <w:p>
      <w:pPr>
        <w:spacing w:before="80" w:after="80"/>
        <w:jc w:val="center"/>
      </w:pPr>
      <w:r>
        <w:rPr>
          <w:rFonts w:ascii="Arial" w:cs="Arial" w:eastAsia="Arial" w:hAnsi="Arial"/>
          <w:b w:val="false"/>
          <w:bCs w:val="false"/>
          <w:color w:val="888888"/>
          <w:sz w:val="20"/>
          <w:szCs w:val="20"/>
        </w:rPr>
        <w:t xml:space="preserve">G.O.D.S Holdings | Johannesburg, South Africa | 2026</w:t>
      </w:r>
    </w:p>
    <w:p>
      <w:pPr>
        <w:spacing w:before="0" w:after="200"/>
        <w:jc w:val="center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CONFIDENTIAL — For Institutional Review Only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2026-03-12T08:03:51.420Z</dcterms:created>
  <dcterms:modified xsi:type="dcterms:W3CDTF">2026-03-12T08:03:51.421Z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