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80"/>
      </w:pPr>
    </w:p>
    <w:p>
      <w:pPr>
        <w:spacing w:before="200" w:after="80"/>
        <w:jc w:val="center"/>
      </w:pPr>
      <w:r>
        <w:rPr>
          <w:b/>
          <w:bCs/>
          <w:color w:val="C9A84C"/>
          <w:sz w:val="56"/>
          <w:szCs w:val="56"/>
          <w:rFonts w:ascii="Georgia" w:cs="Georgia" w:eastAsia="Georgia" w:hAnsi="Georgia"/>
        </w:rPr>
        <w:t xml:space="preserve">G.O.D.S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Good Orderly Directional Systems</w:t>
      </w:r>
    </w:p>
    <w:p>
      <w:pPr>
        <w:pBdr>
          <w:bottom w:val="single" w:color="C9A84C" w:sz="6"/>
        </w:pBdr>
        <w:spacing w:before="160" w:after="160"/>
      </w:pP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MARKET ANALYSIS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TAM / SAM / SOM — Four-Division Addressable Market Report</w:t>
      </w:r>
    </w:p>
    <w:p>
      <w:pPr>
        <w:spacing w:before="80"/>
      </w:pPr>
    </w:p>
    <w:p>
      <w:pPr>
        <w:spacing w:before="40" w:after="4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March 2026 | Sashin J. Singh — Founder &amp; Systems Architect</w:t>
      </w:r>
    </w:p>
    <w:p>
      <w:pPr>
        <w:spacing w:before="80"/>
      </w:pPr>
    </w:p>
    <w:p>
      <w:pPr>
        <w:spacing w:before="40" w:after="40"/>
        <w:jc w:val="center"/>
      </w:pPr>
      <w:r>
        <w:rPr>
          <w:i/>
          <w:iCs/>
          <w:color w:val="8A8A9A"/>
          <w:sz w:val="14"/>
          <w:szCs w:val="14"/>
          <w:rFonts w:ascii="Arial" w:cs="Arial" w:eastAsia="Arial" w:hAnsi="Arial"/>
        </w:rPr>
        <w:t xml:space="preserve">CONFIDENTIAL — INVESTOR NDA REQUIRED — MARKET ANALYSIS — G.O.D.S Holdings (Pty) Ltd — March 2026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1. EXECUTIVE MARKET SUMMARY</w:t>
      </w:r>
    </w:p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G.O.D.S operates at the intersection of four converging markets — each individually large, each structurally underserved, each commercially addressable within existing procurement frameworks.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000"/>
        <w:gridCol w:w="2000"/>
        <w:gridCol w:w="1700"/>
        <w:gridCol w:w="18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Division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TAM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SAM (SA + SADC)</w:t>
            </w:r>
          </w:p>
        </w:tc>
        <w:tc>
          <w:tcPr>
            <w:tcW w:type="dxa" w:w="17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SOM (5-Year)</w:t>
            </w:r>
          </w:p>
        </w:tc>
        <w:tc>
          <w:tcPr>
            <w:tcW w:type="dxa" w:w="18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Primary Driver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(Human Capital)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R850B+/year globally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R45B/year (SA + SADC government contracts)</w:t>
            </w:r>
          </w:p>
        </w:tc>
        <w:tc>
          <w:tcPr>
            <w:tcW w:type="dxa" w:w="17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R280M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rehabilitation + AI displacement reskilling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(AI Governance SaaS)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USD 43B by 2030 globally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R15B (African market 5-year)</w:t>
            </w:r>
          </w:p>
        </w:tc>
        <w:tc>
          <w:tcPr>
            <w:tcW w:type="dxa" w:w="17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R320M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EU AI Act compliance, sovereign data regulation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Industries (Infrastructure)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USD 68–108B/year SADC gap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R200B (SA pipeline approved)</w:t>
            </w:r>
          </w:p>
        </w:tc>
        <w:tc>
          <w:tcPr>
            <w:tcW w:type="dxa" w:w="17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R480M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REIPP, Social Housing, MIG, EPWP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(Capital Platform)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USD 3T+ global impact capital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R2T (DFI + sovereign funds SA + SADC)</w:t>
            </w:r>
          </w:p>
        </w:tc>
        <w:tc>
          <w:tcPr>
            <w:tcW w:type="dxa" w:w="17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R120M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DFI capital deployment vehicles, SPV co-investment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2. DIVISION 1: S.E.T.H.S — HUMAN CAPITAL MARKET</w:t>
      </w:r>
    </w:p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2.1 Total Addressable Market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 global workforce transition and rehabilitation market is enormous and structurally underserved. Three distinct revenue pools comprise the TAM: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Government Workforce Rehabilitation: SA government spends R3B–R8B annually on workforce development contracts, SEF, EPWP, and SETA-funded programmes. Regional SADC equivalent adds R25B+ annually.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AI Displacement Reskilling: BCG estimates 71% of African executives believe job stability depends on AI strategy in 2026. A USD 30T global knowledge work sector is at displacement risk, generating mandatory reskilling expenditure at corporate and government level.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Correctional Rehabilitation: DCS (Department of Correctional Services) manages 160,000+ incarcerated individuals at R120,000+ per prisoner per year. Cost-per-outcome alternatives are structurally demanded.</w:t>
      </w:r>
    </w:p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2.2 Serviceable Addressable Market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Within South Africa and initial SADC markets, S.E.T.H.S addresses: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200"/>
        <w:gridCol w:w="4360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Segment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Annual SAM (ZAR)</w:t>
            </w:r>
          </w:p>
        </w:tc>
        <w:tc>
          <w:tcPr>
            <w:tcW w:type="dxa" w:w="43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Procurement Mechanism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Social Employment Fund (SEF) — National Treasury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R5B–R15B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PFMA-compliant outcome-based service delivery contracts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EPWP (Expanded Public Works Programme)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R2B–R8B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DORA allocation, per-FTE employment subsidy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SETA Discretionary + Mandatory Grants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R1B–R4B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Skills Development Act — sector-specific allocation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DCS Rehabilitation Programmes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R800M–R2B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Correctional Services Act PPP delivery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DSD Victim Empowerment + Youth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R500M–R1.5B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Outcome-payment structure contracts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SA SAM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R9.3B–R30.5B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</w:tr>
    </w:tbl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2.3 Serviceable Obtainable Market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S.E.T.H.S 5-year SOM assumes: 3–5% market share of SA government contracts by Year 5, expansion into 2 SADC markets by Year 4, and employer SaaS platform scaling to 150+ employer partners.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1440"/>
        <w:gridCol w:w="1440"/>
        <w:gridCol w:w="5040"/>
      </w:tblGrid>
      <w:tr>
        <w:tc>
          <w:tcPr>
            <w:tcW w:type="dxa" w:w="144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</w:t>
            </w:r>
          </w:p>
        </w:tc>
        <w:tc>
          <w:tcPr>
            <w:tcW w:type="dxa" w:w="144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Participants</w:t>
            </w:r>
          </w:p>
        </w:tc>
        <w:tc>
          <w:tcPr>
            <w:tcW w:type="dxa" w:w="144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Revenue</w:t>
            </w:r>
          </w:p>
        </w:tc>
        <w:tc>
          <w:tcPr>
            <w:tcW w:type="dxa" w:w="504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Key Milestone</w:t>
            </w:r>
          </w:p>
        </w:tc>
      </w:tr>
      <w:tr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R3.95M</w:t>
            </w:r>
          </w:p>
        </w:tc>
        <w:tc>
          <w:tcPr>
            <w:tcW w:type="dxa" w:w="50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Stage One pilot — Gauteng, 1 government MOU</w:t>
            </w:r>
          </w:p>
        </w:tc>
      </w:tr>
      <w:tr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2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200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R14M</w:t>
            </w:r>
          </w:p>
        </w:tc>
        <w:tc>
          <w:tcPr>
            <w:tcW w:type="dxa" w:w="50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National rollout begins, 3 provinces, government master contract</w:t>
            </w:r>
          </w:p>
        </w:tc>
      </w:tr>
      <w:tr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500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R28M</w:t>
            </w:r>
          </w:p>
        </w:tc>
        <w:tc>
          <w:tcPr>
            <w:tcW w:type="dxa" w:w="50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First SADC market entry, SETA accreditation</w:t>
            </w:r>
          </w:p>
        </w:tc>
      </w:tr>
      <w:tr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1,500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R65M</w:t>
            </w:r>
          </w:p>
        </w:tc>
        <w:tc>
          <w:tcPr>
            <w:tcW w:type="dxa" w:w="50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 SADC markets, employer SaaS 50+ clients</w:t>
            </w:r>
          </w:p>
        </w:tc>
      </w:tr>
      <w:tr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5,000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R140M</w:t>
            </w:r>
          </w:p>
        </w:tc>
        <w:tc>
          <w:tcPr>
            <w:tcW w:type="dxa" w:w="50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Continental rollout, AI-literacy specialist stream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3. DIVISION 2: UDOC — AI GOVERNANCE SAAS MARKET</w:t>
      </w:r>
    </w:p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3.1 Total Addressable Market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 AI governance market is in its earliest commercial phase — and growing at 38% CAGR. Multiple converging regulatory drivers are creating mandatory compliance demand globally: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EU AI Act (2024): Mandatory compliance requirements for high-risk AI systems. Affects all South African companies with EU operations or EU-jurisdiction exposure.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AU Continental AI Strategy: Phase 1 implementation underway. 44 African nations with data protection laws, 38 with enforcement bodies — none with constitutional-grade AI governance infrastructure.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POPIA Extension (SA): POPIA's AI decision-making provisions are creating enterprise compliance demand across all regulated sectors.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Global Market Size: AI governance and compliance tools market estimated USD 4.2B in 2024, growing to USD 43B by 2030 (MarketsandMarkets, IDC).</w:t>
      </w:r>
    </w:p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3.2 Serviceable Addressable Market — South Africa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200"/>
        <w:gridCol w:w="4360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Sector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AI Governance SAM (Annual)</w:t>
            </w:r>
          </w:p>
        </w:tc>
        <w:tc>
          <w:tcPr>
            <w:tcW w:type="dxa" w:w="43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Rationale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Financial Services (JSE-listed banks + insurers)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R1.5B–R3.5B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Highest AI deployment, FSCA oversight, EU Act exposure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Healthcare (private hospital groups + medical aids)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R600M–R1.5B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Clinical AI liability, SAHPRA requirements, NHI data governance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(DPSA, SARS, SASSA, IEC)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R1.2B–R4B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National digital backbone mandate, POPIA, constitutional AI governance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Energy (Eskom, municipalities, IPPs)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R400M–R1.2B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Critical infrastructure classification, grid AI governance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Telecommunications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R300M–R800M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Spectrum AI, customer data governance, regulatory compliance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SA SAM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R4B–R11B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Base case: R6.5B annually by Year 3</w:t>
            </w:r>
          </w:p>
        </w:tc>
      </w:tr>
    </w:tbl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3.3 Serviceable Obtainable Market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UDOC's 5-year SOM assumes enterprise SaaS penetration and first government sovereign contracts:</w:t>
      </w: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1800"/>
        <w:gridCol w:w="1800"/>
        <w:gridCol w:w="1440"/>
        <w:gridCol w:w="3880"/>
      </w:tblGrid>
      <w:tr>
        <w:tc>
          <w:tcPr>
            <w:tcW w:type="dxa" w:w="144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Enterprise Clients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Govt Deployments</w:t>
            </w:r>
          </w:p>
        </w:tc>
        <w:tc>
          <w:tcPr>
            <w:tcW w:type="dxa" w:w="144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ARR Target</w:t>
            </w:r>
          </w:p>
        </w:tc>
        <w:tc>
          <w:tcPr>
            <w:tcW w:type="dxa" w:w="388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Notes</w:t>
            </w:r>
          </w:p>
        </w:tc>
      </w:tr>
      <w:tr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 pilot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R2.2M</w:t>
            </w:r>
          </w:p>
        </w:tc>
        <w:tc>
          <w:tcPr>
            <w:tcW w:type="dxa" w:w="38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Financial services + healthcare beta clients</w:t>
            </w:r>
          </w:p>
        </w:tc>
      </w:tr>
      <w:tr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2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 departments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R7M</w:t>
            </w:r>
          </w:p>
        </w:tc>
        <w:tc>
          <w:tcPr>
            <w:tcW w:type="dxa" w:w="38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SARS or DPSA live deployment</w:t>
            </w:r>
          </w:p>
        </w:tc>
      </w:tr>
      <w:tr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25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 departments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R22M</w:t>
            </w:r>
          </w:p>
        </w:tc>
        <w:tc>
          <w:tcPr>
            <w:tcW w:type="dxa" w:w="38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National AI registry mandate</w:t>
            </w:r>
          </w:p>
        </w:tc>
      </w:tr>
      <w:tr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4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55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10+ (SADC entry)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R75M</w:t>
            </w:r>
          </w:p>
        </w:tc>
        <w:tc>
          <w:tcPr>
            <w:tcW w:type="dxa" w:w="38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SADC 2 markets, quantum tier launch</w:t>
            </w:r>
          </w:p>
        </w:tc>
      </w:tr>
      <w:tr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100+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15+ sovereign</w:t>
            </w:r>
          </w:p>
        </w:tc>
        <w:tc>
          <w:tcPr>
            <w:tcW w:type="dxa" w:w="144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R180M</w:t>
            </w:r>
          </w:p>
        </w:tc>
        <w:tc>
          <w:tcPr>
            <w:tcW w:type="dxa" w:w="38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Continental governance backbone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4. DIVISION 3: T.S INDUSTRIES — INFRASTRUCTURE MARKET</w:t>
      </w:r>
    </w:p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4.1 Total Addressable Market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 South African and SADC infrastructure deficit is among the most comprehensively documented investment opportunities on the continent: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Housing: R800B total SA housing deficit. Government delivery running at 10% of required pace. 3.7M unit backlog.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Energy: R200B+ REIPP pipeline approved for 2024–2030. Load-shedding costs R900M/day in economic output.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Water: R600B investment required over 20 years to restore SA water infrastructure. 37% of municipal water lost to leaks.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SADC Total: Infrastructure gap estimated at USD 68–108B annually across 16 SADC member states.</w:t>
      </w:r>
    </w:p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4.2 T.S Revenue Model &amp; SOM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800"/>
        <w:gridCol w:w="1800"/>
        <w:gridCol w:w="2560"/>
      </w:tblGrid>
      <w:tr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T.S Vertical</w:t>
            </w:r>
          </w:p>
        </w:tc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Revenue Model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 Target</w:t>
            </w:r>
          </w:p>
        </w:tc>
        <w:tc>
          <w:tcPr>
            <w:tcW w:type="dxa" w:w="25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 Target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Energy (Solar EPC + O&amp;M)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EPC contracts R5M–R500M/project + annual O&amp;M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R22M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R180M+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Construction &amp; Housing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housing contracts + Section 13sex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R120M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AgriTech (Vertical Farming)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food security + commercial offtake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R8M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R75M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Water Systems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Municipal maintenance contracts + new infrastructure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R50M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Digital Infrastructure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hosting + sovereign cloud data centres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R4M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R35M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T.S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R54M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R460M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5. DIVISION 4: M.A.D.I.B.A — CAPITAL MARKETS</w:t>
      </w:r>
    </w:p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5.1 Total Addressable Market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M.A.D.I.B.A operates in the African infrastructure capital deployment market — connecting institutional capital with proven G.O.D.S infrastructure projects: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African DFIs (DBSA, IDC, AfDB, Afreximbank): Combined available capital exceeding R2 trillion with active emerging market infrastructure mandate.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South African sovereign funds (PIC, GEPF): PIC manages R2.5T+ in assets; GEPF R2.1T+. Both have active mandates for infrastructure and developmental investment.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b w:val="false"/>
          <w:bCs w:val="false"/>
          <w:color w:val="1A1A2E"/>
          <w:sz w:val="20"/>
          <w:szCs w:val="20"/>
          <w:rFonts w:ascii="Arial" w:cs="Arial" w:eastAsia="Arial" w:hAnsi="Arial"/>
        </w:rPr>
        <w:t xml:space="preserve">Global impact capital: McKinsey estimates AI could generate USD 1.2T in value in Africa by 2030. USD 3T+ in global capital earmarked for emerging market infrastructure.</w:t>
      </w:r>
    </w:p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5.2 M.A.D.I.B.A Fund Structure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100"/>
        <w:gridCol w:w="2100"/>
        <w:gridCol w:w="2960"/>
      </w:tblGrid>
      <w:tr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Fund Parameter</w:t>
            </w:r>
          </w:p>
        </w:tc>
        <w:tc>
          <w:tcPr>
            <w:tcW w:type="dxa" w:w="21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Stage One (First Close)</w:t>
            </w:r>
          </w:p>
        </w:tc>
        <w:tc>
          <w:tcPr>
            <w:tcW w:type="dxa" w:w="21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Stage Two</w:t>
            </w:r>
          </w:p>
        </w:tc>
        <w:tc>
          <w:tcPr>
            <w:tcW w:type="dxa" w:w="29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Long-Term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Fund Size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R2B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R10B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R50B+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LP Profile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PIC, GEPF, IDC, DBSA, AfDB, IFC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Add sovereign wealth funds, international DFIs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Continental and international institutional capital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Management Fee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1.5% committed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1.5% committed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1.5% committed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Carried Interest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20% above 8% hurdle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20% above 8% hurdle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20% above 8% hurdle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Target IRR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12–16% net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10–14% net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8–12% net (scale)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Fund Term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 years + 2 extension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 years + 2 extension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Long-hold sovereign structures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Revenue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R30M fees + carry Year 5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R150M+ Year 10</w:t>
            </w:r>
          </w:p>
        </w:tc>
        <w:tc>
          <w:tcPr>
            <w:tcW w:type="dxa" w:w="2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R500M+ Year 15+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6. COMBINED MARKET OPPORTUNITY SUMMARY</w:t>
      </w:r>
    </w:p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G.O.D.S does not compete in one market. It creates infrastructure at the intersection of four — each market too large for any competitor to address alone, collectively addressable only through the compounding loop G.O.D.S has built.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620"/>
        <w:gridCol w:w="1620"/>
        <w:gridCol w:w="1620"/>
        <w:gridCol w:w="2100"/>
      </w:tblGrid>
      <w:tr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Metric</w:t>
            </w:r>
          </w:p>
        </w:tc>
        <w:tc>
          <w:tcPr>
            <w:tcW w:type="dxa" w:w="162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162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62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  <w:tc>
          <w:tcPr>
            <w:tcW w:type="dxa" w:w="21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10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Revenue (Base)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R6.95M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R78M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R450M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R3.5B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Combined SAM Penetration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0.02%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0.8%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3.2%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12%+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Deployments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 pilot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 departments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15 sovereign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50+ (SADC)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Participants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500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5,000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100,000+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Infrastructure Deployed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R200M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R2B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R35B+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 AUM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R500M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R5B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R45B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Markets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 (Gauteng)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 National</w:t>
            </w:r>
          </w:p>
        </w:tc>
        <w:tc>
          <w:tcPr>
            <w:tcW w:type="dxa" w:w="162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 + 3 SADC</w:t>
            </w:r>
          </w:p>
        </w:tc>
        <w:tc>
          <w:tcPr>
            <w:tcW w:type="dxa" w:w="21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 + 12 SADC</w:t>
            </w:r>
          </w:p>
        </w:tc>
      </w:tr>
    </w:tbl>
    <w:p>
      <w:pPr>
        <w:pBdr>
          <w:bottom w:val="single" w:color="C9A84C" w:sz="6"/>
        </w:pBdr>
        <w:spacing w:before="160" w:after="160"/>
      </w:pPr>
    </w:p>
    <w:p>
      <w:pPr>
        <w:spacing w:before="120" w:after="8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Market Analysis v1.0 | March 2026 | CONFIDENTIAL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84C" w:sz="4"/>
      </w:pBdr>
      <w:jc w:val="center"/>
    </w:pPr>
    <w:r>
      <w:rPr>
        <w:color w:val="8A8A9A"/>
        <w:sz w:val="14"/>
        <w:szCs w:val="14"/>
        <w:rFonts w:ascii="Arial" w:cs="Arial" w:eastAsia="Arial" w:hAnsi="Arial"/>
      </w:rPr>
      <w:t xml:space="preserve">© 2026 G.O.D.S Holdings (Pty) Ltd  |  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6"/>
      </w:pBdr>
    </w:pPr>
    <w:r>
      <w:rPr>
        <w:color w:val="8A8A9A"/>
        <w:sz w:val="16"/>
        <w:szCs w:val="16"/>
        <w:rFonts w:ascii="Arial" w:cs="Arial" w:eastAsia="Arial" w:hAnsi="Arial"/>
      </w:rPr>
      <w:t xml:space="preserve">G.O.D.S Holdings (Pty) Ltd  |  Market Analysis — TAM/SAM/SOM  | 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20"/>
      <w:outlineLvl w:val="0"/>
    </w:pPr>
    <w:rPr>
      <w:b/>
      <w:bCs/>
      <w:color w:val="C9A84C"/>
      <w:sz w:val="34"/>
      <w:szCs w:val="34"/>
      <w:rFonts w:ascii="Georgia" w:cs="Georgia" w:eastAsia="Georgia" w:hAnsi="Georgia"/>
    </w:rPr>
  </w:style>
  <w:style w:type="paragraph" w:styleId="Heading2">
    <w:name w:val="Heading 2"/>
    <w:basedOn w:val="Normal"/>
    <w:next w:val="Normal"/>
    <w:qFormat/>
    <w:pPr>
      <w:spacing w:before="240" w:after="100"/>
      <w:outlineLvl w:val="1"/>
    </w:pPr>
    <w:rPr>
      <w:b/>
      <w:bCs/>
      <w:color w:val="060E1C"/>
      <w:sz w:val="28"/>
      <w:szCs w:val="28"/>
      <w:rFonts w:ascii="Georgia" w:cs="Georgia" w:eastAsia="Georgia" w:hAnsi="Georgia"/>
    </w:rPr>
  </w:style>
  <w:style w:type="paragraph" w:styleId="Heading3">
    <w:name w:val="Heading 3"/>
    <w:basedOn w:val="Normal"/>
    <w:next w:val="Normal"/>
    <w:qFormat/>
    <w:pPr>
      <w:spacing w:before="160" w:after="80"/>
      <w:outlineLvl w:val="2"/>
    </w:pPr>
    <w:rPr>
      <w:b/>
      <w:bCs/>
      <w:color w:val="333355"/>
      <w:sz w:val="22"/>
      <w:szCs w:val="22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2026-04-12T22:14:39.418Z</dcterms:created>
  <dcterms:modified xsi:type="dcterms:W3CDTF">2026-04-12T22:14:39.418Z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