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
    <w:p/>
    <w:p>
      <w:pPr>
        <w:spacing w:before="200" w:after="80"/>
        <w:jc w:val="center"/>
      </w:pPr>
      <w:r>
        <w:rPr>
          <w:b/>
          <w:bCs/>
          <w:color w:val="C9A84C"/>
          <w:sz w:val="56"/>
          <w:szCs w:val="56"/>
          <w:rFonts w:ascii="Georgia" w:cs="Georgia" w:eastAsia="Georgia" w:hAnsi="Georgia"/>
        </w:rPr>
        <w:t xml:space="preserve">G.O.D.S</w:t>
      </w:r>
    </w:p>
    <w:p>
      <w:pPr>
        <w:spacing w:before="60" w:after="60"/>
        <w:jc w:val="center"/>
      </w:pPr>
      <w:r>
        <w:rPr>
          <w:color w:val="F5F0E8"/>
          <w:sz w:val="22"/>
          <w:szCs w:val="22"/>
          <w:rFonts w:ascii="Arial" w:cs="Arial" w:eastAsia="Arial" w:hAnsi="Arial"/>
        </w:rPr>
        <w:t xml:space="preserve">Good Orderly Directional Systems</w:t>
      </w:r>
    </w:p>
    <w:p>
      <w:pPr>
        <w:pBdr>
          <w:bottom w:val="single" w:color="C9A84C" w:sz="6"/>
        </w:pBdr>
        <w:spacing w:before="160" w:after="160"/>
      </w:pPr>
    </w:p>
    <w:p>
      <w:pPr>
        <w:spacing w:before="60" w:after="60"/>
        <w:jc w:val="center"/>
      </w:pPr>
      <w:r>
        <w:rPr>
          <w:color w:val="F5F0E8"/>
          <w:sz w:val="22"/>
          <w:szCs w:val="22"/>
          <w:rFonts w:ascii="Arial" w:cs="Arial" w:eastAsia="Arial" w:hAnsi="Arial"/>
        </w:rPr>
        <w:t xml:space="preserve">COMPETITIVE ANALYSIS</w:t>
      </w:r>
    </w:p>
    <w:p>
      <w:pPr>
        <w:spacing w:before="60" w:after="60"/>
        <w:jc w:val="center"/>
      </w:pPr>
      <w:r>
        <w:rPr>
          <w:color w:val="F5F0E8"/>
          <w:sz w:val="22"/>
          <w:szCs w:val="22"/>
          <w:rFonts w:ascii="Arial" w:cs="Arial" w:eastAsia="Arial" w:hAnsi="Arial"/>
        </w:rPr>
        <w:t xml:space="preserve">Strategic Positioning — Four-Division Competitive Landscape</w:t>
      </w:r>
    </w:p>
    <w:p/>
    <w:p>
      <w:pPr>
        <w:spacing w:before="40" w:after="40"/>
        <w:jc w:val="center"/>
      </w:pPr>
      <w:r>
        <w:rPr>
          <w:color w:val="8A8A9A"/>
          <w:sz w:val="18"/>
          <w:szCs w:val="18"/>
          <w:rFonts w:ascii="Arial" w:cs="Arial" w:eastAsia="Arial" w:hAnsi="Arial"/>
        </w:rPr>
        <w:t xml:space="preserve">G.O.D.S Holdings (Pty) Ltd | March 2026 | Access Level 3</w:t>
      </w:r>
    </w:p>
    <w:p/>
    <w:p>
      <w:pPr>
        <w:spacing w:before="40" w:after="40"/>
        <w:jc w:val="center"/>
      </w:pPr>
      <w:r>
        <w:rPr>
          <w:i/>
          <w:iCs/>
          <w:color w:val="8A8A9A"/>
          <w:sz w:val="14"/>
          <w:szCs w:val="14"/>
          <w:rFonts w:ascii="Arial" w:cs="Arial" w:eastAsia="Arial" w:hAnsi="Arial"/>
        </w:rPr>
        <w:t xml:space="preserve">CONFIDENTIAL — COMPETITIVE ANALYSIS — G.O.D.S Holdings (Pty) Ltd — March 2026</w:t>
      </w:r>
    </w:p>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1. THE CORRECT COMPETITIVE FRAME</w:t>
      </w:r>
    </w:p>
    <w:p>
      <w:pPr>
        <w:pBdr>
          <w:top w:val="single" w:color="E8E4DA" w:sz="4"/>
          <w:bottom w:val="single" w:color="E8E4DA" w:sz="4"/>
          <w:left w:val="single" w:color="C9A84C" w:sz="12"/>
          <w:right w:val="single" w:color="E8E4DA" w:sz="4"/>
        </w:pBdr>
        <w:spacing w:before="160" w:after="160"/>
      </w:pPr>
      <w:r>
        <w:rPr>
          <w:i/>
          <w:iCs/>
          <w:color w:val="060E1C"/>
          <w:sz w:val="22"/>
          <w:szCs w:val="22"/>
          <w:rFonts w:ascii="Georgia" w:cs="Georgia" w:eastAsia="Georgia" w:hAnsi="Georgia"/>
        </w:rPr>
        <w:t xml:space="preserve">G.O.D.S does not compete with any single entity. It competes with the combination of entities that would need to work together to replicate what G.O.D.S does — and that combination cannot coordinate the way G.O.D.S can.</w:t>
      </w:r>
    </w:p>
    <w:p>
      <w:pPr>
        <w:spacing w:before="80" w:after="80"/>
      </w:pPr>
      <w:r>
        <w:rPr>
          <w:color w:val="1A1A2E"/>
          <w:sz w:val="20"/>
          <w:szCs w:val="20"/>
          <w:rFonts w:ascii="Arial" w:cs="Arial" w:eastAsia="Arial" w:hAnsi="Arial"/>
        </w:rPr>
        <w:t xml:space="preserve">G.O.D.S is a new category. There is no direct competitor — no company that simultaneously operates workforce reintegration, physical infrastructure production, AI governance SaaS, and institutional capital architecture in an integrated compounding loop. Competition comes from four different directions at once, each attacking a different division.</w:t>
      </w:r>
    </w:p>
    <w:p>
      <w:pPr>
        <w:spacing w:before="80" w:after="80"/>
      </w:pPr>
      <w:r>
        <w:rPr>
          <w:color w:val="1A1A2E"/>
          <w:sz w:val="20"/>
          <w:szCs w:val="20"/>
          <w:rFonts w:ascii="Arial" w:cs="Arial" w:eastAsia="Arial" w:hAnsi="Arial"/>
        </w:rPr>
        <w:t xml:space="preserve">The compounding loop creates a structural competitive moat that has nothing to do with technology patents, market share, or brand. The moat is the integration itself.</w:t>
      </w:r>
    </w:p>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2. DIVISION-BY-DIVISION COMPETITIVE ANALYSIS</w:t>
      </w:r>
    </w:p>
    <w:p>
      <w:pPr>
        <w:pStyle w:val="Heading2"/>
        <w:spacing w:before="240" w:after="100"/>
      </w:pPr>
      <w:r>
        <w:rPr>
          <w:b/>
          <w:bCs/>
          <w:color w:val="060E1C"/>
          <w:sz w:val="28"/>
          <w:szCs w:val="28"/>
          <w:rFonts w:ascii="Georgia" w:cs="Georgia" w:eastAsia="Georgia" w:hAnsi="Georgia"/>
        </w:rPr>
        <w:t xml:space="preserve">2.1 S.E.T.H.S — Human Capital Competitive Landscape</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4320"/>
      </w:tblGrid>
      <w:tr>
        <w:tc>
          <w:tcPr>
            <w:tcW w:type="dxa" w:w="18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Competitor Type</w:t>
            </w:r>
          </w:p>
        </w:tc>
        <w:tc>
          <w:tcPr>
            <w:tcW w:type="dxa" w:w="18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Example Entities</w:t>
            </w:r>
          </w:p>
        </w:tc>
        <w:tc>
          <w:tcPr>
            <w:tcW w:type="dxa" w:w="18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Strengths</w:t>
            </w:r>
          </w:p>
        </w:tc>
        <w:tc>
          <w:tcPr>
            <w:tcW w:type="dxa" w:w="432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Weaknesses vs S.E.T.H.S</w:t>
            </w:r>
          </w:p>
        </w:tc>
      </w:tr>
      <w:tr>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Government training programmes</w:t>
            </w:r>
          </w:p>
        </w:tc>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LGSETA, MerSETA, EPWP</w:t>
            </w:r>
          </w:p>
        </w:tc>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Existing government relationships, established procurement</w:t>
            </w:r>
          </w:p>
        </w:tc>
        <w:tc>
          <w:tcPr>
            <w:tcW w:type="dxa" w:w="43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Single-domain. No employer network. No post-placement monitoring. No UDOC data integration. No compounding loop.</w:t>
            </w:r>
          </w:p>
        </w:tc>
      </w:tr>
      <w:tr>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NGO rehabilitation organisations</w:t>
            </w:r>
          </w:p>
        </w:tc>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SANCA, Lifeline, NICRO</w:t>
            </w:r>
          </w:p>
        </w:tc>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Deep community trust, established referral networks</w:t>
            </w:r>
          </w:p>
        </w:tc>
        <w:tc>
          <w:tcPr>
            <w:tcW w:type="dxa" w:w="43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Not commercially structured. No technical skills training. No employer placement capability. Funding-dependent.</w:t>
            </w:r>
          </w:p>
        </w:tc>
      </w:tr>
      <w:tr>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Private skills development companies</w:t>
            </w:r>
          </w:p>
        </w:tc>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Capaciti, Harambee Youth Employment</w:t>
            </w:r>
          </w:p>
        </w:tc>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Commercial structure, employer relationships</w:t>
            </w:r>
          </w:p>
        </w:tc>
        <w:tc>
          <w:tcPr>
            <w:tcW w:type="dxa" w:w="43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No reintegration specialisation. No addiction/incarceration pathway. Not connected to infrastructure employment.</w:t>
            </w:r>
          </w:p>
        </w:tc>
      </w:tr>
      <w:tr>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Corporate CSI programmes</w:t>
            </w:r>
          </w:p>
        </w:tc>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Absa Foundation, Naspers Foundation</w:t>
            </w:r>
          </w:p>
        </w:tc>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Funding, brand, employer access</w:t>
            </w:r>
          </w:p>
        </w:tc>
        <w:tc>
          <w:tcPr>
            <w:tcW w:type="dxa" w:w="43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Not systematic. Not scalable. No governance accountability structure.</w:t>
            </w:r>
          </w:p>
        </w:tc>
      </w:tr>
    </w:tbl>
    <w:p>
      <w:pPr>
        <w:spacing w:before="80" w:after="80"/>
      </w:pPr>
      <w:r>
        <w:rPr>
          <w:color w:val="1A1A2E"/>
          <w:sz w:val="20"/>
          <w:szCs w:val="20"/>
          <w:rFonts w:ascii="Arial" w:cs="Arial" w:eastAsia="Arial" w:hAnsi="Arial"/>
        </w:rPr>
        <w:t xml:space="preserve">S.E.T.H.S ADVANTAGE: The only programme in South Africa that combines clinical stabilisation, identity reconstruction, technical skills development, employment placement, post-placement monitoring, AND direct employment pipeline to T.S infrastructure — within a commercially structured, government-contract-ready, UDOC-integrated system.</w:t>
      </w:r>
    </w:p>
    <w:p>
      <w:pPr>
        <w:pStyle w:val="Heading2"/>
        <w:spacing w:before="240" w:after="100"/>
      </w:pPr>
      <w:r>
        <w:rPr>
          <w:b/>
          <w:bCs/>
          <w:color w:val="060E1C"/>
          <w:sz w:val="28"/>
          <w:szCs w:val="28"/>
          <w:rFonts w:ascii="Georgia" w:cs="Georgia" w:eastAsia="Georgia" w:hAnsi="Georgia"/>
        </w:rPr>
        <w:t xml:space="preserve">2.2 UDOC — AI Governance SaaS Competitive Landscape</w:t>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900"/>
        <w:gridCol w:w="3820"/>
      </w:tblGrid>
      <w:tr>
        <w:tc>
          <w:tcPr>
            <w:tcW w:type="dxa" w:w="18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Competitor</w:t>
            </w:r>
          </w:p>
        </w:tc>
        <w:tc>
          <w:tcPr>
            <w:tcW w:type="dxa" w:w="18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What They Do</w:t>
            </w:r>
          </w:p>
        </w:tc>
        <w:tc>
          <w:tcPr>
            <w:tcW w:type="dxa" w:w="19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Their Weakness</w:t>
            </w:r>
          </w:p>
        </w:tc>
        <w:tc>
          <w:tcPr>
            <w:tcW w:type="dxa" w:w="382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UDOC Advantage</w:t>
            </w:r>
          </w:p>
        </w:tc>
      </w:tr>
      <w:tr>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Palantir (Gotham/Apollo)</w:t>
            </w:r>
          </w:p>
        </w:tc>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AI and data integration platform for government and enterprise</w:t>
            </w:r>
          </w:p>
        </w:tc>
        <w:tc>
          <w:tcPr>
            <w:tcW w:type="dxa" w:w="19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US-domiciled. Foreign jurisdiction risk. Not focused on governance/audit layer. No African sovereign focus.</w:t>
            </w:r>
          </w:p>
        </w:tc>
        <w:tc>
          <w:tcPr>
            <w:tcW w:type="dxa" w:w="38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Africa-sovereign. POPIA-native. Constitutional governance. Not foreign-controlled.</w:t>
            </w:r>
          </w:p>
        </w:tc>
      </w:tr>
      <w:tr>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IBM Watson Governance</w:t>
            </w:r>
          </w:p>
        </w:tc>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Enterprise AI governance and compliance SaaS</w:t>
            </w:r>
          </w:p>
        </w:tc>
        <w:tc>
          <w:tcPr>
            <w:tcW w:type="dxa" w:w="19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US company. Expensive. Not Africa-focused. Not sovereign-infrastructure.</w:t>
            </w:r>
          </w:p>
        </w:tc>
        <w:tc>
          <w:tcPr>
            <w:tcW w:type="dxa" w:w="38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African pricing. Sovereign cloud. Government deployment pathway. Constitutional mandate.</w:t>
            </w:r>
          </w:p>
        </w:tc>
      </w:tr>
      <w:tr>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Microsoft Azure AI Governance</w:t>
            </w:r>
          </w:p>
        </w:tc>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Cloud-native AI governance tools within Azure ecosystem</w:t>
            </w:r>
          </w:p>
        </w:tc>
        <w:tc>
          <w:tcPr>
            <w:tcW w:type="dxa" w:w="19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Locks client to Azure. Not sovereign. Foreign data residency by default.</w:t>
            </w:r>
          </w:p>
        </w:tc>
        <w:tc>
          <w:tcPr>
            <w:tcW w:type="dxa" w:w="38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Infrastructure-agnostic. South Africa-domiciled. No foreign cloud lock-in.</w:t>
            </w:r>
          </w:p>
        </w:tc>
      </w:tr>
      <w:tr>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AWS AI compliance tools</w:t>
            </w:r>
          </w:p>
        </w:tc>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AI compliance within AWS ecosystem</w:t>
            </w:r>
          </w:p>
        </w:tc>
        <w:tc>
          <w:tcPr>
            <w:tcW w:type="dxa" w:w="19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Same as Azure — cloud lock-in, foreign residency, US jurisdiction.</w:t>
            </w:r>
          </w:p>
        </w:tc>
        <w:tc>
          <w:tcPr>
            <w:tcW w:type="dxa" w:w="38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Sovereign alternative. No AWS dependency.</w:t>
            </w:r>
          </w:p>
        </w:tc>
      </w:tr>
      <w:tr>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Local compliance consultancies</w:t>
            </w:r>
          </w:p>
        </w:tc>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Manual AI compliance assessment services</w:t>
            </w:r>
          </w:p>
        </w:tc>
        <w:tc>
          <w:tcPr>
            <w:tcW w:type="dxa" w:w="19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Not systematic. Not scalable. No real-time monitoring.</w:t>
            </w:r>
          </w:p>
        </w:tc>
        <w:tc>
          <w:tcPr>
            <w:tcW w:type="dxa" w:w="38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Full SaaS platform. Real-time. Continuous monitoring. 75–85% gross margin.</w:t>
            </w:r>
          </w:p>
        </w:tc>
      </w:tr>
      <w:tr>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Diligent / Archer / LogicManager</w:t>
            </w:r>
          </w:p>
        </w:tc>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Enterprise GRC platforms</w:t>
            </w:r>
          </w:p>
        </w:tc>
        <w:tc>
          <w:tcPr>
            <w:tcW w:type="dxa" w:w="19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General governance tools — not AI-specific, not African-sovereign.</w:t>
            </w:r>
          </w:p>
        </w:tc>
        <w:tc>
          <w:tcPr>
            <w:tcW w:type="dxa" w:w="38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AI-specific governance. African sovereign mandate. Constitutional architecture.</w:t>
            </w:r>
          </w:p>
        </w:tc>
      </w:tr>
    </w:tbl>
    <w:p>
      <w:pPr>
        <w:spacing w:before="80" w:after="80"/>
      </w:pPr>
      <w:r>
        <w:rPr>
          <w:color w:val="1A1A2E"/>
          <w:sz w:val="20"/>
          <w:szCs w:val="20"/>
          <w:rFonts w:ascii="Arial" w:cs="Arial" w:eastAsia="Arial" w:hAnsi="Arial"/>
        </w:rPr>
        <w:t xml:space="preserve">UDOC ADVANTAGE: The only AI governance infrastructure that is South Africa-sovereign, POPIA-native, constitutionally governed, quantum-ready, and connected to a digital sovereignty deployment pathway. Foreign competitors cannot credibly offer what UDOC offers to African governments by definition.</w:t>
      </w:r>
    </w:p>
    <w:p>
      <w:r>
        <w:br w:type="page"/>
      </w:r>
    </w:p>
    <w:p>
      <w:pPr>
        <w:pStyle w:val="Heading2"/>
        <w:spacing w:before="240" w:after="100"/>
      </w:pPr>
      <w:r>
        <w:rPr>
          <w:b/>
          <w:bCs/>
          <w:color w:val="060E1C"/>
          <w:sz w:val="28"/>
          <w:szCs w:val="28"/>
          <w:rFonts w:ascii="Georgia" w:cs="Georgia" w:eastAsia="Georgia" w:hAnsi="Georgia"/>
        </w:rPr>
        <w:t xml:space="preserve">2.3 T.S Industries — Infrastructure Competitive Landscape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4760"/>
      </w:tblGrid>
      <w:tr>
        <w:tc>
          <w:tcPr>
            <w:tcW w:type="dxa" w:w="2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Competitor Type</w:t>
            </w:r>
          </w:p>
        </w:tc>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Examples</w:t>
            </w:r>
          </w:p>
        </w:tc>
        <w:tc>
          <w:tcPr>
            <w:tcW w:type="dxa" w:w="47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Weakness vs T.S</w:t>
            </w:r>
          </w:p>
        </w:tc>
      </w:tr>
      <w:tr>
        <w:tc>
          <w:tcPr>
            <w:tcW w:type="dxa" w:w="2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EPC (Engineering, Procurement, Construction) firms</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Murray &amp; Roberts, Group Five, WBHO</w:t>
            </w:r>
          </w:p>
        </w:tc>
        <w:tc>
          <w:tcPr>
            <w:tcW w:type="dxa" w:w="47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Do not produce their own workforce. No human capital pipeline. No governance integration. No compounding architecture.</w:t>
            </w:r>
          </w:p>
        </w:tc>
      </w:tr>
      <w:tr>
        <w:tc>
          <w:tcPr>
            <w:tcW w:type="dxa" w:w="2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Renewable energy developers</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Scatec, Globeleq, Old Mutual Infrastructure</w:t>
            </w:r>
          </w:p>
        </w:tc>
        <w:tc>
          <w:tcPr>
            <w:tcW w:type="dxa" w:w="47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Do not employ from a reintegration pipeline. No workforce development mandate. No sovereign governance layer.</w:t>
            </w:r>
          </w:p>
        </w:tc>
      </w:tr>
      <w:tr>
        <w:tc>
          <w:tcPr>
            <w:tcW w:type="dxa" w:w="2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Government housing contractors</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RLB Quantity Surveyors, WBHO Social Housing</w:t>
            </w:r>
          </w:p>
        </w:tc>
        <w:tc>
          <w:tcPr>
            <w:tcW w:type="dxa" w:w="47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Conventional construction costs. No modular technology advantage. No integrated workforce pipeline.</w:t>
            </w:r>
          </w:p>
        </w:tc>
      </w:tr>
      <w:tr>
        <w:tc>
          <w:tcPr>
            <w:tcW w:type="dxa" w:w="2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AgriTech startups</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Hello Tractor, Aerobotics, FarmPin</w:t>
            </w:r>
          </w:p>
        </w:tc>
        <w:tc>
          <w:tcPr>
            <w:tcW w:type="dxa" w:w="47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Technology-only. No physical installation capability. No integrated workforce.</w:t>
            </w:r>
          </w:p>
        </w:tc>
      </w:tr>
    </w:tbl>
    <w:p>
      <w:pPr>
        <w:spacing w:before="80" w:after="80"/>
      </w:pPr>
      <w:r>
        <w:rPr>
          <w:color w:val="1A1A2E"/>
          <w:sz w:val="20"/>
          <w:szCs w:val="20"/>
          <w:rFonts w:ascii="Arial" w:cs="Arial" w:eastAsia="Arial" w:hAnsi="Arial"/>
        </w:rPr>
        <w:t xml:space="preserve">T.S ADVANTAGE: The workforce cost advantage. T.S employs S.E.T.H.S graduates — people who have been stabilised, documented, trained, and monitored before they arrive at the T.S worksite. No conventional EPC firm can replicate this without building S.E.T.H.S first.</w:t>
      </w:r>
    </w:p>
    <w:p>
      <w:pPr>
        <w:pStyle w:val="Heading2"/>
        <w:spacing w:before="240" w:after="100"/>
      </w:pPr>
      <w:r>
        <w:rPr>
          <w:b/>
          <w:bCs/>
          <w:color w:val="060E1C"/>
          <w:sz w:val="28"/>
          <w:szCs w:val="28"/>
          <w:rFonts w:ascii="Georgia" w:cs="Georgia" w:eastAsia="Georgia" w:hAnsi="Georgia"/>
        </w:rPr>
        <w:t xml:space="preserve">2.4 M.A.D.I.B.A — Capital Platform Competitive Landscape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4760"/>
      </w:tblGrid>
      <w:tr>
        <w:tc>
          <w:tcPr>
            <w:tcW w:type="dxa" w:w="2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Competitor</w:t>
            </w:r>
          </w:p>
        </w:tc>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What They Do</w:t>
            </w:r>
          </w:p>
        </w:tc>
        <w:tc>
          <w:tcPr>
            <w:tcW w:type="dxa" w:w="47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Weakness vs M.A.D.I.B.A</w:t>
            </w:r>
          </w:p>
        </w:tc>
      </w:tr>
      <w:tr>
        <w:tc>
          <w:tcPr>
            <w:tcW w:type="dxa" w:w="2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DBSA, IDC, AfDB (DFIs)</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Infrastructure lending and equity</w:t>
            </w:r>
          </w:p>
        </w:tc>
        <w:tc>
          <w:tcPr>
            <w:tcW w:type="dxa" w:w="47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Not commercially managed. Cannot move at commercial speed. Do not have execution infrastructure.</w:t>
            </w:r>
          </w:p>
        </w:tc>
      </w:tr>
      <w:tr>
        <w:tc>
          <w:tcPr>
            <w:tcW w:type="dxa" w:w="2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Old Mutual, Stanlib, Ninety One infrastructure funds</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Infrastructure private equity management</w:t>
            </w:r>
          </w:p>
        </w:tc>
        <w:tc>
          <w:tcPr>
            <w:tcW w:type="dxa" w:w="47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Do not have execution infrastructure. Cannot deploy workforce. No governance credibility layer.</w:t>
            </w:r>
          </w:p>
        </w:tc>
      </w:tr>
      <w:tr>
        <w:tc>
          <w:tcPr>
            <w:tcW w:type="dxa" w:w="2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BlackRock Infrastructure, IFC, Macquarie</w:t>
            </w:r>
          </w:p>
        </w:tc>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Large-scale infrastructure capital</w:t>
            </w:r>
          </w:p>
        </w:tc>
        <w:tc>
          <w:tcPr>
            <w:tcW w:type="dxa" w:w="47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Not Africa-sovereign. High minimum deal size. No workforce integration. No UDOC governance layer.</w:t>
            </w:r>
          </w:p>
        </w:tc>
      </w:tr>
      <w:tr>
        <w:tc>
          <w:tcPr>
            <w:tcW w:type="dxa" w:w="2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Convergence, Symbiotics (impact funds)</w:t>
            </w:r>
          </w:p>
        </w:tc>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Blended finance and impact capital</w:t>
            </w:r>
          </w:p>
        </w:tc>
        <w:tc>
          <w:tcPr>
            <w:tcW w:type="dxa" w:w="47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Cannot execute projects — capital only. No workforce pipeline. No governance infrastructure.</w:t>
            </w:r>
          </w:p>
        </w:tc>
      </w:tr>
    </w:tbl>
    <w:p>
      <w:pPr>
        <w:spacing w:before="80" w:after="80"/>
      </w:pPr>
      <w:r>
        <w:rPr>
          <w:color w:val="1A1A2E"/>
          <w:sz w:val="20"/>
          <w:szCs w:val="20"/>
          <w:rFonts w:ascii="Arial" w:cs="Arial" w:eastAsia="Arial" w:hAnsi="Arial"/>
        </w:rPr>
        <w:t xml:space="preserve">M.A.D.I.B.A ADVANTAGE: The only infrastructure capital vehicle in Africa that arrives at an investment opportunity with a workforce pipeline (S.E.T.H.S), a production infrastructure capability (T.S), a governance credibility layer (UDOC), and a constitutional framework that sovereigns trust.</w:t>
      </w:r>
    </w:p>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3. THE INTEGRATED LOOP DEFENSIBILITY</w:t>
      </w:r>
    </w:p>
    <w:p>
      <w:pPr>
        <w:pBdr>
          <w:top w:val="single" w:color="E8E4DA" w:sz="4"/>
          <w:bottom w:val="single" w:color="E8E4DA" w:sz="4"/>
          <w:left w:val="single" w:color="C9A84C" w:sz="12"/>
          <w:right w:val="single" w:color="E8E4DA" w:sz="4"/>
        </w:pBdr>
        <w:spacing w:before="160" w:after="160"/>
      </w:pPr>
      <w:r>
        <w:rPr>
          <w:i/>
          <w:iCs/>
          <w:color w:val="060E1C"/>
          <w:sz w:val="22"/>
          <w:szCs w:val="22"/>
          <w:rFonts w:ascii="Georgia" w:cs="Georgia" w:eastAsia="Georgia" w:hAnsi="Georgia"/>
        </w:rPr>
        <w:t xml:space="preserve">To replicate G.O.D.S, a competitor would need to build S.E.T.H.S (3–5 years), then T.S using that workforce (requires S.E.T.H.S first), then UDOC with sovereign credibility (2–4 years), then M.A.D.I.B.A with proof from all three (requires all three). Total minimum replication timeline: 8–12 years.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600"/>
        <w:gridCol w:w="5360"/>
      </w:tblGrid>
      <w:tr>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Replication Step</w:t>
            </w:r>
          </w:p>
        </w:tc>
        <w:tc>
          <w:tcPr>
            <w:tcW w:type="dxa" w:w="16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Min Timeline</w:t>
            </w:r>
          </w:p>
        </w:tc>
        <w:tc>
          <w:tcPr>
            <w:tcW w:type="dxa" w:w="53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Primary Barrier</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 Build S.E.T.H.S equivalent with government credibility</w:t>
            </w:r>
          </w:p>
        </w:tc>
        <w:tc>
          <w:tcPr>
            <w:tcW w:type="dxa" w:w="1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3–5 years</w:t>
            </w:r>
          </w:p>
        </w:tc>
        <w:tc>
          <w:tcPr>
            <w:tcW w:type="dxa" w:w="5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Government trust, clinical methodology, employer network, 12-month outcome data</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2. Build T.S using that workforce</w:t>
            </w:r>
          </w:p>
        </w:tc>
        <w:tc>
          <w:tcPr>
            <w:tcW w:type="dxa" w:w="1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2–3 years (requires Step 1)</w:t>
            </w:r>
          </w:p>
        </w:tc>
        <w:tc>
          <w:tcPr>
            <w:tcW w:type="dxa" w:w="5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Requires S.E.T.H.S operational first. CIDB registration. Government project pipeline.</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3. Build UDOC with sovereign credibility</w:t>
            </w:r>
          </w:p>
        </w:tc>
        <w:tc>
          <w:tcPr>
            <w:tcW w:type="dxa" w:w="1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2–4 years</w:t>
            </w:r>
          </w:p>
        </w:tc>
        <w:tc>
          <w:tcPr>
            <w:tcW w:type="dxa" w:w="5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Constitutional governance architecture (cannot be bought — must be built from inception). Sovereign government trust.</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4. Build M.A.D.I.B.A with all three operating</w:t>
            </w:r>
          </w:p>
        </w:tc>
        <w:tc>
          <w:tcPr>
            <w:tcW w:type="dxa" w:w="1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2–3 years (requires Steps 1–3)</w:t>
            </w:r>
          </w:p>
        </w:tc>
        <w:tc>
          <w:tcPr>
            <w:tcW w:type="dxa" w:w="5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Requires operational proof from all three. DFI relationships. Sovereign partnership network.</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5. Connect all four in compounding loop under constitutional architecture</w:t>
            </w:r>
          </w:p>
        </w:tc>
        <w:tc>
          <w:tcPr>
            <w:tcW w:type="dxa" w:w="16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Cannot be copied</w:t>
            </w:r>
          </w:p>
        </w:tc>
        <w:tc>
          <w:tcPr>
            <w:tcW w:type="dxa" w:w="53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The constitutional architecture cannot be replicated without originating it. It requires a decade of integrated operation.</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TOTAL</w:t>
            </w:r>
          </w:p>
        </w:tc>
        <w:tc>
          <w:tcPr>
            <w:tcW w:type="dxa" w:w="16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8–12 years minimum</w:t>
            </w:r>
          </w:p>
        </w:tc>
        <w:tc>
          <w:tcPr>
            <w:tcW w:type="dxa" w:w="53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By that time, G.O.D.S has 8–12 years of operational proof, government relationships, and institutional credibility that cannot be manufactured.</w:t>
            </w:r>
          </w:p>
        </w:tc>
      </w:tr>
    </w:tbl>
    <w:p>
      <w:pPr>
        <w:pBdr>
          <w:bottom w:val="single" w:color="C9A84C" w:sz="6"/>
        </w:pBdr>
        <w:spacing w:before="160" w:after="160"/>
      </w:pPr>
    </w:p>
    <w:p>
      <w:pPr>
        <w:jc w:val="center"/>
      </w:pPr>
      <w:r>
        <w:rPr>
          <w:color w:val="8A8A9A"/>
          <w:sz w:val="18"/>
          <w:szCs w:val="18"/>
          <w:rFonts w:ascii="Arial" w:cs="Arial" w:eastAsia="Arial" w:hAnsi="Arial"/>
        </w:rPr>
        <w:t xml:space="preserve">G.O.D.S Holdings (Pty) Ltd | Competitive Analysis | March 2026 | CONFIDENTIAL</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jc w:val="center"/>
    </w:pPr>
    <w:r>
      <w:rPr>
        <w:color w:val="8A8A9A"/>
        <w:sz w:val="14"/>
        <w:szCs w:val="14"/>
        <w:rFonts w:ascii="Arial" w:cs="Arial" w:eastAsia="Arial" w:hAnsi="Arial"/>
      </w:rPr>
      <w:t xml:space="preserve">CONFIDENTIAL  |  © 2026 G.O.D.S Holdings (Pty) Ltd  |  Johannesburg, South Africa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6"/>
      </w:pBdr>
    </w:pPr>
    <w:r>
      <w:rPr>
        <w:color w:val="8A8A9A"/>
        <w:sz w:val="16"/>
        <w:szCs w:val="16"/>
        <w:rFonts w:ascii="Arial" w:cs="Arial" w:eastAsia="Arial" w:hAnsi="Arial"/>
      </w:rPr>
      <w:t xml:space="preserve">G.O.D.S Holdings (Pty) Ltd  |  Competitive Analysis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0"/>
        <w:szCs w:val="20"/>
        <w:rFonts w:ascii="Arial" w:cs="Arial" w:eastAsia="Arial" w:hAnsi="Aria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20"/>
      <w:outlineLvl w:val="0"/>
    </w:pPr>
    <w:rPr>
      <w:b/>
      <w:bCs/>
      <w:color w:val="C9A84C"/>
      <w:sz w:val="34"/>
      <w:szCs w:val="34"/>
      <w:rFonts w:ascii="Georgia" w:cs="Georgia" w:eastAsia="Georgia" w:hAnsi="Georgia"/>
    </w:rPr>
  </w:style>
  <w:style w:type="paragraph" w:styleId="Heading2">
    <w:name w:val="Heading 2"/>
    <w:basedOn w:val="Normal"/>
    <w:next w:val="Normal"/>
    <w:qFormat/>
    <w:pPr>
      <w:spacing w:before="240" w:after="100"/>
      <w:outlineLvl w:val="1"/>
    </w:pPr>
    <w:rPr>
      <w:b/>
      <w:bCs/>
      <w:color w:val="060E1C"/>
      <w:sz w:val="28"/>
      <w:szCs w:val="28"/>
      <w:rFonts w:ascii="Georgia" w:cs="Georgia" w:eastAsia="Georgia" w:hAnsi="Georgia"/>
    </w:rPr>
  </w:style>
  <w:style w:type="paragraph" w:styleId="Heading3">
    <w:name w:val="Heading 3"/>
    <w:basedOn w:val="Normal"/>
    <w:next w:val="Normal"/>
    <w:qFormat/>
    <w:pPr>
      <w:spacing w:before="160" w:after="80"/>
      <w:outlineLvl w:val="2"/>
    </w:pPr>
    <w:rPr>
      <w:b/>
      <w:bCs/>
      <w:color w:val="333355"/>
      <w:sz w:val="22"/>
      <w:szCs w:val="22"/>
      <w:rFonts w:ascii="Arial" w:cs="Arial" w:eastAsia="Arial" w:hAnsi="Arial"/>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2026-04-13T03:07:32.575Z</dcterms:created>
  <dcterms:modified xsi:type="dcterms:W3CDTF">2026-04-13T03:07:32.575Z</dcterms:modified>
</cp:coreProperties>
</file>

<file path=docProps/custom.xml><?xml version="1.0" encoding="utf-8"?>
<Properties xmlns="http://schemas.openxmlformats.org/officeDocument/2006/custom-properties" xmlns:vt="http://schemas.openxmlformats.org/officeDocument/2006/docPropsVTypes"/>
</file>