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COMPETITIVE LANDSCAPE</w:t>
      </w:r>
    </w:p>
    <w:p>
      <w:pPr>
        <w:spacing w:before="0" w:after="80"/>
        <w:jc w:val="center"/>
      </w:pPr>
      <w:r>
        <w:rPr>
          <w:rFonts w:ascii="Arial" w:cs="Arial" w:eastAsia="Arial" w:hAnsi="Arial"/>
          <w:b/>
          <w:bCs/>
          <w:color w:val="1A1A2E"/>
          <w:sz w:val="26"/>
          <w:szCs w:val="26"/>
        </w:rPr>
        <w:t xml:space="preserve">&amp; STRATEGIC POSITIONING</w:t>
      </w:r>
    </w:p>
    <w:p>
      <w:pPr>
        <w:spacing w:before="0" w:after="120"/>
        <w:jc w:val="center"/>
      </w:pPr>
      <w:r>
        <w:rPr>
          <w:rFonts w:ascii="Arial" w:cs="Arial" w:eastAsia="Arial" w:hAnsi="Arial"/>
          <w:color w:val="888888"/>
          <w:sz w:val="20"/>
          <w:szCs w:val="20"/>
        </w:rPr>
        <w:t xml:space="preserve">Market Analysis · Who G.O.D.S Competes With · Why the Integrated Loop Wins · Defensibility Analysis</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Sashin J. Singh — Founder &amp; Architect | G.O.D.S Holdings | 2026</w:t>
      </w:r>
    </w:p>
    <w:p>
      <w:r>
        <w:br w:type="page"/>
      </w:r>
    </w:p>
    <w:p>
      <w:pPr>
        <w:spacing w:before="400" w:after="160"/>
      </w:pPr>
      <w:r>
        <w:rPr>
          <w:rFonts w:ascii="Arial" w:cs="Arial" w:eastAsia="Arial" w:hAnsi="Arial"/>
          <w:b/>
          <w:bCs/>
          <w:color w:val="0A0A0A"/>
          <w:sz w:val="36"/>
          <w:szCs w:val="36"/>
        </w:rPr>
        <w:t xml:space="preserve">PART ONE — THE HONEST COMPETITIVE PICTURE</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G.O.D.S is a new category. There is no direct competitor — no company that simultaneously operates workforce reintegration, physical infrastructure production, AI governance SaaS, and institutional capital architecture in an integrated compounding loop. But that does not mean there is no competition. It means the competition comes from four different directions at once, each attacking a different division.</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Correct Competitive Frame</w:t>
            </w:r>
          </w:p>
          <w:p>
            <w:pPr>
              <w:spacing w:before="80" w:after="80"/>
            </w:pPr>
            <w:r>
              <w:rPr>
                <w:rFonts w:ascii="Arial" w:cs="Arial" w:eastAsia="Arial" w:hAnsi="Arial"/>
                <w:b w:val="false"/>
                <w:bCs w:val="false"/>
                <w:color w:val="111111"/>
                <w:sz w:val="22"/>
                <w:szCs w:val="22"/>
              </w:rPr>
              <w:t xml:space="preserve">G.O.D.S does not compete with any single entity. It competes with the combination of entities that would need to work together to replicate what G.O.D.S does. And that combination cannot coordinate the way G.O.D.S can — because they are separate organisations with separate incentives, separate governance frameworks, and no compounding architecture connecting them.</w:t>
            </w:r>
          </w:p>
        </w:tc>
      </w:tr>
    </w:tbl>
    <w:p>
      <w:pPr>
        <w:spacing w:before="80" w:after="80"/>
      </w:pPr>
      <w:r>
        <w:t xml:space="preserve"/>
      </w:r>
    </w:p>
    <w:p>
      <w:pPr>
        <w:spacing w:before="400" w:after="160"/>
      </w:pPr>
      <w:r>
        <w:rPr>
          <w:rFonts w:ascii="Arial" w:cs="Arial" w:eastAsia="Arial" w:hAnsi="Arial"/>
          <w:b/>
          <w:bCs/>
          <w:color w:val="0A0A0A"/>
          <w:sz w:val="36"/>
          <w:szCs w:val="36"/>
        </w:rPr>
        <w:t xml:space="preserve">PART TWO — DIVISION-BY-DIVISION COMPETITIVE ANALYSIS</w:t>
      </w:r>
    </w:p>
    <w:p>
      <w:pPr>
        <w:pBdr>
          <w:bottom w:val="single" w:color="C9A84C" w:sz="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S.E.T.H.S COMPETITIVE LANDSCAPE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2400"/>
              <w:gridCol w:w="2760"/>
            </w:tblGrid>
            <w:tr>
              <w:tc>
                <w:tcPr>
                  <w:tcW w:type="dxa" w:w="2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Competitor Type</w:t>
                  </w:r>
                </w:p>
              </w:tc>
              <w:tc>
                <w:tcPr>
                  <w:tcW w:type="dxa" w:w="2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Example Entities</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Strengths</w:t>
                  </w:r>
                </w:p>
              </w:tc>
              <w:tc>
                <w:tcPr>
                  <w:tcW w:type="dxa" w:w="27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Weaknesses vs S.E.T.H.S</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training programs</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LGSETA, MerSETA learnership programs, EPWP</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Existing government relationships, established procurement</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Single-domain. No employer network. No post-placement monitoring. No UDOC data integration.</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NGO rehabilitation organizations</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SANCA, Lifeline, NICRO</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Deep community trust, established referral networks</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Not commercially structured. No technical skills training. No employer placement capability.</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Private skills development companies</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Capaciti, Harambee Youth Employment Accelerator</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Commercial structure, employer relationships</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 reintegration specialisation. No addiction/incarceration pathway. Not connected to infrastructure employment.</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Corporate CSI programs</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Absa Foundation, Naspers Foundation</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Funding, brand, employer access</w:t>
                  </w:r>
                </w:p>
              </w:tc>
              <w:tc>
                <w:tcPr>
                  <w:tcW w:type="dxa" w:w="2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Not systematic. Not scalable. No governance accountability structure.</w:t>
                  </w:r>
                </w:p>
              </w:tc>
            </w:tr>
          </w:tbl>
          <w:p>
            <w:pPr>
              <w:spacing w:before="80" w:after="80"/>
            </w:pPr>
            <w:r>
              <w:t xml:space="preserve"/>
            </w:r>
          </w:p>
          <w:p>
            <w:pPr>
              <w:spacing w:before="80" w:after="80"/>
            </w:pPr>
            <w:r>
              <w:rPr>
                <w:rFonts w:ascii="Arial" w:cs="Arial" w:eastAsia="Arial" w:hAnsi="Arial"/>
                <w:b w:val="false"/>
                <w:bCs w:val="false"/>
                <w:color w:val="111111"/>
                <w:sz w:val="22"/>
                <w:szCs w:val="22"/>
              </w:rPr>
              <w:t xml:space="preserve">S.E.T.H.S advantage: The only program in South Africa that combines clinical stabilisation, identity reconstruction, technical skills development, employment placement, post-placement monitoring, AND direct employment pipeline to T.S infrastructure — all within a commercially structured, government-contract-ready, UDOC-integrated system.</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UDOC COMPETITIVE LANDSCAPE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360"/>
              <w:gridCol w:w="3000"/>
            </w:tblGrid>
            <w:tr>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Competitor</w:t>
                  </w:r>
                </w:p>
              </w:tc>
              <w:tc>
                <w:tcPr>
                  <w:tcW w:type="dxa" w:w="2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What They Do</w:t>
                  </w:r>
                </w:p>
              </w:tc>
              <w:tc>
                <w:tcPr>
                  <w:tcW w:type="dxa" w:w="23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Their Weakness</w:t>
                  </w:r>
                </w:p>
              </w:tc>
              <w:tc>
                <w:tcPr>
                  <w:tcW w:type="dxa" w:w="3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UDOC Advantage</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Palantir (Gotham/Apollo)</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AI and data integration platform for government and enterprise</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US-domiciled. Foreign jurisdiction risk. Not focused on governance/audit layer. No African sovereign focus.</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Africa-sovereign. POPIA-native. Constitutional governance. Not foreign-controlled.</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IBM Watson Governance</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Enterprise AI governance and compliance SaaS</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US company. Expensive. Not Africa-focused. Not sovereign-infrastructure.</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African pricing. Sovereign cloud. Government deployment pathway.</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Microsoft Azure AI Governance</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Cloud-native AI governance tools within Azure ecosystem</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Locks client to Azure. Not sovereign. Foreign data residency by default.</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Infrastructure-agnostic. South Africa-domiciled. No foreign cloud lock-in.</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AWS AI compliance tools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AI compliance within AWS ecosystem</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Same as Azure — cloud lock-in, foreign residency, US jurisdiction.</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Sovereign alternative. No AWS dependency.</w:t>
                  </w:r>
                </w:p>
              </w:tc>
            </w:tr>
            <w:tr>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Local compliance consultancies</w:t>
                  </w:r>
                </w:p>
              </w:tc>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Manual AI compliance assessment services</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Not systematic. Not scalable. No real-time monitoring.</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Full SaaS platform. Real-time. Continuous monitoring.</w:t>
                  </w:r>
                </w:p>
              </w:tc>
            </w:tr>
          </w:tbl>
          <w:p>
            <w:pPr>
              <w:spacing w:before="80" w:after="80"/>
            </w:pPr>
            <w:r>
              <w:t xml:space="preserve"/>
            </w:r>
          </w:p>
          <w:p>
            <w:pPr>
              <w:spacing w:before="80" w:after="80"/>
            </w:pPr>
            <w:r>
              <w:rPr>
                <w:rFonts w:ascii="Arial" w:cs="Arial" w:eastAsia="Arial" w:hAnsi="Arial"/>
                <w:b w:val="false"/>
                <w:bCs w:val="false"/>
                <w:color w:val="111111"/>
                <w:sz w:val="22"/>
                <w:szCs w:val="22"/>
              </w:rPr>
              <w:t xml:space="preserve">UDOC competitive moat: The only AI governance infrastructure that is South Africa-sovereign, POPIA-native, constitutionally governed, and architecturally connected to a digital sovereignty deployment pathway. Foreign competitors cannot credibly offer what UDOC offers to African governments by definition.</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T.S COMPETITIVE LANDSCAPE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Competitor Type</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Examples</w:t>
                  </w:r>
                </w:p>
              </w:tc>
              <w:tc>
                <w:tcPr>
                  <w:tcW w:type="dxa" w:w="45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Weakness vs T.S</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EPC (Engineering, Procurement, Construction) firms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Murray &amp; Roberts, Group Five, WBHO</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Do not produce their own workforce. No human capital pipeline. No governance integration. No compounding architecture.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Renewable energy developers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Scatec, Globeleq, Old Mutual Infrastructure</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Do not employ from a reintegration pipeline. No workforce development mandate. No sovereign governance layer.</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housing contractors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RLB Quantity Surveyors, WBHO Social Housing</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Conventional construction costs. No modular technology advantage. No integrated workforce pipeline.</w:t>
                  </w:r>
                </w:p>
              </w:tc>
            </w:tr>
            <w:tr>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AgriTech startups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Hello Tractor, Aerobotics, FarmPin</w:t>
                  </w:r>
                </w:p>
              </w:tc>
              <w:tc>
                <w:tcPr>
                  <w:tcW w:type="dxa" w:w="4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Technology-only. No physical installation capability. No integrated workforce.</w:t>
                  </w:r>
                </w:p>
              </w:tc>
            </w:tr>
          </w:tbl>
          <w:p>
            <w:pPr>
              <w:spacing w:before="80" w:after="80"/>
            </w:pPr>
            <w:r>
              <w:t xml:space="preserve"/>
            </w:r>
          </w:p>
          <w:p>
            <w:pPr>
              <w:spacing w:before="80" w:after="80"/>
            </w:pPr>
            <w:r>
              <w:rPr>
                <w:rFonts w:ascii="Arial" w:cs="Arial" w:eastAsia="Arial" w:hAnsi="Arial"/>
                <w:b w:val="false"/>
                <w:bCs w:val="false"/>
                <w:color w:val="111111"/>
                <w:sz w:val="22"/>
                <w:szCs w:val="22"/>
              </w:rPr>
              <w:t xml:space="preserve">T.S competitive moat: The workforce cost advantage. T.S employs S.E.T.H.S graduates — people who have been stabilised, documented, trained, and monitored before they arrive at the T.S worksite. The unit labour cost is competitive. The compliance and retention data is comprehensive. No conventional EPC firm can replicate this without building S.E.T.H.S first.</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M.A.D.I.B.A COMPETITIVE LANDSCAPE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4760"/>
            </w:tblGrid>
            <w:tr>
              <w:tc>
                <w:tcPr>
                  <w:tcW w:type="dxa" w:w="2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Competitor</w:t>
                  </w:r>
                </w:p>
              </w:tc>
              <w:tc>
                <w:tcPr>
                  <w:tcW w:type="dxa" w:w="2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What They Do</w:t>
                  </w:r>
                </w:p>
              </w:tc>
              <w:tc>
                <w:tcPr>
                  <w:tcW w:type="dxa" w:w="47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Weakness vs M.A.D.I.B.A</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Development Finance Institutions (DBSA, IDC, AfDB)</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Infrastructure lending and equity</w:t>
                  </w:r>
                </w:p>
              </w:tc>
              <w:tc>
                <w:tcPr>
                  <w:tcW w:type="dxa" w:w="4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Not commercially managed. Cannot move at commercial speed. Do not have execution infrastructure.</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Private equity infrastructure funds (Old Mutual, Stanlib, Ninety One)</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Infrastructure private equity management</w:t>
                  </w:r>
                </w:p>
              </w:tc>
              <w:tc>
                <w:tcPr>
                  <w:tcW w:type="dxa" w:w="4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Do not have execution infrastructure. Cannot deploy workforce. No governance credibility layer.</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Global infrastructure funds (Blackrock Infrastructure, IFC, Macquarie)</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Large-scale infrastructure capital</w:t>
                  </w:r>
                </w:p>
              </w:tc>
              <w:tc>
                <w:tcPr>
                  <w:tcW w:type="dxa" w:w="4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Not Africa-sovereign. High minimum deal size. No workforce integration. No UDOC governance layer.</w:t>
                  </w:r>
                </w:p>
              </w:tc>
            </w:tr>
            <w:tr>
              <w:tc>
                <w:tcPr>
                  <w:tcW w:type="dxa" w:w="2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Impact investment funds (Convergence, Symbiotics)</w:t>
                  </w:r>
                </w:p>
              </w:tc>
              <w:tc>
                <w:tcPr>
                  <w:tcW w:type="dxa" w:w="2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Blended finance and impact capital</w:t>
                  </w:r>
                </w:p>
              </w:tc>
              <w:tc>
                <w:tcPr>
                  <w:tcW w:type="dxa" w:w="4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Cannot execute projects — capital only. No workforce pipeline. No governance infrastructure.</w:t>
                  </w:r>
                </w:p>
              </w:tc>
            </w:tr>
          </w:tbl>
          <w:p>
            <w:pPr>
              <w:spacing w:before="80" w:after="80"/>
            </w:pPr>
            <w:r>
              <w:t xml:space="preserve"/>
            </w:r>
          </w:p>
          <w:p>
            <w:pPr>
              <w:spacing w:before="80" w:after="80"/>
            </w:pPr>
            <w:r>
              <w:rPr>
                <w:rFonts w:ascii="Arial" w:cs="Arial" w:eastAsia="Arial" w:hAnsi="Arial"/>
                <w:b w:val="false"/>
                <w:bCs w:val="false"/>
                <w:color w:val="111111"/>
                <w:sz w:val="22"/>
                <w:szCs w:val="22"/>
              </w:rPr>
              <w:t xml:space="preserve">M.A.D.I.B.A competitive moat: M.A.D.I.B.A is the only infrastructure capital vehicle in Africa that arrives at an investment opportunity with a workforce pipeline (S.E.T.H.S), a production infrastructure capability (T.S), a governance credibility layer (UDOC), and a constitutional framework that sovereigns trust. No other capital vehicle can make that offer.</w:t>
            </w:r>
          </w:p>
        </w:tc>
      </w:tr>
    </w:tbl>
    <w:p>
      <w:pPr>
        <w:spacing w:before="80" w:after="80"/>
      </w:pPr>
      <w:r>
        <w:t xml:space="preserve"/>
      </w:r>
    </w:p>
    <w:p>
      <w:pPr>
        <w:spacing w:before="400" w:after="160"/>
      </w:pPr>
      <w:r>
        <w:rPr>
          <w:rFonts w:ascii="Arial" w:cs="Arial" w:eastAsia="Arial" w:hAnsi="Arial"/>
          <w:b/>
          <w:bCs/>
          <w:color w:val="0A0A0A"/>
          <w:sz w:val="36"/>
          <w:szCs w:val="36"/>
        </w:rPr>
        <w:t xml:space="preserve">PART THREE — THE INTEGRATED LOOP DEFENSIBILITY</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The ultimate competitive moat of G.O.D.S is not any single division. It is the closed compounding loop — the four divisions feeding each other in a self-reinforcing architecture that cannot be replicated without all four simultaneously.</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Replication Test</w:t>
            </w:r>
          </w:p>
          <w:p>
            <w:pPr>
              <w:spacing w:before="80" w:after="80"/>
            </w:pPr>
            <w:r>
              <w:rPr>
                <w:rFonts w:ascii="Arial" w:cs="Arial" w:eastAsia="Arial" w:hAnsi="Arial"/>
                <w:b w:val="false"/>
                <w:bCs w:val="false"/>
                <w:color w:val="111111"/>
                <w:sz w:val="22"/>
                <w:szCs w:val="22"/>
              </w:rPr>
              <w:t xml:space="preserve">To replicate G.O.D.S, a competitor would need to:</w:t>
            </w:r>
          </w:p>
          <w:p>
            <w:pPr>
              <w:spacing w:before="80" w:after="80"/>
            </w:pPr>
            <w:r>
              <w:t xml:space="preserve"/>
            </w:r>
          </w:p>
          <w:p>
            <w:pPr>
              <w:pStyle w:val="ListParagraph"/>
              <w:numPr>
                <w:ilvl w:val="0"/>
                <w:numId w:val="2"/>
              </w:numPr>
              <w:spacing w:before="60" w:after="60"/>
            </w:pPr>
            <w:r>
              <w:rPr>
                <w:rFonts w:ascii="Arial" w:cs="Arial" w:eastAsia="Arial" w:hAnsi="Arial"/>
                <w:sz w:val="22"/>
                <w:szCs w:val="22"/>
              </w:rPr>
              <w:t xml:space="preserve">Build a workforce reintegration system with clinical, documentation, skills, placement, and monitoring capability (S.E.T.H.S) — estimated 3–5 years to operational credibility</w:t>
            </w:r>
          </w:p>
          <w:p>
            <w:pPr>
              <w:pStyle w:val="ListParagraph"/>
              <w:numPr>
                <w:ilvl w:val="0"/>
                <w:numId w:val="2"/>
              </w:numPr>
              <w:spacing w:before="60" w:after="60"/>
            </w:pPr>
            <w:r>
              <w:rPr>
                <w:rFonts w:ascii="Arial" w:cs="Arial" w:eastAsia="Arial" w:hAnsi="Arial"/>
                <w:sz w:val="22"/>
                <w:szCs w:val="22"/>
              </w:rPr>
              <w:t xml:space="preserve">Build a multi-sector infrastructure production company with a direct employment pathway from that workforce system (T.S) — requires S.E.T.H.S first</w:t>
            </w:r>
          </w:p>
          <w:p>
            <w:pPr>
              <w:pStyle w:val="ListParagraph"/>
              <w:numPr>
                <w:ilvl w:val="0"/>
                <w:numId w:val="2"/>
              </w:numPr>
              <w:spacing w:before="60" w:after="60"/>
            </w:pPr>
            <w:r>
              <w:rPr>
                <w:rFonts w:ascii="Arial" w:cs="Arial" w:eastAsia="Arial" w:hAnsi="Arial"/>
                <w:sz w:val="22"/>
                <w:szCs w:val="22"/>
              </w:rPr>
              <w:t xml:space="preserve">Build an AI governance SaaS platform with sovereign infrastructure capability AND constitutional governance constraints (UDOC) — estimated 2–4 years to enterprise credibility</w:t>
            </w:r>
          </w:p>
          <w:p>
            <w:pPr>
              <w:pStyle w:val="ListParagraph"/>
              <w:numPr>
                <w:ilvl w:val="0"/>
                <w:numId w:val="2"/>
              </w:numPr>
              <w:spacing w:before="60" w:after="60"/>
            </w:pPr>
            <w:r>
              <w:rPr>
                <w:rFonts w:ascii="Arial" w:cs="Arial" w:eastAsia="Arial" w:hAnsi="Arial"/>
                <w:sz w:val="22"/>
                <w:szCs w:val="22"/>
              </w:rPr>
              <w:t xml:space="preserve">Build a capital architecture vehicle that uses the combined credibility of steps 1–3 to attract institutional capital (M.A.D.I.B.A) — requires all three others to be operational first</w:t>
            </w:r>
          </w:p>
          <w:p>
            <w:pPr>
              <w:pStyle w:val="ListParagraph"/>
              <w:numPr>
                <w:ilvl w:val="0"/>
                <w:numId w:val="2"/>
              </w:numPr>
              <w:spacing w:before="60" w:after="60"/>
            </w:pPr>
            <w:r>
              <w:rPr>
                <w:rFonts w:ascii="Arial" w:cs="Arial" w:eastAsia="Arial" w:hAnsi="Arial"/>
                <w:sz w:val="22"/>
                <w:szCs w:val="22"/>
              </w:rPr>
              <w:t xml:space="preserve">Connect all four in a compounding loop under a constitutionally governed holding structure with a 250-year mandate — this is the part that cannot be copied at all, because it requires originating the constitutional architecture, not building commercial products</w:t>
            </w:r>
          </w:p>
          <w:p>
            <w:pPr>
              <w:spacing w:before="80" w:after="80"/>
            </w:pPr>
            <w:r>
              <w:t xml:space="preserve"/>
            </w:r>
          </w:p>
          <w:p>
            <w:pPr>
              <w:spacing w:before="80" w:after="80"/>
            </w:pPr>
            <w:r>
              <w:rPr>
                <w:rFonts w:ascii="Arial" w:cs="Arial" w:eastAsia="Arial" w:hAnsi="Arial"/>
                <w:b w:val="false"/>
                <w:bCs w:val="false"/>
                <w:color w:val="111111"/>
                <w:sz w:val="22"/>
                <w:szCs w:val="22"/>
              </w:rPr>
              <w:t xml:space="preserve">Total minimum replication timeline: 8–12 years, requiring simultaneous execution across all four domains. By the time any competitor could attempt this, G.O.D.S would have 5–10 years of operational proof, government relationships, and institutional credibility that cannot be manufactured.</w:t>
            </w:r>
          </w:p>
        </w:tc>
      </w:tr>
    </w:tbl>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Competitive Landscape &amp; Strategic Positioning — G.O.D.S Holdings</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2026-03-12T08:05:32.623Z</dcterms:created>
  <dcterms:modified xsi:type="dcterms:W3CDTF">2026-03-12T08:05:32.623Z</dcterms:modified>
</cp:coreProperties>
</file>

<file path=docProps/custom.xml><?xml version="1.0" encoding="utf-8"?>
<Properties xmlns="http://schemas.openxmlformats.org/officeDocument/2006/custom-properties" xmlns:vt="http://schemas.openxmlformats.org/officeDocument/2006/docPropsVTypes"/>
</file>