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G</w:t>
      </w:r>
    </w:p>
    <w:p>
      <w:pPr>
        <w:spacing w:before="0" w:after="30"/>
        <w:jc w:val="center"/>
      </w:pPr>
      <w:r>
        <w:rPr>
          <w:rFonts w:ascii="Arial" w:cs="Arial" w:eastAsia="Arial" w:hAnsi="Arial"/>
          <w:b/>
          <w:bCs/>
          <w:color w:val="0A1628"/>
          <w:sz w:val="40"/>
          <w:szCs w:val="40"/>
        </w:rPr>
        <w:t xml:space="preserve">FULL RISK REGISTER</w:t>
      </w:r>
    </w:p>
    <w:p>
      <w:pPr>
        <w:spacing w:before="0" w:after="80"/>
        <w:jc w:val="center"/>
      </w:pPr>
      <w:r>
        <w:rPr>
          <w:rFonts w:ascii="Arial" w:cs="Arial" w:eastAsia="Arial" w:hAnsi="Arial"/>
          <w:i/>
          <w:iCs/>
          <w:color w:val="555555"/>
          <w:sz w:val="24"/>
          <w:szCs w:val="24"/>
        </w:rPr>
        <w:t xml:space="preserve">Complete Assessment Matrix — Board Grade</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This Risk Register is a living document. It is reviewed quarterly by the Constitutional Oversight Board.</w:t>
            </w:r>
          </w:p>
          <w:p>
            <w:pPr>
              <w:spacing w:before="45" w:after="45"/>
              <w:jc w:val="both"/>
            </w:pPr>
            <w:r>
              <w:rPr>
                <w:rFonts w:ascii="Arial" w:cs="Arial" w:eastAsia="Arial" w:hAnsi="Arial"/>
                <w:i/>
                <w:iCs/>
                <w:color w:val="0A1628"/>
                <w:sz w:val="21"/>
                <w:szCs w:val="21"/>
              </w:rPr>
              <w:t xml:space="preserve">Risk scores use a 5x5 matrix: Probability (1=Rare, 5=Almost Certain) x Impact (1=Negligible, 5=Catastrophic).</w:t>
            </w:r>
          </w:p>
          <w:p>
            <w:pPr>
              <w:spacing w:before="45" w:after="45"/>
              <w:jc w:val="both"/>
            </w:pPr>
            <w:r>
              <w:rPr>
                <w:rFonts w:ascii="Arial" w:cs="Arial" w:eastAsia="Arial" w:hAnsi="Arial"/>
                <w:i/>
                <w:iCs/>
                <w:color w:val="0A1628"/>
                <w:sz w:val="21"/>
                <w:szCs w:val="21"/>
              </w:rPr>
              <w:t xml:space="preserve">Scores 1-4: Monitor. Scores 5-9: Manage. Scores 10-14: Escalate. Scores 15-25: Board Action Required.</w:t>
            </w:r>
          </w:p>
          <w:p>
            <w:pPr>
              <w:spacing w:before="45" w:after="45"/>
              <w:jc w:val="both"/>
            </w:pPr>
            <w:r>
              <w:rPr>
                <w:rFonts w:ascii="Arial" w:cs="Arial" w:eastAsia="Arial" w:hAnsi="Arial"/>
                <w:i/>
                <w:iCs/>
                <w:color w:val="0A1628"/>
                <w:sz w:val="21"/>
                <w:szCs w:val="21"/>
              </w:rPr>
              <w:t xml:space="preserve">Red (15+) | Amber (8-14) | Green (1-7)</w:t>
            </w:r>
          </w:p>
        </w:tc>
      </w:tr>
    </w:tbl>
    <w:p>
      <w:pPr>
        <w:spacing w:before="80" w:after="0"/>
      </w:pPr>
    </w:p>
    <w:p>
      <w:pPr>
        <w:pStyle w:val="Heading1"/>
        <w:spacing w:before="400" w:after="140"/>
      </w:pPr>
      <w:r>
        <w:rPr>
          <w:rFonts w:ascii="Arial" w:cs="Arial" w:eastAsia="Arial" w:hAnsi="Arial"/>
          <w:b/>
          <w:bCs/>
          <w:color w:val="C9A84C"/>
          <w:sz w:val="32"/>
          <w:szCs w:val="32"/>
        </w:rPr>
        <w:t xml:space="preserve">STRATEGIC &amp; EXISTENTIAL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720"/>
        <w:gridCol w:w="3000"/>
        <w:gridCol w:w="480"/>
        <w:gridCol w:w="480"/>
        <w:gridCol w:w="360"/>
        <w:gridCol w:w="396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ID</w:t>
            </w:r>
          </w:p>
        </w:tc>
        <w:tc>
          <w:tcPr>
            <w:tcW w:type="dxa" w:w="72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Category</w:t>
            </w:r>
          </w:p>
        </w:tc>
        <w:tc>
          <w:tcPr>
            <w:tcW w:type="dxa" w:w="300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Risk Description</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Prob (1-5)</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Impact (1-5)</w:t>
            </w:r>
          </w:p>
        </w:tc>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Score</w:t>
            </w:r>
          </w:p>
        </w:tc>
        <w:tc>
          <w:tcPr>
            <w:tcW w:type="dxa" w:w="39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Mitigation Strategy</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SR-01</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Strategic</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Founder incapacity, death, or disengagement before institutional handover is complete. G.O.D.S is founder-dependent in Phase 1.</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EF4444"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15</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Succession Continuity Charter executed. Deputy CEO appointed by Month 6. Founder Doctrine institutionalised. IP Trust independent of founder from Day 1.</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SR-02</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Strategic</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Mission drift under commercial or investor pressure. Constitutional Pillars compromised to close deals.</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EF4444"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15</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COB veto on all Pillar-relevant decisions. Anti-capture provisions in MOI. Reserved matters schedule. Investor onboarding includes constitutional briefing.</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SR-03</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Strategic</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Political change in South Africa renders government partnership model non-viable. New administration hostile to PPP model.</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12</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SPV co-ownership gives government intrinsic interest in continuation. SADC diversification reduces SA dependency. Constitutional design is politically neutral.</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SR-04</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Strategic</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UDOC politically targeted as surveillance infrastructure by opposition or civil society. Reputational attack.</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8</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COB independence is public and documented. Open governance architecture. Transparency as marketing, not compliance. Pre-emptive civil society engagement.</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SR-05</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Strategic</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G.O.D.S architecture replicated by better-capitalised competitor before operational proof is established.</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6</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Compounding loop cannot be replicated without building all 4 divisions simultaneously. Constitutional architecture cannot be bought. SA trust cannot be imported.</w:t>
            </w:r>
          </w:p>
        </w:tc>
      </w:tr>
    </w:tbl>
    <w:p>
      <w:pPr>
        <w:spacing w:before="80" w:after="0"/>
      </w:pPr>
    </w:p>
    <w:p>
      <w:pPr>
        <w:pStyle w:val="Heading1"/>
        <w:spacing w:before="400" w:after="140"/>
      </w:pPr>
      <w:r>
        <w:rPr>
          <w:rFonts w:ascii="Arial" w:cs="Arial" w:eastAsia="Arial" w:hAnsi="Arial"/>
          <w:b/>
          <w:bCs/>
          <w:color w:val="C9A84C"/>
          <w:sz w:val="32"/>
          <w:szCs w:val="32"/>
        </w:rPr>
        <w:t xml:space="preserve">OPERATIONAL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720"/>
        <w:gridCol w:w="3000"/>
        <w:gridCol w:w="480"/>
        <w:gridCol w:w="480"/>
        <w:gridCol w:w="360"/>
        <w:gridCol w:w="396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ID</w:t>
            </w:r>
          </w:p>
        </w:tc>
        <w:tc>
          <w:tcPr>
            <w:tcW w:type="dxa" w:w="72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Category</w:t>
            </w:r>
          </w:p>
        </w:tc>
        <w:tc>
          <w:tcPr>
            <w:tcW w:type="dxa" w:w="300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Risk Description</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Prob (1-5)</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Impact (1-5)</w:t>
            </w:r>
          </w:p>
        </w:tc>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Score</w:t>
            </w:r>
          </w:p>
        </w:tc>
        <w:tc>
          <w:tcPr>
            <w:tcW w:type="dxa" w:w="39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Mitigation Strategy</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OR-01</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Operational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S.E.T.H.S pilot placement rate below 70%. Programme fails to demonstrate core value proposition in Phase 1.</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EF4444"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15</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Employer partnerships secured before participant intake. 3-month employer engagement lead time. COB review at 25 participants. Fallback: extend pilot timeline, not cohort size.</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OR-02</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Operational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Key hires fail to materialise. COO or CFO cannot be recruited at budgeted compensation in Phase 1 timeline.</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12</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Equity compensation package designed. Network pre-engagement before funding close. Interim fractional executive model as backup. Founder carries executive load in extreme case.</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OR-03</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Operational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T.S first project delayed by procurement, regulatory, or supply chain issues. Phase 2 activation deferred.</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9</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T.S project pipeline pre-identified in Phase 1. Government MOU includes project readiness clause. Supply chain pre-qualification done before project commencement.</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OR-04</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Operational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UDOC enterprise client churn in Phase 1. First 3 clients cancel before reference case is established.</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8</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12-month minimum contract terms. Client success function active from onboarding. COB oversight of client governance outcomes. Price held to value delivered.</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OR-05</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Operational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Constitutional Oversight Board fails to recruit credible independent members. COB becomes rubber stamp.</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10</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COB recruitment begins before external capital is accepted. Independent search process. No founder veto on COB appointments. Public disclosure of COB composition.</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OR-06</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Operational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S.E.T.H.S participant welfare incident. Participant harmed during programme. Reputational and legal exposure.</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8</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Psychosocial support built into programme design. Safeguarding policy in place before intake. Incident response protocol documented. Professional indemnity insurance.</w:t>
            </w:r>
          </w:p>
        </w:tc>
      </w:tr>
    </w:tbl>
    <w:p>
      <w:pPr>
        <w:spacing w:before="80" w:after="0"/>
      </w:pPr>
    </w:p>
    <w:p>
      <w:pPr>
        <w:pStyle w:val="Heading1"/>
        <w:spacing w:before="400" w:after="140"/>
      </w:pPr>
      <w:r>
        <w:rPr>
          <w:rFonts w:ascii="Arial" w:cs="Arial" w:eastAsia="Arial" w:hAnsi="Arial"/>
          <w:b/>
          <w:bCs/>
          <w:color w:val="C9A84C"/>
          <w:sz w:val="32"/>
          <w:szCs w:val="32"/>
        </w:rPr>
        <w:t xml:space="preserve">FINANCIAL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720"/>
        <w:gridCol w:w="3000"/>
        <w:gridCol w:w="480"/>
        <w:gridCol w:w="480"/>
        <w:gridCol w:w="360"/>
        <w:gridCol w:w="396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ID</w:t>
            </w:r>
          </w:p>
        </w:tc>
        <w:tc>
          <w:tcPr>
            <w:tcW w:type="dxa" w:w="72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Category</w:t>
            </w:r>
          </w:p>
        </w:tc>
        <w:tc>
          <w:tcPr>
            <w:tcW w:type="dxa" w:w="300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Risk Description</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Prob (1-5)</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Impact (1-5)</w:t>
            </w:r>
          </w:p>
        </w:tc>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Score</w:t>
            </w:r>
          </w:p>
        </w:tc>
        <w:tc>
          <w:tcPr>
            <w:tcW w:type="dxa" w:w="39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Mitigation Strategy</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FR-01</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Financial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Phase 1 funding not secured within 6 months of operational launch. Cash runway below 3 months.</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EF4444"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15</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Multi-source funding strategy: DFI + grant + CSI + angel. No single-source dependency. DBSA, IDC Social, NDA all in parallel pipeline. Minimum viable Phase 1 designed to R8M.</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FR-02</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Financial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DFI funding conditionality unacceptable. DBSA or IDC impose conditions inconsistent with constitutional mandate.</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8</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Constitutional mandate briefed at first DFI meeting. Reserved matters schedule protects Pillars. Rejection of incompatible conditions is acceptable — alternative funders identified.</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FR-03</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Financial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M.A.D.I.B.A capital raise delayed beyond Phase 3. Continental capital architecture cannot activate on schedule.</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6</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M.A.D.I.B.A is Phase 4 — depends on Phase 1-3 proof. Delay is acceptable if proof is solid. Phase 3 generates sufficient UDOC government revenue to partially self-fund.</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FR-04</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Financial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Foreign exchange risk on international capital. SADC expansion capital in USD/EUR depreciates vs ZAR operational costs.</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4</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Currency hedging policy built into M.A.D.I.B.A capital structure. Local currency contracts for operational costs. SPV structure manages currency exposure at project level.</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FR-05</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Financial</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Audit failure or qualified opinion. Financial irregularity detected in Phase 1. Funder confidence damaged.</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1</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5</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Big 4 audit firm engaged from Day 1. Immutable financial audit trail via UDOC (internal). COB financial oversight quarterly. CFO to be CA(SA) qualified.</w:t>
            </w:r>
          </w:p>
        </w:tc>
      </w:tr>
    </w:tbl>
    <w:p>
      <w:pPr>
        <w:spacing w:before="80" w:after="0"/>
      </w:pPr>
    </w:p>
    <w:p>
      <w:pPr>
        <w:pStyle w:val="Heading1"/>
        <w:spacing w:before="400" w:after="140"/>
      </w:pPr>
      <w:r>
        <w:rPr>
          <w:rFonts w:ascii="Arial" w:cs="Arial" w:eastAsia="Arial" w:hAnsi="Arial"/>
          <w:b/>
          <w:bCs/>
          <w:color w:val="C9A84C"/>
          <w:sz w:val="32"/>
          <w:szCs w:val="32"/>
        </w:rPr>
        <w:t xml:space="preserve">TECHNOLOGY &amp; QUANTUM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720"/>
        <w:gridCol w:w="3000"/>
        <w:gridCol w:w="480"/>
        <w:gridCol w:w="480"/>
        <w:gridCol w:w="360"/>
        <w:gridCol w:w="396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ID</w:t>
            </w:r>
          </w:p>
        </w:tc>
        <w:tc>
          <w:tcPr>
            <w:tcW w:type="dxa" w:w="72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Category</w:t>
            </w:r>
          </w:p>
        </w:tc>
        <w:tc>
          <w:tcPr>
            <w:tcW w:type="dxa" w:w="300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Risk Description</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Prob (1-5)</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Impact (1-5)</w:t>
            </w:r>
          </w:p>
        </w:tc>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Score</w:t>
            </w:r>
          </w:p>
        </w:tc>
        <w:tc>
          <w:tcPr>
            <w:tcW w:type="dxa" w:w="39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Mitigation Strategy</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TR-01</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Technology</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UDOC data breach. Government sovereign data compromised. Sovereignty promise broken.</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10</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Zero foreign cloud dependency for government data. QKD sovereign key custody. Post-quantum crypto active Phase 1. Independent security audit before government onboarding.</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TR-02</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Technology</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Quantum hardware timeline slips. On-premises QPU not commercially available at Phase 3 target.</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6</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Phase 3 can operate with quantum cloud API if on-prem QPU delayed. HQ-OS designed for graceful degradation. Commercial value delivered in classical mode without QPU.</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TR-03</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Technology</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NIST post-quantum cryptographic standards revised or broken. PQC migration must be redone.</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1</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4</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Algorithm agility built into HQ-OS crypto layer. Modular design enables algorithm substitution. Monitoring of NIST and international standards bodies ongoing.</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TR-04</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Technology</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AI bias detection false positive creates wrongful governance intervention. Client system incorrectly flagged.</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8</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Human confirmation required for all flagged outcomes above threshold. False positive review process. Client appeal mechanism. Confidence threshold configurable per deployment.</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TR-05</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Technology</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Cybersecurity attack on UDOC infrastructure. Ransomware, DDoS, or state-actor intrusion.</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12</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Defence-in-depth security architecture. Air-gapped backup systems. Incident response team. Cyber insurance. Regular penetration testing. QKD adds physical security layer for sovereign data.</w:t>
            </w:r>
          </w:p>
        </w:tc>
      </w:tr>
    </w:tbl>
    <w:p>
      <w:pPr>
        <w:spacing w:before="80" w:after="0"/>
      </w:pPr>
    </w:p>
    <w:p>
      <w:pPr>
        <w:pStyle w:val="Heading1"/>
        <w:spacing w:before="400" w:after="140"/>
      </w:pPr>
      <w:r>
        <w:rPr>
          <w:rFonts w:ascii="Arial" w:cs="Arial" w:eastAsia="Arial" w:hAnsi="Arial"/>
          <w:b/>
          <w:bCs/>
          <w:color w:val="C9A84C"/>
          <w:sz w:val="32"/>
          <w:szCs w:val="32"/>
        </w:rPr>
        <w:t xml:space="preserve">GOVERNANCE &amp; LEGAL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720"/>
        <w:gridCol w:w="3000"/>
        <w:gridCol w:w="480"/>
        <w:gridCol w:w="480"/>
        <w:gridCol w:w="360"/>
        <w:gridCol w:w="396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ID</w:t>
            </w:r>
          </w:p>
        </w:tc>
        <w:tc>
          <w:tcPr>
            <w:tcW w:type="dxa" w:w="72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Category</w:t>
            </w:r>
          </w:p>
        </w:tc>
        <w:tc>
          <w:tcPr>
            <w:tcW w:type="dxa" w:w="300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Risk Description</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Prob (1-5)</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Impact (1-5)</w:t>
            </w:r>
          </w:p>
        </w:tc>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Score</w:t>
            </w:r>
          </w:p>
        </w:tc>
        <w:tc>
          <w:tcPr>
            <w:tcW w:type="dxa" w:w="39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Mitigation Strategy</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GR-01</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Governance</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South Africa enacts AI legislation that creates compliance requirements G.O.D.S cannot meet or that conflicts with constitutional design.</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6</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UDOC is positioned as the compliance infrastructure for any AI legislation — making G.O.D.S an asset to regulators, not a compliance risk. Active engagement in AI policy processes.</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GR-02</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Governance</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Constitutional Pillar amendment attempt by investor coalition. Commercial pressure to relax anti-capture or profitability constraints.</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10</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Supermajority requirement for Pillar amendment. IP Trust holds Class A — constitutional amendment requires Trust consent. COB independent veto. This is designed to be extremely difficult.</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GR-03</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Governance</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Key government partner changes minister or policy. Programme cancelled mid-delivery.</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9</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Outcome-based contracts insulate against political change — payment is for delivered outcomes, not political favour. SPV co-ownership creates institutional continuity independent of ministerial change.</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GR-04</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Governance</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IP Trust deed challenged legally. Trust validity contested by creditor or estate claim.</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1</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5</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Trust constituted by senior trust counsel from Day 1. Trust property correctly transferred. Independent trustees. Trust deed reviewed by 2 independent counsel. IP schedule comprehensive.</w:t>
            </w:r>
          </w:p>
        </w:tc>
      </w:tr>
    </w:tbl>
    <w:p>
      <w:pPr>
        <w:spacing w:before="80" w:after="0"/>
      </w:pPr>
    </w:p>
    <w:p>
      <w:pPr>
        <w:pStyle w:val="Heading1"/>
        <w:spacing w:before="400" w:after="140"/>
      </w:pPr>
      <w:r>
        <w:rPr>
          <w:rFonts w:ascii="Arial" w:cs="Arial" w:eastAsia="Arial" w:hAnsi="Arial"/>
          <w:b/>
          <w:bCs/>
          <w:color w:val="C9A84C"/>
          <w:sz w:val="32"/>
          <w:szCs w:val="32"/>
        </w:rPr>
        <w:t xml:space="preserve">REPUTATIONAL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720"/>
        <w:gridCol w:w="3000"/>
        <w:gridCol w:w="480"/>
        <w:gridCol w:w="480"/>
        <w:gridCol w:w="360"/>
        <w:gridCol w:w="396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ID</w:t>
            </w:r>
          </w:p>
        </w:tc>
        <w:tc>
          <w:tcPr>
            <w:tcW w:type="dxa" w:w="72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Category</w:t>
            </w:r>
          </w:p>
        </w:tc>
        <w:tc>
          <w:tcPr>
            <w:tcW w:type="dxa" w:w="300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Risk Description</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Prob (1-5)</w:t>
            </w:r>
          </w:p>
        </w:tc>
        <w:tc>
          <w:tcPr>
            <w:tcW w:type="dxa" w:w="48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Impact (1-5)</w:t>
            </w:r>
          </w:p>
        </w:tc>
        <w:tc>
          <w:tcPr>
            <w:tcW w:type="dxa" w:w="3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Score</w:t>
            </w:r>
          </w:p>
        </w:tc>
        <w:tc>
          <w:tcPr>
            <w:tcW w:type="dxa" w:w="3960"/>
            <w:tcBorders>
              <w:top w:val="single" w:color="DDDDDD" w:sz="1"/>
              <w:left w:val="single" w:color="DDDDDD" w:sz="1"/>
              <w:bottom w:val="single" w:color="DDDDDD" w:sz="1"/>
              <w:right w:val="single" w:color="DDDDDD" w:sz="1"/>
            </w:tcBorders>
            <w:shd w:fill="0A1628" w:val="clear"/>
            <w:tcMar>
              <w:top w:type="dxa" w:w="70"/>
              <w:left w:type="dxa" w:w="100"/>
              <w:bottom w:type="dxa" w:w="70"/>
              <w:right w:type="dxa" w:w="80"/>
            </w:tcMar>
          </w:tcPr>
          <w:p>
            <w:r>
              <w:rPr>
                <w:rFonts w:ascii="Arial" w:cs="Arial" w:eastAsia="Arial" w:hAnsi="Arial"/>
                <w:b/>
                <w:bCs/>
                <w:color w:val="FFFFFF"/>
                <w:sz w:val="18"/>
                <w:szCs w:val="18"/>
              </w:rPr>
              <w:t xml:space="preserve">Mitigation Strategy</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RR-01</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Reputation</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S.E.T.H.S participant exploitation allegation. Programme accused of using vulnerable people for commercial gain.</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5</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10</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Constitutional Dignity Pillar enforced. Participant charter. Independent participant voice mechanism. COB participant welfare oversight. Programme designed to advance participant interests first.</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RR-02</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Reputation</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UDOC described as AI surveillance infrastructure by media or civil society.</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4</w:t>
            </w:r>
          </w:p>
        </w:tc>
        <w:tc>
          <w:tcPr>
            <w:tcW w:type="dxa" w:w="360"/>
            <w:tcBorders>
              <w:top w:val="single" w:color="DDDDDD" w:sz="1"/>
              <w:left w:val="single" w:color="DDDDDD" w:sz="1"/>
              <w:bottom w:val="single" w:color="DDDDDD" w:sz="1"/>
              <w:right w:val="single" w:color="DDDDDD" w:sz="1"/>
            </w:tcBorders>
            <w:shd w:fill="F59E0B" w:val="clear"/>
            <w:tcMar>
              <w:top w:type="dxa" w:w="60"/>
              <w:left w:type="dxa" w:w="80"/>
              <w:bottom w:type="dxa" w:w="60"/>
              <w:right w:type="dxa" w:w="80"/>
            </w:tcMar>
          </w:tcPr>
          <w:p>
            <w:pPr>
              <w:jc w:val="center"/>
            </w:pPr>
            <w:r>
              <w:rPr>
                <w:rFonts w:ascii="Arial" w:cs="Arial" w:eastAsia="Arial" w:hAnsi="Arial"/>
                <w:b/>
                <w:bCs/>
                <w:color w:val="FFFFFF"/>
                <w:sz w:val="19"/>
                <w:szCs w:val="19"/>
              </w:rPr>
              <w:t xml:space="preserve">12</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Proactive transparency architecture. Open governance. Civil society advisory panel. Regular public reporting on governance outcomes. COB independence public and verifiable.</w:t>
            </w:r>
          </w:p>
        </w:tc>
      </w:tr>
      <w:tr>
        <w:tc>
          <w:tcPr>
            <w:tcW w:type="dxa" w:w="36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r>
              <w:rPr>
                <w:rFonts w:ascii="Arial" w:cs="Arial" w:eastAsia="Arial" w:hAnsi="Arial"/>
                <w:b/>
                <w:bCs/>
                <w:color w:val="1A3A5C"/>
                <w:sz w:val="18"/>
                <w:szCs w:val="18"/>
              </w:rPr>
              <w:t xml:space="preserve">RR-03</w:t>
            </w:r>
          </w:p>
        </w:tc>
        <w:tc>
          <w:tcPr>
            <w:tcW w:type="dxa" w:w="720"/>
            <w:tcBorders>
              <w:top w:val="single" w:color="DDDDDD" w:sz="1"/>
              <w:left w:val="single" w:color="DDDDDD" w:sz="1"/>
              <w:bottom w:val="single" w:color="DDDDDD" w:sz="1"/>
              <w:right w:val="single" w:color="DDDDDD" w:sz="1"/>
            </w:tcBorders>
            <w:shd w:fill="E8F4FD" w:val="clear"/>
            <w:tcMar>
              <w:top w:type="dxa" w:w="60"/>
              <w:left w:type="dxa" w:w="80"/>
              <w:bottom w:type="dxa" w:w="60"/>
              <w:right w:type="dxa" w:w="80"/>
            </w:tcMar>
          </w:tcPr>
          <w:p>
            <w:r>
              <w:rPr>
                <w:rFonts w:ascii="Arial" w:cs="Arial" w:eastAsia="Arial" w:hAnsi="Arial"/>
                <w:b/>
                <w:bCs/>
                <w:color w:val="0A1628"/>
                <w:sz w:val="18"/>
                <w:szCs w:val="18"/>
              </w:rPr>
              <w:t xml:space="preserve">Reputation</w:t>
            </w:r>
          </w:p>
        </w:tc>
        <w:tc>
          <w:tcPr>
            <w:tcW w:type="dxa" w:w="300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Founder personal conduct or background used to discredit organisation.</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60"/>
              <w:left w:type="dxa" w:w="80"/>
              <w:bottom w:type="dxa" w:w="60"/>
              <w:right w:type="dxa" w:w="80"/>
            </w:tcMar>
          </w:tcPr>
          <w:p>
            <w:pPr>
              <w:jc w:val="center"/>
            </w:pPr>
            <w:r>
              <w:rPr>
                <w:rFonts w:ascii="Arial" w:cs="Arial" w:eastAsia="Arial" w:hAnsi="Arial"/>
                <w:color w:val="0D0D0D"/>
                <w:sz w:val="19"/>
                <w:szCs w:val="19"/>
              </w:rPr>
              <w:t xml:space="preserve">3</w:t>
            </w:r>
          </w:p>
        </w:tc>
        <w:tc>
          <w:tcPr>
            <w:tcW w:type="dxa" w:w="360"/>
            <w:tcBorders>
              <w:top w:val="single" w:color="DDDDDD" w:sz="1"/>
              <w:left w:val="single" w:color="DDDDDD" w:sz="1"/>
              <w:bottom w:val="single" w:color="DDDDDD" w:sz="1"/>
              <w:right w:val="single" w:color="DDDDDD" w:sz="1"/>
            </w:tcBorders>
            <w:shd w:fill="10B981" w:val="clear"/>
            <w:tcMar>
              <w:top w:type="dxa" w:w="60"/>
              <w:left w:type="dxa" w:w="80"/>
              <w:bottom w:type="dxa" w:w="60"/>
              <w:right w:type="dxa" w:w="80"/>
            </w:tcMar>
          </w:tcPr>
          <w:p>
            <w:pPr>
              <w:jc w:val="center"/>
            </w:pPr>
            <w:r>
              <w:rPr>
                <w:rFonts w:ascii="Arial" w:cs="Arial" w:eastAsia="Arial" w:hAnsi="Arial"/>
                <w:b/>
                <w:bCs/>
                <w:color w:val="FFFFFF"/>
                <w:sz w:val="19"/>
                <w:szCs w:val="19"/>
              </w:rPr>
              <w:t xml:space="preserve">6</w:t>
            </w:r>
          </w:p>
        </w:tc>
        <w:tc>
          <w:tcPr>
            <w:tcW w:type="dxa" w:w="3960"/>
            <w:tcBorders>
              <w:top w:val="single" w:color="DDDDDD" w:sz="1"/>
              <w:left w:val="single" w:color="DDDDDD" w:sz="1"/>
              <w:bottom w:val="single" w:color="DDDDDD" w:sz="1"/>
              <w:right w:val="single" w:color="DDDDDD" w:sz="1"/>
            </w:tcBorders>
            <w:shd w:fill="FFFFFF" w:val="clear"/>
            <w:tcMar>
              <w:top w:type="dxa" w:w="60"/>
              <w:left w:type="dxa" w:w="100"/>
              <w:bottom w:type="dxa" w:w="60"/>
              <w:right w:type="dxa" w:w="80"/>
            </w:tcMar>
          </w:tcPr>
          <w:p>
            <w:r>
              <w:rPr>
                <w:rFonts w:ascii="Arial" w:cs="Arial" w:eastAsia="Arial" w:hAnsi="Arial"/>
                <w:color w:val="0D0D0D"/>
                <w:sz w:val="19"/>
                <w:szCs w:val="19"/>
              </w:rPr>
              <w:t xml:space="preserve">Constitutional architecture separates G.O.D.S from any single individual. Institutional response protocol. COB speaks independently on institutional integrity. Succession architecture reduces founder dependency.</w:t>
            </w:r>
          </w:p>
        </w:tc>
      </w:tr>
    </w:tbl>
    <w:p>
      <w:pPr>
        <w:spacing w:before="120" w:after="0"/>
      </w:pPr>
    </w:p>
    <w:p>
      <w:pPr>
        <w:spacing w:before="70" w:after="90"/>
        <w:jc w:val="both"/>
      </w:pPr>
      <w:r>
        <w:rPr>
          <w:rFonts w:ascii="Arial" w:cs="Arial" w:eastAsia="Arial" w:hAnsi="Arial"/>
          <w:b w:val="false"/>
          <w:bCs w:val="false"/>
          <w:i/>
          <w:iCs/>
          <w:color w:val="555555"/>
          <w:sz w:val="22"/>
          <w:szCs w:val="22"/>
        </w:rPr>
        <w:t xml:space="preserve">Risk Register Version 1.0 | March 2026 | Next COB Review: June 2026 | Owner: COO with CFO input | Approved by: COB</w:t>
      </w:r>
    </w:p>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F</w:t>
      </w:r>
    </w:p>
    <w:p>
      <w:pPr>
        <w:spacing w:before="0" w:after="30"/>
        <w:jc w:val="center"/>
      </w:pPr>
      <w:r>
        <w:rPr>
          <w:rFonts w:ascii="Arial" w:cs="Arial" w:eastAsia="Arial" w:hAnsi="Arial"/>
          <w:b/>
          <w:bCs/>
          <w:color w:val="0A1628"/>
          <w:sz w:val="40"/>
          <w:szCs w:val="40"/>
        </w:rPr>
        <w:t xml:space="preserve">DETAILED FINANCIAL PROJECTIONS</w:t>
      </w:r>
    </w:p>
    <w:p>
      <w:pPr>
        <w:spacing w:before="0" w:after="80"/>
        <w:jc w:val="center"/>
      </w:pPr>
      <w:r>
        <w:rPr>
          <w:rFonts w:ascii="Arial" w:cs="Arial" w:eastAsia="Arial" w:hAnsi="Arial"/>
          <w:i/>
          <w:iCs/>
          <w:color w:val="555555"/>
          <w:sz w:val="24"/>
          <w:szCs w:val="24"/>
        </w:rPr>
        <w:t xml:space="preserve">5 / 10 / 25 Year Model — Three Scenarios</w:t>
      </w:r>
    </w:p>
    <w:p>
      <w:pPr>
        <w:pBdr>
          <w:bottom w:val="single" w:color="C9A84C" w:sz="8" w:space="4"/>
        </w:pBdr>
        <w:spacing w:before="100" w:after="100"/>
      </w:pPr>
    </w:p>
    <w:p>
      <w:pPr>
        <w:spacing w:before="80" w:after="0"/>
      </w:pPr>
    </w:p>
    <w:p>
      <w:pPr>
        <w:spacing w:before="70" w:after="90"/>
        <w:jc w:val="both"/>
      </w:pPr>
      <w:r>
        <w:rPr>
          <w:rFonts w:ascii="Arial" w:cs="Arial" w:eastAsia="Arial" w:hAnsi="Arial"/>
          <w:b w:val="false"/>
          <w:bCs w:val="false"/>
          <w:i/>
          <w:iCs/>
          <w:color w:val="555555"/>
          <w:sz w:val="22"/>
          <w:szCs w:val="22"/>
        </w:rPr>
        <w:t xml:space="preserve">All figures in ZAR millions unless stated. All projections are internal planning estimates. Not audited forecasts. Figures represent nominal values without inflation adjustment.</w:t>
      </w:r>
    </w:p>
    <w:p>
      <w:pPr>
        <w:spacing w:before="80" w:after="0"/>
      </w:pPr>
    </w:p>
    <w:p>
      <w:pPr>
        <w:pStyle w:val="Heading1"/>
        <w:spacing w:before="400" w:after="140"/>
      </w:pPr>
      <w:r>
        <w:rPr>
          <w:rFonts w:ascii="Arial" w:cs="Arial" w:eastAsia="Arial" w:hAnsi="Arial"/>
          <w:b/>
          <w:bCs/>
          <w:color w:val="C9A84C"/>
          <w:sz w:val="32"/>
          <w:szCs w:val="32"/>
        </w:rPr>
        <w:t xml:space="preserve">PHASE 1 — YEARS 1-3: PROOF OF CONCEPT FINANCIALS</w:t>
      </w:r>
    </w:p>
    <w:p>
      <w:pPr>
        <w:pStyle w:val="Heading2"/>
        <w:spacing w:before="280" w:after="100"/>
      </w:pPr>
      <w:r>
        <w:rPr>
          <w:rFonts w:ascii="Arial" w:cs="Arial" w:eastAsia="Arial" w:hAnsi="Arial"/>
          <w:b/>
          <w:bCs/>
          <w:color w:val="1A3A5C"/>
          <w:sz w:val="26"/>
          <w:szCs w:val="26"/>
        </w:rPr>
        <w:t xml:space="preserve">Revenue Build — Year 1 (Phase 1 Pilot)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200"/>
        <w:gridCol w:w="1200"/>
        <w:gridCol w:w="1200"/>
        <w:gridCol w:w="1200"/>
        <w:gridCol w:w="240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Revenue Stream</w:t>
            </w:r>
          </w:p>
        </w:tc>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Q1</w:t>
            </w:r>
          </w:p>
        </w:tc>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Q2</w:t>
            </w:r>
          </w:p>
        </w:tc>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Q3</w:t>
            </w:r>
          </w:p>
        </w:tc>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Q4</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1 Total</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Government Pilot Contract</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R0.8M</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R1.2M</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R1.5M</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R3.5M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Employer SaaS (3 clients)</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R0.1M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R0.15M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R0.2M</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R0.45M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Enterprise SaaS (pilot clients)</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R0.2M</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R0.4M</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R0.6M</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Implementation Fees</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R0.5M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R0.3M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R0.2M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R1.0M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M.A.D.I.B.A Advisory Fees</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R0.3M</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R0.5M</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R0.8M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REVENUE</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R0.5M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R1.4M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R2.25M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R2.8M</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R6.95M</w:t>
            </w:r>
          </w:p>
        </w:tc>
      </w:tr>
    </w:tbl>
    <w:p>
      <w:pPr>
        <w:spacing w:before="60" w:after="0"/>
      </w:pPr>
    </w:p>
    <w:p>
      <w:pPr>
        <w:pStyle w:val="Heading2"/>
        <w:spacing w:before="280" w:after="100"/>
      </w:pPr>
      <w:r>
        <w:rPr>
          <w:rFonts w:ascii="Arial" w:cs="Arial" w:eastAsia="Arial" w:hAnsi="Arial"/>
          <w:b/>
          <w:bCs/>
          <w:color w:val="1A3A5C"/>
          <w:sz w:val="26"/>
          <w:szCs w:val="26"/>
        </w:rPr>
        <w:t xml:space="preserve">Cost Structure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1800"/>
        <w:gridCol w:w="4680"/>
      </w:tblGrid>
      <w:tr>
        <w:tc>
          <w:tcPr>
            <w:tcW w:type="dxa" w:w="28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Cost Category</w:t>
            </w:r>
          </w:p>
        </w:tc>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1 Budget</w:t>
            </w:r>
          </w:p>
        </w:tc>
        <w:tc>
          <w:tcPr>
            <w:tcW w:type="dxa" w:w="46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Executive Team (CEO+COO+CFO+Legal)</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R3.6M</w:t>
            </w:r>
          </w:p>
        </w:tc>
        <w:tc>
          <w:tcPr>
            <w:tcW w:type="dxa" w:w="46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CFO at R700K CTC each + legal at R600K; CEO equity only</w:t>
            </w:r>
          </w:p>
        </w:tc>
      </w:tr>
      <w:tr>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Programme Staff (8 FTE)</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R2.4M</w:t>
            </w:r>
          </w:p>
        </w:tc>
        <w:tc>
          <w:tcPr>
            <w:tcW w:type="dxa" w:w="46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Programme manager, facilitators, social workers, admin</w:t>
            </w:r>
          </w:p>
        </w:tc>
      </w:tr>
      <w:tr>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Engineering Team (4 FTE)</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R2.4M</w:t>
            </w:r>
          </w:p>
        </w:tc>
        <w:tc>
          <w:tcPr>
            <w:tcW w:type="dxa" w:w="46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 senior engineers + 2 mid-level; post-quantum crypto specialist</w:t>
            </w:r>
          </w:p>
        </w:tc>
      </w:tr>
      <w:tr>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Premises &amp; Infrastructure</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R0.8M</w:t>
            </w:r>
          </w:p>
        </w:tc>
        <w:tc>
          <w:tcPr>
            <w:tcW w:type="dxa" w:w="46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Offices (Gauteng); S.E.T.H.S facility; server infrastructure</w:t>
            </w:r>
          </w:p>
        </w:tc>
      </w:tr>
      <w:tr>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Programme Costs (S.E.T.H.S 50 pax)</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R1.5M</w:t>
            </w:r>
          </w:p>
        </w:tc>
        <w:tc>
          <w:tcPr>
            <w:tcW w:type="dxa" w:w="46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Stipends, materials, assessments, placement support</w:t>
            </w:r>
          </w:p>
        </w:tc>
      </w:tr>
      <w:tr>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Legal &amp; Compliance</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R0.6M</w:t>
            </w:r>
          </w:p>
        </w:tc>
        <w:tc>
          <w:tcPr>
            <w:tcW w:type="dxa" w:w="46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Entity registration, MOI drafting, COB constituting, IP Trust</w:t>
            </w:r>
          </w:p>
        </w:tc>
      </w:tr>
      <w:tr>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Marketing &amp; Institutional</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R0.4M</w:t>
            </w:r>
          </w:p>
        </w:tc>
        <w:tc>
          <w:tcPr>
            <w:tcW w:type="dxa" w:w="46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 presentations, government engagement, pitches</w:t>
            </w:r>
          </w:p>
        </w:tc>
      </w:tr>
      <w:tr>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Contingency (15%)</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R1.76M</w:t>
            </w:r>
          </w:p>
        </w:tc>
        <w:tc>
          <w:tcPr>
            <w:tcW w:type="dxa" w:w="46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
            </w:r>
          </w:p>
        </w:tc>
      </w:tr>
      <w:tr>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OPERATING COSTS</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R13.46M</w:t>
            </w:r>
          </w:p>
        </w:tc>
        <w:tc>
          <w:tcPr>
            <w:tcW w:type="dxa" w:w="46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
            </w:r>
          </w:p>
        </w:tc>
      </w:tr>
      <w:tr>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FUNDING REQUIREMENT (Year 1)</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R12-15M</w:t>
            </w:r>
          </w:p>
        </w:tc>
        <w:tc>
          <w:tcPr>
            <w:tcW w:type="dxa" w:w="46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Gap funded by Phase 1 seed round (DFI + grant + angel)</w:t>
            </w:r>
          </w:p>
        </w:tc>
      </w:tr>
    </w:tbl>
    <w:p>
      <w:pPr>
        <w:spacing w:before="80" w:after="0"/>
      </w:pPr>
    </w:p>
    <w:p>
      <w:pPr>
        <w:pStyle w:val="Heading2"/>
        <w:spacing w:before="280" w:after="100"/>
      </w:pPr>
      <w:r>
        <w:rPr>
          <w:rFonts w:ascii="Arial" w:cs="Arial" w:eastAsia="Arial" w:hAnsi="Arial"/>
          <w:b/>
          <w:bCs/>
          <w:color w:val="1A3A5C"/>
          <w:sz w:val="26"/>
          <w:szCs w:val="26"/>
        </w:rPr>
        <w:t xml:space="preserve">3-Year Consolidated P&amp;L Projection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20"/>
        <w:gridCol w:w="2120"/>
        <w:gridCol w:w="2120"/>
      </w:tblGrid>
      <w:tr>
        <w:tc>
          <w:tcPr>
            <w:tcW w:type="dxa" w:w="30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Line Item</w:t>
            </w:r>
          </w:p>
        </w:tc>
        <w:tc>
          <w:tcPr>
            <w:tcW w:type="dxa" w:w="21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1</w:t>
            </w:r>
          </w:p>
        </w:tc>
        <w:tc>
          <w:tcPr>
            <w:tcW w:type="dxa" w:w="21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2</w:t>
            </w:r>
          </w:p>
        </w:tc>
        <w:tc>
          <w:tcPr>
            <w:tcW w:type="dxa" w:w="21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3</w:t>
            </w:r>
          </w:p>
        </w:tc>
      </w:tr>
      <w:tr>
        <w:tc>
          <w:tcPr>
            <w:tcW w:type="dxa" w:w="3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REVENUE</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R6.95M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R32M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R78M</w:t>
            </w:r>
          </w:p>
        </w:tc>
      </w:tr>
      <w:tr>
        <w:tc>
          <w:tcPr>
            <w:tcW w:type="dxa" w:w="3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  S.E.T.H.S Revenue</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R3.95M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R14M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R28M</w:t>
            </w:r>
          </w:p>
        </w:tc>
      </w:tr>
      <w:tr>
        <w:tc>
          <w:tcPr>
            <w:tcW w:type="dxa" w:w="3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  T.S Revenue</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R22M</w:t>
            </w:r>
          </w:p>
        </w:tc>
      </w:tr>
      <w:tr>
        <w:tc>
          <w:tcPr>
            <w:tcW w:type="dxa" w:w="3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  UDOC Revenue</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R2.2M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R22M</w:t>
            </w:r>
          </w:p>
        </w:tc>
      </w:tr>
      <w:tr>
        <w:tc>
          <w:tcPr>
            <w:tcW w:type="dxa" w:w="3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  M.A.D.I.B.A Revenue</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R0.8M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R6M</w:t>
            </w:r>
          </w:p>
        </w:tc>
      </w:tr>
      <w:tr>
        <w:tc>
          <w:tcPr>
            <w:tcW w:type="dxa" w:w="3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OPERATING COSTS</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R13.46M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R22M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R44M</w:t>
            </w:r>
          </w:p>
        </w:tc>
      </w:tr>
      <w:tr>
        <w:tc>
          <w:tcPr>
            <w:tcW w:type="dxa" w:w="3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EBITDA</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-R6.5M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+R10M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+R34M</w:t>
            </w:r>
          </w:p>
        </w:tc>
      </w:tr>
      <w:tr>
        <w:tc>
          <w:tcPr>
            <w:tcW w:type="dxa" w:w="3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Capex (infrastructure, tech)</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R18M</w:t>
            </w:r>
          </w:p>
        </w:tc>
      </w:tr>
      <w:tr>
        <w:tc>
          <w:tcPr>
            <w:tcW w:type="dxa" w:w="3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FREE CASH FLOW</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-R8.5M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+R2M</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+R16M</w:t>
            </w:r>
          </w:p>
        </w:tc>
      </w:tr>
      <w:tr>
        <w:tc>
          <w:tcPr>
            <w:tcW w:type="dxa" w:w="3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Cumulative Cash Position (with funding)</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R5.5M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R7.5M</w:t>
            </w:r>
          </w:p>
        </w:tc>
        <w:tc>
          <w:tcPr>
            <w:tcW w:type="dxa" w:w="21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R23.5M</w:t>
            </w:r>
          </w:p>
        </w:tc>
      </w:tr>
      <w:tr>
        <w:tc>
          <w:tcPr>
            <w:tcW w:type="dxa" w:w="3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Headcount (FTEs)</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18</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45</w:t>
            </w:r>
          </w:p>
        </w:tc>
        <w:tc>
          <w:tcPr>
            <w:tcW w:type="dxa" w:w="21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95</w:t>
            </w:r>
          </w:p>
        </w:tc>
      </w:tr>
    </w:tbl>
    <w:p>
      <w:pPr>
        <w:spacing w:before="80" w:after="0"/>
      </w:pPr>
    </w:p>
    <w:p>
      <w:pPr>
        <w:pStyle w:val="Heading1"/>
        <w:spacing w:before="400" w:after="140"/>
      </w:pPr>
      <w:r>
        <w:rPr>
          <w:rFonts w:ascii="Arial" w:cs="Arial" w:eastAsia="Arial" w:hAnsi="Arial"/>
          <w:b/>
          <w:bCs/>
          <w:color w:val="C9A84C"/>
          <w:sz w:val="32"/>
          <w:szCs w:val="32"/>
        </w:rPr>
        <w:t xml:space="preserve">PHASE 2 — YEARS 4-7: SCALE FINANCIALS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800"/>
        <w:gridCol w:w="1800"/>
        <w:gridCol w:w="1800"/>
        <w:gridCol w:w="180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Division</w:t>
            </w:r>
          </w:p>
        </w:tc>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4</w:t>
            </w:r>
          </w:p>
        </w:tc>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5</w:t>
            </w:r>
          </w:p>
        </w:tc>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6</w:t>
            </w:r>
          </w:p>
        </w:tc>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7</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Revenue</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R45M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R140M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R210M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T.S Revenue</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R60M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R180M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R320M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R480M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Revenue</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R180M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R280M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M.A.D.I.B.A Revenue</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R30M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R60M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R120M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HQ-OS Quantum Premium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R0</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R65M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REVENUE</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R152M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R395M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R735M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R1,155M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Operating Costs</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R90M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R195M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R340M</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R510M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EBITDA</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R62M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R200M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R395M</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R645M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EBITDA Margin</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41%</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51%</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54%</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56%</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Headcount</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180</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380</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650</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950</w:t>
            </w:r>
          </w:p>
        </w:tc>
      </w:tr>
    </w:tbl>
    <w:p>
      <w:pPr>
        <w:spacing w:before="80" w:after="0"/>
      </w:pPr>
    </w:p>
    <w:p>
      <w:pPr>
        <w:pStyle w:val="Heading1"/>
        <w:spacing w:before="400" w:after="140"/>
      </w:pPr>
      <w:r>
        <w:rPr>
          <w:rFonts w:ascii="Arial" w:cs="Arial" w:eastAsia="Arial" w:hAnsi="Arial"/>
          <w:b/>
          <w:bCs/>
          <w:color w:val="C9A84C"/>
          <w:sz w:val="32"/>
          <w:szCs w:val="32"/>
        </w:rPr>
        <w:t xml:space="preserve">PHASE 3 — YEARS 8-10: QUANTUM SOVEREIGNTY FINANCIALS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2000"/>
        <w:gridCol w:w="2000"/>
        <w:gridCol w:w="2000"/>
      </w:tblGrid>
      <w:tr>
        <w:tc>
          <w:tcPr>
            <w:tcW w:type="dxa" w:w="3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Line Item</w:t>
            </w:r>
          </w:p>
        </w:tc>
        <w:tc>
          <w:tcPr>
            <w:tcW w:type="dxa" w:w="20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8</w:t>
            </w:r>
          </w:p>
        </w:tc>
        <w:tc>
          <w:tcPr>
            <w:tcW w:type="dxa" w:w="20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9</w:t>
            </w:r>
          </w:p>
        </w:tc>
        <w:tc>
          <w:tcPr>
            <w:tcW w:type="dxa" w:w="20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10</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REVENUE</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R1.65B</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R2.4B</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R3.5B</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EBITDA</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R910M</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R1.35B</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R2.0B</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EBITDA Margin</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55%</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56%</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57%</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Capital Under Management (M.A.D.I.B.A)</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R45B</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R95B</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R180B</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Sovereign Deployments (UDOC)</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14</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25</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Participants (cumulative)</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85,000</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185,000</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380,000</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T.S Infrastructure Deployed</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R8B</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R18B</w:t>
            </w:r>
          </w:p>
        </w:tc>
        <w:tc>
          <w:tcPr>
            <w:tcW w:type="dxa" w:w="2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R35B</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Markets</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+ 5 SADC</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+ 8 SADC</w:t>
            </w:r>
          </w:p>
        </w:tc>
        <w:tc>
          <w:tcPr>
            <w:tcW w:type="dxa" w:w="2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+ 12 SADC + global entry</w:t>
            </w:r>
          </w:p>
        </w:tc>
      </w:tr>
    </w:tbl>
    <w:p>
      <w:pPr>
        <w:spacing w:before="80" w:after="0"/>
      </w:pPr>
    </w:p>
    <w:p>
      <w:pPr>
        <w:pStyle w:val="Heading1"/>
        <w:spacing w:before="400" w:after="140"/>
      </w:pPr>
      <w:r>
        <w:rPr>
          <w:rFonts w:ascii="Arial" w:cs="Arial" w:eastAsia="Arial" w:hAnsi="Arial"/>
          <w:b/>
          <w:bCs/>
          <w:color w:val="C9A84C"/>
          <w:sz w:val="32"/>
          <w:szCs w:val="32"/>
        </w:rPr>
        <w:t xml:space="preserve">25-YEAR SCENARIO PROJECTIONS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920"/>
        <w:gridCol w:w="1920"/>
        <w:gridCol w:w="1920"/>
        <w:gridCol w:w="2400"/>
      </w:tblGrid>
      <w:tr>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Conservative Total Revenue</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Base Case Total Revenue</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Optimistic Total Revenue</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Cumulative Impact</w:t>
            </w:r>
          </w:p>
        </w:tc>
      </w:tr>
      <w:tr>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1</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R7M</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R12M</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R18M</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50 participants; 1 T.S project; 3 UDOC clients</w:t>
            </w:r>
          </w:p>
        </w:tc>
      </w:tr>
      <w:tr>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3</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R55M</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R78M</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R120M</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500 participants; 5 projects; 12 UDOC clients</w:t>
            </w:r>
          </w:p>
        </w:tc>
      </w:tr>
      <w:tr>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5</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R280M</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R450M</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R750M</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2,500 participants; 3 SADC; 25 UDOC; QPU live</w:t>
            </w:r>
          </w:p>
        </w:tc>
      </w:tr>
      <w:tr>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7</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R850M</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R1.2B</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R2.1B</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8,000 participants; 5 SADC; 45 UDOC; sovereign QPU</w:t>
            </w:r>
          </w:p>
        </w:tc>
      </w:tr>
      <w:tr>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10</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R1.8B</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R3.5B</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R6.2B</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25,000 participants; 10 SADC; 100 UDOC govts</w:t>
            </w:r>
          </w:p>
        </w:tc>
      </w:tr>
      <w:tr>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15</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R5.2B</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R11B</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R22B</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80,000 participants; continental; 250 UDOC</w:t>
            </w:r>
          </w:p>
        </w:tc>
      </w:tr>
      <w:tr>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20</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R12B</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R28B</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R58B</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200,000 participants; global licensing; 500 UDOC</w:t>
            </w:r>
          </w:p>
        </w:tc>
      </w:tr>
      <w:tr>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Year 25</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R25B</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R60B</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R140B</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500,000 participants; 1B people governed; global standard</w:t>
            </w:r>
          </w:p>
        </w:tc>
      </w:tr>
    </w:tbl>
    <w:p>
      <w:pPr>
        <w:spacing w:before="80" w:after="0"/>
      </w:pPr>
    </w:p>
    <w:p>
      <w:pPr>
        <w:pStyle w:val="Heading1"/>
        <w:spacing w:before="400" w:after="140"/>
      </w:pPr>
      <w:r>
        <w:rPr>
          <w:rFonts w:ascii="Arial" w:cs="Arial" w:eastAsia="Arial" w:hAnsi="Arial"/>
          <w:b/>
          <w:bCs/>
          <w:color w:val="C9A84C"/>
          <w:sz w:val="32"/>
          <w:szCs w:val="32"/>
        </w:rPr>
        <w:t xml:space="preserve">INVESTOR RETURN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080"/>
        <w:gridCol w:w="1440"/>
        <w:gridCol w:w="2400"/>
        <w:gridCol w:w="2640"/>
      </w:tblGrid>
      <w:tr>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Investment Class</w:t>
            </w:r>
          </w:p>
        </w:tc>
        <w:tc>
          <w:tcPr>
            <w:tcW w:type="dxa" w:w="10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Entry Stage</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Target Return Multiple</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Return Mechanism</w:t>
            </w:r>
          </w:p>
        </w:tc>
        <w:tc>
          <w:tcPr>
            <w:tcW w:type="dxa" w:w="26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Liquidity Path</w:t>
            </w:r>
          </w:p>
        </w:tc>
      </w:tr>
      <w:tr>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Seed/Grant Capital (DFI)</w:t>
            </w:r>
          </w:p>
        </w:tc>
        <w:tc>
          <w:tcPr>
            <w:tcW w:type="dxa" w:w="1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1</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1.5-2x (concessional)</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Impact-adjusted return; government co-funding offsets commercial return requirement</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DBSA/IDC standard impact finance exit; G.O.D.S TS Holdings buyback at Phase 3</w:t>
            </w:r>
          </w:p>
        </w:tc>
      </w:tr>
      <w:tr>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Series A — Growth Equity</w:t>
            </w:r>
          </w:p>
        </w:tc>
        <w:tc>
          <w:tcPr>
            <w:tcW w:type="dxa" w:w="1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2</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5-8x over 7 years</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Dividend from UDOC + T.S profitability; partial secondary at Phase 3</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Secondary sale to institutional investor at Phase 3 valuation; IPO pathway Phase 5</w:t>
            </w:r>
          </w:p>
        </w:tc>
      </w:tr>
      <w:tr>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Infrastructure Finance (T.S)</w:t>
            </w:r>
          </w:p>
        </w:tc>
        <w:tc>
          <w:tcPr>
            <w:tcW w:type="dxa" w:w="1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2-3</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8-12% IRR (project finance)</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SPV distributions; government contract revenue; energy offtake returns</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SPV equity buyout at project maturity; refinancing via infrastructure bonds</w:t>
            </w:r>
          </w:p>
        </w:tc>
      </w:tr>
      <w:tr>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Sovereign Fund Capital (M.A.D.I.B.A)</w:t>
            </w:r>
          </w:p>
        </w:tc>
        <w:tc>
          <w:tcPr>
            <w:tcW w:type="dxa" w:w="1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3-4</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Market + 2% (sovereign priority)</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M.A.D.I.B.A fund distributions; SPV co-ownership returns; quantum governance premium</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Long-term hold aligned with sovereign fund mandates; 20-year investment horizon</w:t>
            </w:r>
          </w:p>
        </w:tc>
      </w:tr>
      <w:tr>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Strategic Partner Capital</w:t>
            </w:r>
          </w:p>
        </w:tc>
        <w:tc>
          <w:tcPr>
            <w:tcW w:type="dxa" w:w="1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2+</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Negotiated per partner</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Revenue sharing; preferred access to UDOC platform; co-investment rights</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Strategic exit at M.A.D.I.B.A fund maturity; IPO participation rights</w:t>
            </w:r>
          </w:p>
        </w:tc>
      </w:tr>
    </w:tbl>
    <w:p>
      <w:pPr>
        <w:spacing w:before="80" w:after="0"/>
      </w:pPr>
    </w:p>
    <w:p>
      <w:pPr>
        <w:spacing w:before="70" w:after="90"/>
        <w:jc w:val="both"/>
      </w:pPr>
      <w:r>
        <w:rPr>
          <w:rFonts w:ascii="Arial" w:cs="Arial" w:eastAsia="Arial" w:hAnsi="Arial"/>
          <w:b w:val="false"/>
          <w:bCs w:val="false"/>
          <w:i/>
          <w:iCs/>
          <w:color w:val="555555"/>
          <w:sz w:val="22"/>
          <w:szCs w:val="22"/>
        </w:rPr>
        <w:t xml:space="preserve">Financial projections reviewed by COB quarterly. Investor return projections are illustrative only and do not constitute investment advice or guarantee.</w:t>
      </w:r>
    </w:p>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E</w:t>
      </w:r>
    </w:p>
    <w:p>
      <w:pPr>
        <w:spacing w:before="0" w:after="30"/>
        <w:jc w:val="center"/>
      </w:pPr>
      <w:r>
        <w:rPr>
          <w:rFonts w:ascii="Arial" w:cs="Arial" w:eastAsia="Arial" w:hAnsi="Arial"/>
          <w:b/>
          <w:bCs/>
          <w:color w:val="0A1628"/>
          <w:sz w:val="40"/>
          <w:szCs w:val="40"/>
        </w:rPr>
        <w:t xml:space="preserve">GOVERNMENT PROCUREMENT FRAMEWORK</w:t>
      </w:r>
    </w:p>
    <w:p>
      <w:pPr>
        <w:spacing w:before="0" w:after="80"/>
        <w:jc w:val="center"/>
      </w:pPr>
      <w:r>
        <w:rPr>
          <w:rFonts w:ascii="Arial" w:cs="Arial" w:eastAsia="Arial" w:hAnsi="Arial"/>
          <w:i/>
          <w:iCs/>
          <w:color w:val="555555"/>
          <w:sz w:val="24"/>
          <w:szCs w:val="24"/>
        </w:rPr>
        <w:t xml:space="preserve">South Africa — Regulatory Pathway, Tender Architecture, PPP/SPV Logic</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G.O.D.S engages government not as a supplicant seeking funding, but as a delivery partner offering outcomes.</w:t>
            </w:r>
          </w:p>
          <w:p>
            <w:pPr>
              <w:spacing w:before="45" w:after="45"/>
              <w:jc w:val="both"/>
            </w:pPr>
            <w:r>
              <w:rPr>
                <w:rFonts w:ascii="Arial" w:cs="Arial" w:eastAsia="Arial" w:hAnsi="Arial"/>
                <w:i/>
                <w:iCs/>
                <w:color w:val="0A1628"/>
                <w:sz w:val="21"/>
                <w:szCs w:val="21"/>
              </w:rPr>
              <w:t xml:space="preserve">The procurement framework is designed to route through existing government mechanisms — not around them.</w:t>
            </w:r>
          </w:p>
          <w:p>
            <w:pPr>
              <w:spacing w:before="45" w:after="45"/>
              <w:jc w:val="both"/>
            </w:pPr>
            <w:r>
              <w:rPr>
                <w:rFonts w:ascii="Arial" w:cs="Arial" w:eastAsia="Arial" w:hAnsi="Arial"/>
                <w:i/>
                <w:iCs/>
                <w:color w:val="0A1628"/>
                <w:sz w:val="21"/>
                <w:szCs w:val="21"/>
              </w:rPr>
              <w:t xml:space="preserve">Every engagement pathway is PFMA/MFMA compliant, Treasury-aligned, and auditable from first contact to final payment.</w:t>
            </w:r>
          </w:p>
          <w:p>
            <w:pPr>
              <w:spacing w:before="45" w:after="45"/>
              <w:jc w:val="both"/>
            </w:pPr>
            <w:r>
              <w:rPr>
                <w:rFonts w:ascii="Arial" w:cs="Arial" w:eastAsia="Arial" w:hAnsi="Arial"/>
                <w:i/>
                <w:iCs/>
                <w:color w:val="0A1628"/>
                <w:sz w:val="21"/>
                <w:szCs w:val="21"/>
              </w:rPr>
              <w:t xml:space="preserve">Government does not need to create new procurement categories for G.O.D.S. The categories already exist.</w:t>
            </w:r>
          </w:p>
        </w:tc>
      </w:tr>
    </w:tbl>
    <w:p>
      <w:pPr>
        <w:spacing w:before="80" w:after="0"/>
      </w:pPr>
    </w:p>
    <w:p>
      <w:pPr>
        <w:pStyle w:val="Heading1"/>
        <w:spacing w:before="400" w:after="140"/>
      </w:pPr>
      <w:r>
        <w:rPr>
          <w:rFonts w:ascii="Arial" w:cs="Arial" w:eastAsia="Arial" w:hAnsi="Arial"/>
          <w:b/>
          <w:bCs/>
          <w:color w:val="C9A84C"/>
          <w:sz w:val="32"/>
          <w:szCs w:val="32"/>
        </w:rPr>
        <w:t xml:space="preserve">PROCUREMENT PATHWAYS BY DIVISION</w:t>
      </w:r>
    </w:p>
    <w:p>
      <w:pPr>
        <w:pStyle w:val="Heading2"/>
        <w:spacing w:before="280" w:after="100"/>
      </w:pPr>
      <w:r>
        <w:rPr>
          <w:rFonts w:ascii="Arial" w:cs="Arial" w:eastAsia="Arial" w:hAnsi="Arial"/>
          <w:b/>
          <w:bCs/>
          <w:color w:val="1A3A5C"/>
          <w:sz w:val="26"/>
          <w:szCs w:val="26"/>
        </w:rPr>
        <w:t xml:space="preserve">S.E.T.H.S — Human Capital Division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920"/>
        <w:gridCol w:w="1920"/>
        <w:gridCol w:w="1800"/>
        <w:gridCol w:w="156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Procurement Mechanism</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Applicable Legislation</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Applicable Department</w:t>
            </w:r>
          </w:p>
        </w:tc>
        <w:tc>
          <w:tcPr>
            <w:tcW w:type="dxa" w:w="18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Contract Type</w:t>
            </w:r>
          </w:p>
        </w:tc>
        <w:tc>
          <w:tcPr>
            <w:tcW w:type="dxa" w:w="15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Typical Value</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Social Employment Fund (SEF)</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Public Finance Management Act (PFMA); National Treasury SEF Framework</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National Treasury; Department of Public Works</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Outcome-based service delivery contract</w:t>
            </w:r>
          </w:p>
        </w:tc>
        <w:tc>
          <w:tcPr>
            <w:tcW w:type="dxa" w:w="15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R5M-R50M per cycle</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Expanded Public Works Programme (EPWP)</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EPWP Policy; DORA allocation framework</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Department of Public Works and Infrastructure; provincial DSD</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2 programme delivery contract; per-FTE employment subsidy</w:t>
            </w:r>
          </w:p>
        </w:tc>
        <w:tc>
          <w:tcPr>
            <w:tcW w:type="dxa" w:w="15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R2M-R15M per year</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Sector Education and Training Authority (SETA)</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Skills Development Act 97 of 1998; Skills Development Levies Act</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MerSETA, Services SETA, W&amp;RSETA (sector-dependent)</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Discretionary grant + mandatory grant (employer contributions)</w:t>
            </w:r>
          </w:p>
        </w:tc>
        <w:tc>
          <w:tcPr>
            <w:tcW w:type="dxa" w:w="15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R500K-R5M per programme</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Victim Empowerment Programme</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Victim Empowerment Policy Framework; DSD budget</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Department of Social Development</w:t>
            </w:r>
          </w:p>
        </w:tc>
        <w:tc>
          <w:tcPr>
            <w:tcW w:type="dxa" w:w="18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Direct service delivery contract; outcome-payment structure</w:t>
            </w:r>
          </w:p>
        </w:tc>
        <w:tc>
          <w:tcPr>
            <w:tcW w:type="dxa" w:w="15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R2M-R12M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Correctional Services Rehabilitation</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Correctional Services Act 111 of 1998</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Department of Correctional Services</w:t>
            </w:r>
          </w:p>
        </w:tc>
        <w:tc>
          <w:tcPr>
            <w:tcW w:type="dxa" w:w="18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PPP delivery agreement; outcome-based remuneration</w:t>
            </w:r>
          </w:p>
        </w:tc>
        <w:tc>
          <w:tcPr>
            <w:tcW w:type="dxa" w:w="15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R5M-R25M per facility program</w:t>
            </w:r>
          </w:p>
        </w:tc>
      </w:tr>
    </w:tbl>
    <w:p>
      <w:pPr>
        <w:spacing w:before="80" w:after="0"/>
      </w:pPr>
    </w:p>
    <w:p>
      <w:pPr>
        <w:pStyle w:val="Heading2"/>
        <w:spacing w:before="280" w:after="100"/>
      </w:pPr>
      <w:r>
        <w:rPr>
          <w:rFonts w:ascii="Arial" w:cs="Arial" w:eastAsia="Arial" w:hAnsi="Arial"/>
          <w:b/>
          <w:bCs/>
          <w:color w:val="1A3A5C"/>
          <w:sz w:val="26"/>
          <w:szCs w:val="26"/>
        </w:rPr>
        <w:t xml:space="preserve">T.S Industries — Infrastructure Division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920"/>
        <w:gridCol w:w="1920"/>
        <w:gridCol w:w="1440"/>
        <w:gridCol w:w="192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Procurement Mechanism</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Applicable Legislation</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Contracting Entity</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Contract Type</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Typical Value</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CIDB-Registered Contractor</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Construction Industry Development Board Act 38 of 2000</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National, provincial, and municipal infrastructure departments</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EPC contract; design-build; preferred supplier agreement</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R10M-R500M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Renewable Energy Independent Power Producer Procurement (REIPPP)</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Electricity Regulation Act 4 of 2006; IPP procurement framework</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DMRE; IPP Office; Eskom</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20-year Power Purchase Agreement (PPA); project finance structure</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R50M-R2B</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Housing Subsidy Programme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Housing Act 107 of 1997; NHBRC compliance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Human Settlements department (provincial)</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Turnkey housing delivery contract; subsidy-backed</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R5M-R200M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Municipal Infrastructure Grant (MIG)</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Division of Revenue Act (DORA); National Treasury MIG framework</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Municipalities (Section 56 officers)</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Infrastructure delivery contract; municipal procurement (SCM Policy)</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R2M-R100M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National Green Hydrogen Initiative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Hydrogen Society Roadmap; DMRE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DMRE; IDC; Eskom</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Pilot project agreement; blended finance structure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R20M-R500M</w:t>
            </w:r>
          </w:p>
        </w:tc>
      </w:tr>
    </w:tbl>
    <w:p>
      <w:pPr>
        <w:spacing w:before="80" w:after="0"/>
      </w:pPr>
    </w:p>
    <w:p>
      <w:pPr>
        <w:pStyle w:val="Heading2"/>
        <w:spacing w:before="280" w:after="100"/>
      </w:pPr>
      <w:r>
        <w:rPr>
          <w:rFonts w:ascii="Arial" w:cs="Arial" w:eastAsia="Arial" w:hAnsi="Arial"/>
          <w:b/>
          <w:bCs/>
          <w:color w:val="1A3A5C"/>
          <w:sz w:val="26"/>
          <w:szCs w:val="26"/>
        </w:rPr>
        <w:t xml:space="preserve">UDOC — Digital Governance Division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920"/>
        <w:gridCol w:w="1920"/>
        <w:gridCol w:w="1440"/>
        <w:gridCol w:w="192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Procurement Mechanism</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Applicable Legislation</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Contracting Entity</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Contract Type</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Typical Value</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DPSA ICT Procurement Framework</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Immovable Asset Management Act; DPSA ICT Policy Framework</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DPSA; SITA; line departments</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Transversal contract; G-Cloud registration; direct contract</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R5M-R200M per annum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SITA Transversal Contract</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SITA Act 88 of 1998; SITA mandate</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SITA (lead agency); line departments (adopters)</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Transversal SaaS contract — all departments can adopt without separate tender</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R10M-R500M (aggregate)</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State IT Agency (SITA) Procurement</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SITA Act; National Treasury Procurement Instruction Notes</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SITA — on behalf of any national government department</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Request for Proposal (RFP); negotiated contract; sole-source for unique capability</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R2M-R100M</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Presidential Commission on 4IR</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4IR Presidential Commission report; DCDT digital economy strategy</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DCDT; The Presidency; GSAB</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Strategic partner agreement; pilot funding; co-development</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R1M-R20M</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Local Government AI Governance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Municipal Systems Act 32 of 2000; SALGA AI policy guidance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Municipalities; SALGA</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Municipal procurement (3 quotes or tender); SaaS subscription</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R500K-R5M per municipality</w:t>
            </w:r>
          </w:p>
        </w:tc>
      </w:tr>
    </w:tbl>
    <w:p>
      <w:pPr>
        <w:spacing w:before="80" w:after="0"/>
      </w:pPr>
    </w:p>
    <w:p>
      <w:pPr>
        <w:pStyle w:val="Heading1"/>
        <w:spacing w:before="400" w:after="140"/>
      </w:pPr>
      <w:r>
        <w:rPr>
          <w:rFonts w:ascii="Arial" w:cs="Arial" w:eastAsia="Arial" w:hAnsi="Arial"/>
          <w:b/>
          <w:bCs/>
          <w:color w:val="C9A84C"/>
          <w:sz w:val="32"/>
          <w:szCs w:val="32"/>
        </w:rPr>
        <w:t xml:space="preserve">PPP/SPV ARCHITECTURE FOR T.S + UDOC</w:t>
      </w:r>
    </w:p>
    <w:p>
      <w:pPr>
        <w:pStyle w:val="Heading2"/>
        <w:spacing w:before="280" w:after="100"/>
      </w:pPr>
      <w:r>
        <w:rPr>
          <w:rFonts w:ascii="Arial" w:cs="Arial" w:eastAsia="Arial" w:hAnsi="Arial"/>
          <w:b/>
          <w:bCs/>
          <w:color w:val="1A3A5C"/>
          <w:sz w:val="26"/>
          <w:szCs w:val="26"/>
        </w:rPr>
        <w:t xml:space="preserve">South African PPP Framework — National Treasury PPP Unit</w:t>
      </w:r>
    </w:p>
    <w:p>
      <w:pPr>
        <w:spacing w:before="70" w:after="90"/>
        <w:jc w:val="both"/>
      </w:pPr>
      <w:r>
        <w:rPr>
          <w:rFonts w:ascii="Arial" w:cs="Arial" w:eastAsia="Arial" w:hAnsi="Arial"/>
          <w:b w:val="false"/>
          <w:bCs w:val="false"/>
          <w:i w:val="false"/>
          <w:iCs w:val="false"/>
          <w:color w:val="0D0D0D"/>
          <w:sz w:val="22"/>
          <w:szCs w:val="22"/>
        </w:rPr>
        <w:t xml:space="preserve">All T.S and UDOC government co-ownership deployments are structured as Public-Private Partnerships (PPPs) under National Treasury Regulation 16 and the PFMA. The PPP framework provides the legal architecture for government co-investment in G.O.D.S-operated infrastructure without requiring procurement by tender for the entire project.</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280"/>
        <w:gridCol w:w="2880"/>
        <w:gridCol w:w="2760"/>
      </w:tblGrid>
      <w:tr>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PPP Stage</w:t>
            </w:r>
          </w:p>
        </w:tc>
        <w:tc>
          <w:tcPr>
            <w:tcW w:type="dxa" w:w="22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Process</w:t>
            </w:r>
          </w:p>
        </w:tc>
        <w:tc>
          <w:tcPr>
            <w:tcW w:type="dxa" w:w="28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G.O.D.S Action</w:t>
            </w:r>
          </w:p>
        </w:tc>
        <w:tc>
          <w:tcPr>
            <w:tcW w:type="dxa" w:w="27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Timeline</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 Feasibility Study</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accounting officer approves feasibility study</w:t>
            </w:r>
          </w:p>
        </w:tc>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submits unsolicited proposal with feasibility data</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1-3</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 PPP Agreement</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National Treasury PPP Unit reviews and approves</w:t>
            </w:r>
          </w:p>
        </w:tc>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works with government legal team on PPP agreement structure</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3-8</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3. Competitive Tender (if required)</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Treasury may require competitive tender for major PPPs</w:t>
            </w:r>
          </w:p>
        </w:tc>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responds to competitive tender; price-quality basis</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6-12</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4. SPV Registration</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Project SPV registered with government as co-shareholder</w:t>
            </w:r>
          </w:p>
        </w:tc>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registers SPV; government equity contribution via land, cash, or in-kind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8-14</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5. Financial Close</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DFI and private capital committed to SPV</w:t>
            </w:r>
          </w:p>
        </w:tc>
        <w:tc>
          <w:tcPr>
            <w:tcW w:type="dxa" w:w="28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M.A.D.I.B.A structures blended finance; DFI closing</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10-18</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6. Construction and Operations</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executes using S.E.T.H.S workforce; government oversight via SPV board</w:t>
            </w:r>
          </w:p>
        </w:tc>
        <w:tc>
          <w:tcPr>
            <w:tcW w:type="dxa" w:w="28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Monthly reporting to SPV board; UDOC governs project AI systems</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14+</w:t>
            </w:r>
          </w:p>
        </w:tc>
      </w:tr>
    </w:tbl>
    <w:p>
      <w:pPr>
        <w:spacing w:before="80" w:after="0"/>
      </w:pPr>
    </w:p>
    <w:p>
      <w:pPr>
        <w:pStyle w:val="Heading1"/>
        <w:spacing w:before="400" w:after="140"/>
      </w:pPr>
      <w:r>
        <w:rPr>
          <w:rFonts w:ascii="Arial" w:cs="Arial" w:eastAsia="Arial" w:hAnsi="Arial"/>
          <w:b/>
          <w:bCs/>
          <w:color w:val="C9A84C"/>
          <w:sz w:val="32"/>
          <w:szCs w:val="32"/>
        </w:rPr>
        <w:t xml:space="preserve">PFMA &amp; MFMA COMPLIANCE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6000"/>
      </w:tblGrid>
      <w:tr>
        <w:tc>
          <w:tcPr>
            <w:tcW w:type="dxa" w:w="3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Legislative Requirement</w:t>
            </w:r>
          </w:p>
        </w:tc>
        <w:tc>
          <w:tcPr>
            <w:tcW w:type="dxa" w:w="60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G.O.D.S Compliance Mechanism</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PFMA Section 38: Accounting officer accountability for public funds</w:t>
            </w:r>
          </w:p>
        </w:tc>
        <w:tc>
          <w:tcPr>
            <w:tcW w:type="dxa" w:w="6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government contracts include designated accounting officer; UDOC provides independent audit trail for every rand of public funding</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PFMA Section 51: Internal controls and audit</w:t>
            </w:r>
          </w:p>
        </w:tc>
        <w:tc>
          <w:tcPr>
            <w:tcW w:type="dxa" w:w="6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deployed as independent audit infrastructure — government can verify G.O.D.S programme delivery independently</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National Treasury SCM Policy: Procurement documentation</w:t>
            </w:r>
          </w:p>
        </w:tc>
        <w:tc>
          <w:tcPr>
            <w:tcW w:type="dxa" w:w="6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maintains full SCM-compliant documentation for all government contracts; B-BBEE compliance verified</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MFMA Section 66: Municipal borrowing and finance</w:t>
            </w:r>
          </w:p>
        </w:tc>
        <w:tc>
          <w:tcPr>
            <w:tcW w:type="dxa" w:w="6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SPVs structured to not create municipal borrowing triggers; SPV equity is investment, not debt</w:t>
            </w:r>
          </w:p>
        </w:tc>
      </w:tr>
      <w:tr>
        <w:tc>
          <w:tcPr>
            <w:tcW w:type="dxa" w:w="3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B-BBEE Act: Preferential procurement</w:t>
            </w:r>
          </w:p>
        </w:tc>
        <w:tc>
          <w:tcPr>
            <w:tcW w:type="dxa" w:w="60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designed with equity and transformation at core; B-BBEE scorecard available; S.E.T.H.S serves designated groups by programme design</w:t>
            </w:r>
          </w:p>
        </w:tc>
      </w:tr>
      <w:tr>
        <w:tc>
          <w:tcPr>
            <w:tcW w:type="dxa" w:w="3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Public Protector jurisdiction</w:t>
            </w:r>
          </w:p>
        </w:tc>
        <w:tc>
          <w:tcPr>
            <w:tcW w:type="dxa" w:w="60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G.O.D.S public-interest deployments within Public Protector oversight — no attempt to exclude from accountability mechanisms</w:t>
            </w:r>
          </w:p>
        </w:tc>
      </w:tr>
    </w:tbl>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B</w:t>
      </w:r>
    </w:p>
    <w:p>
      <w:pPr>
        <w:spacing w:before="0" w:after="30"/>
        <w:jc w:val="center"/>
      </w:pPr>
      <w:r>
        <w:rPr>
          <w:rFonts w:ascii="Arial" w:cs="Arial" w:eastAsia="Arial" w:hAnsi="Arial"/>
          <w:b/>
          <w:bCs/>
          <w:color w:val="0A1628"/>
          <w:sz w:val="40"/>
          <w:szCs w:val="40"/>
        </w:rPr>
        <w:t xml:space="preserve">PATENT PORTFOLIO &amp; IP ARCHITECTURE</w:t>
      </w:r>
    </w:p>
    <w:p>
      <w:pPr>
        <w:spacing w:before="0" w:after="80"/>
        <w:jc w:val="center"/>
      </w:pPr>
      <w:r>
        <w:rPr>
          <w:rFonts w:ascii="Arial" w:cs="Arial" w:eastAsia="Arial" w:hAnsi="Arial"/>
          <w:i/>
          <w:iCs/>
          <w:color w:val="555555"/>
          <w:sz w:val="24"/>
          <w:szCs w:val="24"/>
        </w:rPr>
        <w:t xml:space="preserve">Intellectual Property Strategy, Protection, and Licensing Framework</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G.O.D.S IP is not merely the sum of its patents. It is the constitutional architecture, methodology,</w:t>
            </w:r>
          </w:p>
          <w:p>
            <w:pPr>
              <w:spacing w:before="45" w:after="45"/>
              <w:jc w:val="both"/>
            </w:pPr>
            <w:r>
              <w:rPr>
                <w:rFonts w:ascii="Arial" w:cs="Arial" w:eastAsia="Arial" w:hAnsi="Arial"/>
                <w:i/>
                <w:iCs/>
                <w:color w:val="0A1628"/>
                <w:sz w:val="21"/>
                <w:szCs w:val="21"/>
              </w:rPr>
              <w:t xml:space="preserve">and integrated system design that cannot be replicated without simultaneously building all four divisions.</w:t>
            </w:r>
          </w:p>
          <w:p>
            <w:pPr>
              <w:spacing w:before="45" w:after="45"/>
              <w:jc w:val="both"/>
            </w:pPr>
            <w:r>
              <w:rPr>
                <w:rFonts w:ascii="Arial" w:cs="Arial" w:eastAsia="Arial" w:hAnsi="Arial"/>
                <w:i/>
                <w:iCs/>
                <w:color w:val="0A1628"/>
                <w:sz w:val="21"/>
                <w:szCs w:val="21"/>
              </w:rPr>
              <w:t xml:space="preserve">The IP Trust holds this architecture in perpetuity — protecting it against dissolution, sale, or capture.</w:t>
            </w:r>
          </w:p>
          <w:p>
            <w:pPr>
              <w:spacing w:before="45" w:after="45"/>
              <w:jc w:val="both"/>
            </w:pPr>
            <w:r>
              <w:rPr>
                <w:rFonts w:ascii="Arial" w:cs="Arial" w:eastAsia="Arial" w:hAnsi="Arial"/>
                <w:i/>
                <w:iCs/>
                <w:color w:val="0A1628"/>
                <w:sz w:val="21"/>
                <w:szCs w:val="21"/>
              </w:rPr>
              <w:t xml:space="preserve">Commercial competitors cannot buy this IP. They cannot copy it. They can only build it — which takes a decade.</w:t>
            </w:r>
          </w:p>
        </w:tc>
      </w:tr>
    </w:tbl>
    <w:p>
      <w:pPr>
        <w:spacing w:before="80" w:after="0"/>
      </w:pPr>
    </w:p>
    <w:p>
      <w:pPr>
        <w:pStyle w:val="Heading1"/>
        <w:spacing w:before="400" w:after="140"/>
      </w:pPr>
      <w:r>
        <w:rPr>
          <w:rFonts w:ascii="Arial" w:cs="Arial" w:eastAsia="Arial" w:hAnsi="Arial"/>
          <w:b/>
          <w:bCs/>
          <w:color w:val="C9A84C"/>
          <w:sz w:val="32"/>
          <w:szCs w:val="32"/>
        </w:rPr>
        <w:t xml:space="preserve">IP CATEGORIES AND PROTECTION STRATEGY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400"/>
        <w:gridCol w:w="2160"/>
        <w:gridCol w:w="1440"/>
        <w:gridCol w:w="2520"/>
      </w:tblGrid>
      <w:tr>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IP Category</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Asset Description</w:t>
            </w:r>
          </w:p>
        </w:tc>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Protection Mechanism</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Jurisdiction</w:t>
            </w:r>
          </w:p>
        </w:tc>
        <w:tc>
          <w:tcPr>
            <w:tcW w:type="dxa" w:w="25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Licensing Strategy</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Constitutional Architecture</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The 12 Constitutional Pillars, governance framework, and constitutional governance methodology — the design that makes G.O.D.S governable without founder dependency</w:t>
            </w:r>
          </w:p>
        </w:tc>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Copyright + Trade secret + IP Trust custody. Not patentable — protected by combination of registration, Trust deed, and public disclosure of authorship.</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South Africa primary; international copyright by publication</w:t>
            </w:r>
          </w:p>
        </w:tc>
        <w:tc>
          <w:tcPr>
            <w:tcW w:type="dxa" w:w="25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Not licensed commercially. Available for academic reference with attribution. Derivatives must maintain attribution.</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Programme Methodology</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The complete intake, assessment, skills development, placement, and monitoring methodology including psychosocial stabilisation framework, employer matching algorithm, and outcome measurement system</w:t>
            </w:r>
          </w:p>
        </w:tc>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Copyright + Trade secret + Trademark (S.E.T.H.S name and mark). Programme design documents registered with CIPC. Certification curriculum submitted to QCTO.</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primary; ARIPO for SADC expansion</w:t>
            </w:r>
          </w:p>
        </w:tc>
        <w:tc>
          <w:tcPr>
            <w:tcW w:type="dxa" w:w="25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Licensed to government partners under sovereign licence. Franchised to approved delivery partners at scale. Not licensed to commercial competitors.</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Governance Platform (Software)</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Source code, database schemas, API architecture, bias detection algorithm, audit trail cryptographic design, compliance verification engine</w:t>
            </w:r>
          </w:p>
        </w:tc>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Copyright (source code); Trade secrets (algorithms); Patents (novel technical implementations) — see patent schedule below</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 PCT application for international priority</w:t>
            </w:r>
          </w:p>
        </w:tc>
        <w:tc>
          <w:tcPr>
            <w:tcW w:type="dxa" w:w="25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SaaS licence to enterprise clients. Sovereign licence to government clients. AQGN member licence for SADC deployments. No open source release of core governance engine.</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HQ-OS Quantum Architecture</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Quantum-Classical Interface middleware design, quantum task classification algorithm, sovereign QKD integration architecture, quantum bias detection engine methodology</w:t>
            </w:r>
          </w:p>
        </w:tc>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Trade secret (algorithm design); Patents (novel QCI implementations); Copyright (code). Post-quantum crypto implementation uses open NIST standards — G.O.D.S value-add is integration architecture.</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 PCT priority filing</w:t>
            </w:r>
          </w:p>
        </w:tc>
        <w:tc>
          <w:tcPr>
            <w:tcW w:type="dxa" w:w="25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Premium quantum tier licensing. AQGN infrastructure licence. International sovereign partner licensing Phase 5.</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Compounding Loop Architecture</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The documented system design of the four-division compounding loop, including the data flow architecture, capital return pathways, and governance integration design</w:t>
            </w:r>
          </w:p>
        </w:tc>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Copyright + Publication as authored work + IP Trust registration. The concept itself is documented and timestamped — establishing prior art and authorship.</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International copyright by authorship</w:t>
            </w:r>
          </w:p>
        </w:tc>
        <w:tc>
          <w:tcPr>
            <w:tcW w:type="dxa" w:w="25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Not licensed to competitors. Referenced in institutional publications. Forms basis of standards body contributions Phase 5.</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Brand and Marks</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name and acronym; S.E.T.H.S; UDOC; M.A.D.I.B.A; HQ-OS; Transition Systems; all divisional marks; all slogans</w:t>
            </w:r>
          </w:p>
        </w:tc>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Trademark registration: CIPC (SA) + ARIPO (SADC) + EUIPO + USPTO for key marks</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SA (filed Month 1); SADC (Phase 2); International (Phase 3)</w:t>
            </w:r>
          </w:p>
        </w:tc>
        <w:tc>
          <w:tcPr>
            <w:tcW w:type="dxa" w:w="25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Brand licence to approved delivery partners. Sub-brand licensing under franchise agreements.</w:t>
            </w:r>
          </w:p>
        </w:tc>
      </w:tr>
    </w:tbl>
    <w:p>
      <w:pPr>
        <w:spacing w:before="80" w:after="0"/>
      </w:pPr>
    </w:p>
    <w:p>
      <w:pPr>
        <w:pStyle w:val="Heading1"/>
        <w:spacing w:before="400" w:after="140"/>
      </w:pPr>
      <w:r>
        <w:rPr>
          <w:rFonts w:ascii="Arial" w:cs="Arial" w:eastAsia="Arial" w:hAnsi="Arial"/>
          <w:b/>
          <w:bCs/>
          <w:color w:val="C9A84C"/>
          <w:sz w:val="32"/>
          <w:szCs w:val="32"/>
        </w:rPr>
        <w:t xml:space="preserve">PATENT STRATEGY — PRIORITY FILINGS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60"/>
        <w:gridCol w:w="2400"/>
        <w:gridCol w:w="1200"/>
        <w:gridCol w:w="2160"/>
        <w:gridCol w:w="2640"/>
      </w:tblGrid>
      <w:tr>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Patent Reference</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Innovation Description</w:t>
            </w:r>
          </w:p>
        </w:tc>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Filing Priority</w:t>
            </w:r>
          </w:p>
        </w:tc>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Technical Claim</w:t>
            </w:r>
          </w:p>
        </w:tc>
        <w:tc>
          <w:tcPr>
            <w:tcW w:type="dxa" w:w="26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Commercial Value</w:t>
            </w:r>
          </w:p>
        </w:tc>
      </w:tr>
      <w:tr>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GODS-P001</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Quantum-Classical Governance Task Classification Algorithm: Novel method for automatically classifying AI governance workloads by quantum-suitability and routing to appropriate processing environment</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Priority 1 — file Month 6</w:t>
            </w:r>
          </w:p>
        </w:tc>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Method claim: classification algorithm logic and routing decision architecture. System claim: the QCI middleware implementation.</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Core HQ-OS patent — licenceable to any quantum governance infrastructure vendor globally</w:t>
            </w:r>
          </w:p>
        </w:tc>
      </w:tr>
      <w:tr>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GODS-P002</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Intersectional Quantum Bias Detection Method: Novel application of quantum superposition to simultaneous multi-dimensional bias analysis across protected characteristic intersections</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Priority 1 — file Month 6</w:t>
            </w:r>
          </w:p>
        </w:tc>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Method claim: quantum circuit design for intersectional bias analysis. System claim: integration with classical AI governance output stream.</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Highest commercial value patent — intersectional bias detection is the primary UDOC quantum differentiation</w:t>
            </w:r>
          </w:p>
        </w:tc>
      </w:tr>
      <w:tr>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GODS-P003</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Sovereign Quantum Key Distribution Governance Integration: Novel architecture for integrating QKD key generation directly into AI governance audit trail cryptography</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Priority 2 — file Month 12</w:t>
            </w:r>
          </w:p>
        </w:tc>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Method claim: QKD key injection into governance audit trail signature mechanism. System claim: hardware integration of QKD module with UDOC infrastructure.</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Enables premium sovereign security tier; differentiates from all classical governance competitors</w:t>
            </w:r>
          </w:p>
        </w:tc>
      </w:tr>
      <w:tr>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GODS-P004</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Governance Compliance Verification via Quantum Constraint Satisfaction: Method for encoding constitutional compliance requirements as quantum constraint satisfaction problem</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Priority 2 — file Month 18</w:t>
            </w:r>
          </w:p>
        </w:tc>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Method claim: encoding methodology. System claim: quantum circuit implementation for constitutional compliance verification.</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Unique to G.O.D.S constitutional model — not easily replicated without full UDOC + HQ-OS stack</w:t>
            </w:r>
          </w:p>
        </w:tc>
      </w:tr>
      <w:tr>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GODS-P005</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Workforce-to-Infrastructure Outcome Data Loop: System and method for capturing S.E.T.H.S participant outcome data and routing it as governance proof for T.S infrastructure deployment contracts</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Priority 3 — file Month 24</w:t>
            </w:r>
          </w:p>
        </w:tc>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System claim: data architecture of the S.E.T.H.S-to-T.S compounding data loop. Method claim: outcome data governance certification process.</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Protects the compounding loop data architecture — makes it harder for competitors to replicate the loop even with similar components</w:t>
            </w:r>
          </w:p>
        </w:tc>
      </w:tr>
    </w:tbl>
    <w:p>
      <w:pPr>
        <w:spacing w:before="80" w:after="0"/>
      </w:pPr>
    </w:p>
    <w:p>
      <w:pPr>
        <w:pStyle w:val="Heading1"/>
        <w:spacing w:before="400" w:after="140"/>
      </w:pPr>
      <w:r>
        <w:rPr>
          <w:rFonts w:ascii="Arial" w:cs="Arial" w:eastAsia="Arial" w:hAnsi="Arial"/>
          <w:b/>
          <w:bCs/>
          <w:color w:val="C9A84C"/>
          <w:sz w:val="32"/>
          <w:szCs w:val="32"/>
        </w:rPr>
        <w:t xml:space="preserve">IP TRUST — DEED SUMMARY</w:t>
      </w:r>
    </w:p>
    <w:p>
      <w:pPr>
        <w:pStyle w:val="Heading2"/>
        <w:spacing w:before="280" w:after="100"/>
      </w:pPr>
      <w:r>
        <w:rPr>
          <w:rFonts w:ascii="Arial" w:cs="Arial" w:eastAsia="Arial" w:hAnsi="Arial"/>
          <w:b/>
          <w:bCs/>
          <w:color w:val="1A3A5C"/>
          <w:sz w:val="26"/>
          <w:szCs w:val="26"/>
        </w:rPr>
        <w:t xml:space="preserve">Trust Objective</w:t>
      </w:r>
    </w:p>
    <w:p>
      <w:pPr>
        <w:spacing w:before="70" w:after="90"/>
        <w:jc w:val="both"/>
      </w:pPr>
      <w:r>
        <w:rPr>
          <w:rFonts w:ascii="Arial" w:cs="Arial" w:eastAsia="Arial" w:hAnsi="Arial"/>
          <w:b w:val="false"/>
          <w:bCs w:val="false"/>
          <w:i w:val="false"/>
          <w:iCs w:val="false"/>
          <w:color w:val="0D0D0D"/>
          <w:sz w:val="22"/>
          <w:szCs w:val="22"/>
        </w:rPr>
        <w:t xml:space="preserve">The G.O.D.S IP Trust is constituted under South African trust law (Trust Property Control Act 57 of 1988) as an inter vivos trust. Its sole objective is the permanent protection of the G.O.D.S constitutional architecture, intellectual property, and system design against commercial capture, dissolution, or mission drift. The Trust holds the IP schedule, the Class A governance shares in G.O.D.S Holdings, and the constitutional mandate documents.</w:t>
      </w:r>
    </w:p>
    <w:p>
      <w:pPr>
        <w:spacing w:before="6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720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Trust Element</w:t>
            </w:r>
          </w:p>
        </w:tc>
        <w:tc>
          <w:tcPr>
            <w:tcW w:type="dxa" w:w="7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Structure</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Trustees</w:t>
            </w:r>
          </w:p>
        </w:tc>
        <w:tc>
          <w:tcPr>
            <w:tcW w:type="dxa" w:w="7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Minimum 3 trustees. Founder serves as initial trustee. Two independent co-trustees appointed by public interest process. No single trustee can act alone on Class A matters.</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Trust Property</w:t>
            </w:r>
          </w:p>
        </w:tc>
        <w:tc>
          <w:tcPr>
            <w:tcW w:type="dxa" w:w="7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IP schedule (all registered and unregistered IP); Class A shares in G.O.D.S Holdings (Pty) Ltd; constitutional mandate documents; founder doctrine; succession continuity charter</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Trustee Powers</w:t>
            </w:r>
          </w:p>
        </w:tc>
        <w:tc>
          <w:tcPr>
            <w:tcW w:type="dxa" w:w="7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Enforce Class A governance rights. Exercise veto on constitutional amendment. Approve/reject trustee succession. Hold and protect IP schedule. Cannot sell Trust property commercially.</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Dissolution Protection</w:t>
            </w:r>
          </w:p>
        </w:tc>
        <w:tc>
          <w:tcPr>
            <w:tcW w:type="dxa" w:w="7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Trust cannot be wound up by any commercial process, creditor claim, or shareholder resolution. Dissolution requires unanimous trustee consent + Master of the High Court approval + 12-month wind-down period.</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Founder Succession</w:t>
            </w:r>
          </w:p>
        </w:tc>
        <w:tc>
          <w:tcPr>
            <w:tcW w:type="dxa" w:w="7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On founder's death, incapacity, or resignation: independent trustee takes temporary Class A custodianship. Founder doctrine governs selection of successor. COB participates in successor identification.</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IP Schedule</w:t>
            </w:r>
          </w:p>
        </w:tc>
        <w:tc>
          <w:tcPr>
            <w:tcW w:type="dxa" w:w="7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Updated annually by COO + Legal Counsel. Filed with Trust deed as Schedule A. Includes all registered IP, patent applications, trade secrets list, brand registrations, and copyright works.</w:t>
            </w:r>
          </w:p>
        </w:tc>
      </w:tr>
    </w:tbl>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J</w:t>
      </w:r>
    </w:p>
    <w:p>
      <w:pPr>
        <w:spacing w:before="0" w:after="30"/>
        <w:jc w:val="center"/>
      </w:pPr>
      <w:r>
        <w:rPr>
          <w:rFonts w:ascii="Arial" w:cs="Arial" w:eastAsia="Arial" w:hAnsi="Arial"/>
          <w:b/>
          <w:bCs/>
          <w:color w:val="0A1628"/>
          <w:sz w:val="40"/>
          <w:szCs w:val="40"/>
        </w:rPr>
        <w:t xml:space="preserve">OPERATIONAL AI GOVERNANCE CHARTER</w:t>
      </w:r>
    </w:p>
    <w:p>
      <w:pPr>
        <w:spacing w:before="0" w:after="80"/>
        <w:jc w:val="center"/>
      </w:pPr>
      <w:r>
        <w:rPr>
          <w:rFonts w:ascii="Arial" w:cs="Arial" w:eastAsia="Arial" w:hAnsi="Arial"/>
          <w:i/>
          <w:iCs/>
          <w:color w:val="555555"/>
          <w:sz w:val="24"/>
          <w:szCs w:val="24"/>
        </w:rPr>
        <w:t xml:space="preserve">Board-Deployable Constitutional Framework for Enterprise and Government Clients</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This Charter is the operational document that clients, ethics review boards, compliance committees,</w:t>
            </w:r>
          </w:p>
          <w:p>
            <w:pPr>
              <w:spacing w:before="45" w:after="45"/>
              <w:jc w:val="both"/>
            </w:pPr>
            <w:r>
              <w:rPr>
                <w:rFonts w:ascii="Arial" w:cs="Arial" w:eastAsia="Arial" w:hAnsi="Arial"/>
                <w:i/>
                <w:iCs/>
                <w:color w:val="0A1628"/>
                <w:sz w:val="21"/>
                <w:szCs w:val="21"/>
              </w:rPr>
              <w:t xml:space="preserve">and government procurement officers use to assess G.O.D.S AI governance commitments.</w:t>
            </w:r>
          </w:p>
          <w:p>
            <w:pPr>
              <w:spacing w:before="45" w:after="45"/>
              <w:jc w:val="both"/>
            </w:pPr>
            <w:r>
              <w:rPr>
                <w:rFonts w:ascii="Arial" w:cs="Arial" w:eastAsia="Arial" w:hAnsi="Arial"/>
                <w:i/>
                <w:iCs/>
                <w:color w:val="0A1628"/>
                <w:sz w:val="21"/>
                <w:szCs w:val="21"/>
              </w:rPr>
              <w:t xml:space="preserve">It is intentionally concise, deployable, and legally precise.</w:t>
            </w:r>
          </w:p>
          <w:p>
            <w:pPr>
              <w:spacing w:before="45" w:after="45"/>
              <w:jc w:val="both"/>
            </w:pPr>
            <w:r>
              <w:rPr>
                <w:rFonts w:ascii="Arial" w:cs="Arial" w:eastAsia="Arial" w:hAnsi="Arial"/>
                <w:i/>
                <w:iCs/>
                <w:color w:val="0A1628"/>
                <w:sz w:val="21"/>
                <w:szCs w:val="21"/>
              </w:rPr>
              <w:t xml:space="preserve">It does not replace the full constitutional doctrine. It operationalises it for institutional engagement.</w:t>
            </w:r>
          </w:p>
        </w:tc>
      </w:tr>
    </w:tbl>
    <w:p>
      <w:pPr>
        <w:spacing w:before="80" w:after="0"/>
      </w:pPr>
    </w:p>
    <w:p>
      <w:pPr>
        <w:pStyle w:val="Heading1"/>
        <w:spacing w:before="400" w:after="140"/>
      </w:pPr>
      <w:r>
        <w:rPr>
          <w:rFonts w:ascii="Arial" w:cs="Arial" w:eastAsia="Arial" w:hAnsi="Arial"/>
          <w:b/>
          <w:bCs/>
          <w:color w:val="C9A84C"/>
          <w:sz w:val="32"/>
          <w:szCs w:val="32"/>
        </w:rPr>
        <w:t xml:space="preserve">CHARTER STATEMENT</w:t>
      </w:r>
    </w:p>
    <w:p>
      <w:pPr>
        <w:spacing w:before="70" w:after="90"/>
        <w:jc w:val="both"/>
      </w:pPr>
      <w:r>
        <w:rPr>
          <w:rFonts w:ascii="Arial" w:cs="Arial" w:eastAsia="Arial" w:hAnsi="Arial"/>
          <w:b w:val="false"/>
          <w:bCs w:val="false"/>
          <w:i w:val="false"/>
          <w:iCs w:val="false"/>
          <w:color w:val="0D0D0D"/>
          <w:sz w:val="22"/>
          <w:szCs w:val="22"/>
        </w:rPr>
        <w:t xml:space="preserve">G.O.D.S Holdings (Pty) Ltd and all its subsidiary divisions operate every AI system — whether built, governed, or deployed on behalf of clients — under the following binding governance commitments. These commitments are not aspirational statements. They are constitutional requirements enforced by the Constitutional Oversight Board, the IP Trust structure, and the technical architecture of the UDOC HQ-OS platform.</w:t>
      </w:r>
    </w:p>
    <w:p>
      <w:pPr>
        <w:spacing w:before="60" w:after="0"/>
      </w:pPr>
    </w:p>
    <w:p>
      <w:pPr>
        <w:spacing w:before="70" w:after="90"/>
        <w:jc w:val="both"/>
      </w:pPr>
      <w:r>
        <w:rPr>
          <w:rFonts w:ascii="Arial" w:cs="Arial" w:eastAsia="Arial" w:hAnsi="Arial"/>
          <w:b w:val="false"/>
          <w:bCs w:val="false"/>
          <w:i w:val="false"/>
          <w:iCs w:val="false"/>
          <w:color w:val="0D0D0D"/>
          <w:sz w:val="22"/>
          <w:szCs w:val="22"/>
        </w:rPr>
        <w:t xml:space="preserve">Every AI system operating within G.O.D.S or under UDOC governance is subject to this Charter from the first day of deployment. No exceptions are permitted without COB approval and documented constitutional justification.</w:t>
      </w:r>
    </w:p>
    <w:p>
      <w:pPr>
        <w:spacing w:before="80" w:after="0"/>
      </w:pPr>
    </w:p>
    <w:p>
      <w:pPr>
        <w:pStyle w:val="Heading1"/>
        <w:spacing w:before="400" w:after="140"/>
      </w:pPr>
      <w:r>
        <w:rPr>
          <w:rFonts w:ascii="Arial" w:cs="Arial" w:eastAsia="Arial" w:hAnsi="Arial"/>
          <w:b/>
          <w:bCs/>
          <w:color w:val="C9A84C"/>
          <w:sz w:val="32"/>
          <w:szCs w:val="32"/>
        </w:rPr>
        <w:t xml:space="preserve">THE TEN OPERATIONAL AI GOVERNANCE COMMITMENTS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3840"/>
        <w:gridCol w:w="5040"/>
      </w:tblGrid>
      <w:tr>
        <w:tc>
          <w:tcPr>
            <w:tcW w:type="dxa" w:w="4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Commitment</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Operational Requirement</w:t>
            </w:r>
          </w:p>
        </w:tc>
        <w:tc>
          <w:tcPr>
            <w:tcW w:type="dxa" w:w="50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Verification Mechanism</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 Human Primacy</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No AI system makes final decisions on consequential matters affecting human rights, welfare, liberty, employment, or access to public services without human review and confirmation</w:t>
            </w:r>
          </w:p>
        </w:tc>
        <w:tc>
          <w:tcPr>
            <w:tcW w:type="dxa" w:w="5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audit trail records the human confirmation event for every flagged AI decision. COB verifies quarterly.</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 Auditability</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Every AI decision event produces a human-readable audit record including: input parameters, model version, output, confidence score, and decision pathway</w:t>
            </w:r>
          </w:p>
        </w:tc>
        <w:tc>
          <w:tcPr>
            <w:tcW w:type="dxa" w:w="5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AI Decision Audit Log — immutable, cryptographically signed, independently accessible to client compliance officers and regulators</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3. Explainability</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AI systems under UDOC governance must produce output that can be explained in plain language to a non-technical audit reviewer</w:t>
            </w:r>
          </w:p>
        </w:tc>
        <w:tc>
          <w:tcPr>
            <w:tcW w:type="dxa" w:w="5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Explainability report generated for all audit log entries above defined consequence threshold. No black-box exceptions.</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4. Bias Monitoring</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Continuous automated monitoring of AI decision outcomes across all protected characteristic groups. Statistical disparities above threshold trigger human review.</w:t>
            </w:r>
          </w:p>
        </w:tc>
        <w:tc>
          <w:tcPr>
            <w:tcW w:type="dxa" w:w="5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Bias Detection Engine: 24-hour cycle analysis. Real-time alert for threshold breach. Monthly fairness report to client board.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5. Sovereign Data Control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client data remains within the client's lawful jurisdiction at all times. G.O.D.S and UDOC hold no encryption keys to sovereign client data without client authorisation.</w:t>
            </w:r>
          </w:p>
        </w:tc>
        <w:tc>
          <w:tcPr>
            <w:tcW w:type="dxa" w:w="5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Technical data localisation architecture enforced at storage layer. QKD key custody with client. Network audit verifies zero foreign data transit.</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6. Human Override</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Every AI system under UDOC governance includes human override architecture: the capacity to pause, reverse, or terminate AI system actions without vendor involvement</w:t>
            </w:r>
          </w:p>
        </w:tc>
        <w:tc>
          <w:tcPr>
            <w:tcW w:type="dxa" w:w="5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Override capacity tested and certified at deployment. Government clients receive override control independent of UDOC platform availability.</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7. Incident Response</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Any AI governance failure — bias breach, compliance violation, system error — triggers documented incident response within defined timeframes</w:t>
            </w:r>
          </w:p>
        </w:tc>
        <w:tc>
          <w:tcPr>
            <w:tcW w:type="dxa" w:w="5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Incident Response module: automated detection, structured escalation, human decision at every escalation point, full documentation, COB notification</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8. No Weaponisation</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systems may not be deployed for military purposes, mass surveillance, political suppression, or any use that contradicts the Constitutional Pillars</w:t>
            </w:r>
          </w:p>
        </w:tc>
        <w:tc>
          <w:tcPr>
            <w:tcW w:type="dxa" w:w="5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Prohibition enforced by COB. Any weaponisation-adjacent deployment requires COB supermajority approval and public disclosure.</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9. Constitutional Compliance</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AI deployments must comply with the G.O.D.S 12 Constitutional Pillars in all operational decisions</w:t>
            </w:r>
          </w:p>
        </w:tc>
        <w:tc>
          <w:tcPr>
            <w:tcW w:type="dxa" w:w="5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Quarterly constitutional compliance audit by COB. UDOC quantum compliance verification sweeps. Annual independent external audit.</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10. Transparency to Public</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Where G.O.D.S AI systems affect public services, summary governance reports are published annually</w:t>
            </w:r>
          </w:p>
        </w:tc>
        <w:tc>
          <w:tcPr>
            <w:tcW w:type="dxa" w:w="5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Public governance report: aggregated, privacy-preserving. Published on www.gods.systems. Made available to parliamentary committees on request.</w:t>
            </w:r>
          </w:p>
        </w:tc>
      </w:tr>
    </w:tbl>
    <w:p>
      <w:pPr>
        <w:spacing w:before="80" w:after="0"/>
      </w:pPr>
    </w:p>
    <w:p>
      <w:pPr>
        <w:pStyle w:val="Heading1"/>
        <w:spacing w:before="400" w:after="140"/>
      </w:pPr>
      <w:r>
        <w:rPr>
          <w:rFonts w:ascii="Arial" w:cs="Arial" w:eastAsia="Arial" w:hAnsi="Arial"/>
          <w:b/>
          <w:bCs/>
          <w:color w:val="C9A84C"/>
          <w:sz w:val="32"/>
          <w:szCs w:val="32"/>
        </w:rPr>
        <w:t xml:space="preserve">GOVERNANCE STRUCTURE FOR AI CHARTER ENFORCEMENT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4320"/>
        <w:gridCol w:w="3080"/>
      </w:tblGrid>
      <w:tr>
        <w:tc>
          <w:tcPr>
            <w:tcW w:type="dxa" w:w="21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Role</w:t>
            </w:r>
          </w:p>
        </w:tc>
        <w:tc>
          <w:tcPr>
            <w:tcW w:type="dxa" w:w="43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Responsibility</w:t>
            </w:r>
          </w:p>
        </w:tc>
        <w:tc>
          <w:tcPr>
            <w:tcW w:type="dxa" w:w="30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Accountability</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Constitutional Oversight Board</w:t>
            </w:r>
          </w:p>
        </w:tc>
        <w:tc>
          <w:tcPr>
            <w:tcW w:type="dxa" w:w="4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Ultimate authority on all Charter compliance matters. Reviews quarterly. Can suspend any AI deployment for Charter breach.</w:t>
            </w:r>
          </w:p>
        </w:tc>
        <w:tc>
          <w:tcPr>
            <w:tcW w:type="dxa" w:w="3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Independent — not removable by executive or investors on Charter matters</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Chief Governance Officer</w:t>
            </w:r>
          </w:p>
        </w:tc>
        <w:tc>
          <w:tcPr>
            <w:tcW w:type="dxa" w:w="43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Day-to-day Charter enforcement. Signs off on all client deployments. Reports to COB monthly on governance outcomes.</w:t>
            </w:r>
          </w:p>
        </w:tc>
        <w:tc>
          <w:tcPr>
            <w:tcW w:type="dxa" w:w="3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Accountable to COO and COB jointly</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Division Compliance Officers</w:t>
            </w:r>
          </w:p>
        </w:tc>
        <w:tc>
          <w:tcPr>
            <w:tcW w:type="dxa" w:w="4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Charter compliance within each division. First line of detection for governance issues. Monthly report to UDOC CGO.</w:t>
            </w:r>
          </w:p>
        </w:tc>
        <w:tc>
          <w:tcPr>
            <w:tcW w:type="dxa" w:w="3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Accountable to Division Head and UDOC CGO</w:t>
            </w:r>
          </w:p>
        </w:tc>
      </w:tr>
      <w:tr>
        <w:tc>
          <w:tcPr>
            <w:tcW w:type="dxa" w:w="21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Client Designated Officer</w:t>
            </w:r>
          </w:p>
        </w:tc>
        <w:tc>
          <w:tcPr>
            <w:tcW w:type="dxa" w:w="43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Client-side contact for all Charter matters. Receives governance reports. Can escalate directly to COB if Charter breach suspected.</w:t>
            </w:r>
          </w:p>
        </w:tc>
        <w:tc>
          <w:tcPr>
            <w:tcW w:type="dxa" w:w="3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Client accountability — designated at contract signature</w:t>
            </w:r>
          </w:p>
        </w:tc>
      </w:tr>
      <w:tr>
        <w:tc>
          <w:tcPr>
            <w:tcW w:type="dxa" w:w="21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Independent External Auditor</w:t>
            </w:r>
          </w:p>
        </w:tc>
        <w:tc>
          <w:tcPr>
            <w:tcW w:type="dxa" w:w="4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Annual audit of Charter compliance. Reviews UDOC audit logs, COB minutes, incident records. Reports to COB and publicly.</w:t>
            </w:r>
          </w:p>
        </w:tc>
        <w:tc>
          <w:tcPr>
            <w:tcW w:type="dxa" w:w="3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Appointed by COB. Not appointed by G.O.D.S executive.</w:t>
            </w:r>
          </w:p>
        </w:tc>
      </w:tr>
    </w:tbl>
    <w:p>
      <w:pPr>
        <w:spacing w:before="80" w:after="0"/>
      </w:pPr>
    </w:p>
    <w:p>
      <w:pPr>
        <w:spacing w:before="70" w:after="90"/>
        <w:jc w:val="both"/>
      </w:pPr>
      <w:r>
        <w:rPr>
          <w:rFonts w:ascii="Arial" w:cs="Arial" w:eastAsia="Arial" w:hAnsi="Arial"/>
          <w:b w:val="false"/>
          <w:bCs w:val="false"/>
          <w:i/>
          <w:iCs/>
          <w:color w:val="555555"/>
          <w:sz w:val="22"/>
          <w:szCs w:val="22"/>
        </w:rPr>
        <w:t xml:space="preserve">AI Governance Charter Version 1.0 | March 2026 | Review: annually | Approved: Constitutional Oversight Board</w:t>
      </w:r>
    </w:p>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I</w:t>
      </w:r>
    </w:p>
    <w:p>
      <w:pPr>
        <w:spacing w:before="0" w:after="30"/>
        <w:jc w:val="center"/>
      </w:pPr>
      <w:r>
        <w:rPr>
          <w:rFonts w:ascii="Arial" w:cs="Arial" w:eastAsia="Arial" w:hAnsi="Arial"/>
          <w:b/>
          <w:bCs/>
          <w:color w:val="0A1628"/>
          <w:sz w:val="40"/>
          <w:szCs w:val="40"/>
        </w:rPr>
        <w:t xml:space="preserve">GOVERNMENT SPV STRUCTURE</w:t>
      </w:r>
    </w:p>
    <w:p>
      <w:pPr>
        <w:spacing w:before="0" w:after="80"/>
        <w:jc w:val="center"/>
      </w:pPr>
      <w:r>
        <w:rPr>
          <w:rFonts w:ascii="Arial" w:cs="Arial" w:eastAsia="Arial" w:hAnsi="Arial"/>
          <w:i/>
          <w:iCs/>
          <w:color w:val="555555"/>
          <w:sz w:val="24"/>
          <w:szCs w:val="24"/>
        </w:rPr>
        <w:t xml:space="preserve">National Digital Infrastructure Co-Ownership Architecture</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The SPV architecture is the mechanism by which G.O.D.S delivers public infrastructure without creating government dependency on G.O.D.S.</w:t>
            </w:r>
          </w:p>
          <w:p>
            <w:pPr>
              <w:spacing w:before="45" w:after="45"/>
              <w:jc w:val="both"/>
            </w:pPr>
            <w:r>
              <w:rPr>
                <w:rFonts w:ascii="Arial" w:cs="Arial" w:eastAsia="Arial" w:hAnsi="Arial"/>
                <w:i/>
                <w:iCs/>
                <w:color w:val="0A1628"/>
                <w:sz w:val="21"/>
                <w:szCs w:val="21"/>
              </w:rPr>
              <w:t xml:space="preserve">Government co-owns the infrastructure it funds. G.O.D.S operates it. Both share the returns.</w:t>
            </w:r>
          </w:p>
          <w:p>
            <w:pPr>
              <w:spacing w:before="45" w:after="45"/>
              <w:jc w:val="both"/>
            </w:pPr>
            <w:r>
              <w:rPr>
                <w:rFonts w:ascii="Arial" w:cs="Arial" w:eastAsia="Arial" w:hAnsi="Arial"/>
                <w:i/>
                <w:iCs/>
                <w:color w:val="0A1628"/>
                <w:sz w:val="21"/>
                <w:szCs w:val="21"/>
              </w:rPr>
              <w:t xml:space="preserve">If G.O.D.S ever fails, government retains full ownership of the infrastructure and operating data.</w:t>
            </w:r>
          </w:p>
          <w:p>
            <w:pPr>
              <w:spacing w:before="45" w:after="45"/>
              <w:jc w:val="both"/>
            </w:pPr>
            <w:r>
              <w:rPr>
                <w:rFonts w:ascii="Arial" w:cs="Arial" w:eastAsia="Arial" w:hAnsi="Arial"/>
                <w:i/>
                <w:iCs/>
                <w:color w:val="0A1628"/>
                <w:sz w:val="21"/>
                <w:szCs w:val="21"/>
              </w:rPr>
              <w:t xml:space="preserve">This is not a vendor relationship. It is a constitutional co-ownership partnership.</w:t>
            </w:r>
          </w:p>
        </w:tc>
      </w:tr>
    </w:tbl>
    <w:p>
      <w:pPr>
        <w:spacing w:before="80" w:after="0"/>
      </w:pPr>
    </w:p>
    <w:p>
      <w:pPr>
        <w:pStyle w:val="Heading1"/>
        <w:spacing w:before="400" w:after="140"/>
      </w:pPr>
      <w:r>
        <w:rPr>
          <w:rFonts w:ascii="Arial" w:cs="Arial" w:eastAsia="Arial" w:hAnsi="Arial"/>
          <w:b/>
          <w:bCs/>
          <w:color w:val="C9A84C"/>
          <w:sz w:val="32"/>
          <w:szCs w:val="32"/>
        </w:rPr>
        <w:t xml:space="preserve">SPV ARCHITECTURE — STANDARD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3840"/>
        <w:gridCol w:w="4080"/>
      </w:tblGrid>
      <w:tr>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SPV Element</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Structure</w:t>
            </w:r>
          </w:p>
        </w:tc>
        <w:tc>
          <w:tcPr>
            <w:tcW w:type="dxa" w:w="40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Constitutional Requirement</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Entity Type</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Special Purpose Vehicle (Pty) Ltd — registered under Companies Act 71 of 2008 for each specific project</w:t>
            </w:r>
          </w:p>
        </w:tc>
        <w:tc>
          <w:tcPr>
            <w:tcW w:type="dxa" w:w="4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Each SPV is a standalone legal entity — ring-fenced from G.O.D.S financial risk. Government cannot be exposed to G.O.D.S creditors through SPV structure.</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Shareholder Structure</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TS Holdings: 51-60% (majority — operations and delivery); Government Partner: 30-40% (co-owner — policy oversight); M.A.D.I.B.A / DFI: 10-20% (capital provider)</w:t>
            </w:r>
          </w:p>
        </w:tc>
        <w:tc>
          <w:tcPr>
            <w:tcW w:type="dxa" w:w="4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Anti-capture: no single shareholder &gt;60% without COB approval. Government minimum 30% to ensure genuine co-ownership, not token participation.</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SPV Board</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5-7 members: 2 G.O.D.S nominees (including SPV CEO); 2 Government nominees; 1 DFI/M.A.D.I.B.A nominee; 1-2 independent directors</w:t>
            </w:r>
          </w:p>
        </w:tc>
        <w:tc>
          <w:tcPr>
            <w:tcW w:type="dxa" w:w="4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Board composition embedded in shareholders agreement. G.O.D.S cannot remove government nominees. Government cannot remove G.O.D.S nominees unilaterally.</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Reserved Matters</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Pillar compliance; major asset disposal; borrowing above defined threshold; project scope change; environmental violation; data sovereignty breach</w:t>
            </w:r>
          </w:p>
        </w:tc>
        <w:tc>
          <w:tcPr>
            <w:tcW w:type="dxa" w:w="4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Reserved matters require supermajority (80%). Government has blocking minority on all reserved matters above its shareholding percentage.</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Exit Provisions</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may not sell its SPV shares without right of first refusal to government partner. Government may not sell without right of first refusal to G.O.D.S.</w:t>
            </w:r>
          </w:p>
        </w:tc>
        <w:tc>
          <w:tcPr>
            <w:tcW w:type="dxa" w:w="4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Anti-capture clause: no SPV shares may be sold to entities that conflict with Constitutional Pillars. COB approval required for any SPV share transfer.</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Data Architecture</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data generated by SPV project (infrastructure performance, governance data, operational metrics) remains within SPV's legal ownership — not G.O.D.S Holdings</w:t>
            </w:r>
          </w:p>
        </w:tc>
        <w:tc>
          <w:tcPr>
            <w:tcW w:type="dxa" w:w="40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deployed as independent governance layer — data sovereignty guaranteed even if G.O.D.S relationship ends. Government has perpetual data access rights.</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Wind-Down Provisions</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If SPV is dissolved: government partner receives assets proportional to shareholding. G.O.D.S IP (methodology, systems) reverts to IP Trust — cannot be distributed.</w:t>
            </w:r>
          </w:p>
        </w:tc>
        <w:tc>
          <w:tcPr>
            <w:tcW w:type="dxa" w:w="40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protection: G.O.D.S intellectual architecture does not dissolve with SPV. Government retains infrastructure. G.O.D.S retains method.</w:t>
            </w:r>
          </w:p>
        </w:tc>
      </w:tr>
    </w:tbl>
    <w:p>
      <w:pPr>
        <w:spacing w:before="80" w:after="0"/>
      </w:pPr>
    </w:p>
    <w:p>
      <w:pPr>
        <w:pStyle w:val="Heading1"/>
        <w:spacing w:before="400" w:after="140"/>
      </w:pPr>
      <w:r>
        <w:rPr>
          <w:rFonts w:ascii="Arial" w:cs="Arial" w:eastAsia="Arial" w:hAnsi="Arial"/>
          <w:b/>
          <w:bCs/>
          <w:color w:val="C9A84C"/>
          <w:sz w:val="32"/>
          <w:szCs w:val="32"/>
        </w:rPr>
        <w:t xml:space="preserve">SPV TYPES — DIVISION-SPECIFIC STRUCTURES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200"/>
        <w:gridCol w:w="1920"/>
        <w:gridCol w:w="2400"/>
        <w:gridCol w:w="2400"/>
      </w:tblGrid>
      <w:tr>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SPV Type</w:t>
            </w:r>
          </w:p>
        </w:tc>
        <w:tc>
          <w:tcPr>
            <w:tcW w:type="dxa" w:w="12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Applicable Division</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Typical Capital Structure</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Revenue Architecture</w:t>
            </w:r>
          </w:p>
        </w:tc>
        <w:tc>
          <w:tcPr>
            <w:tcW w:type="dxa" w:w="240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Government Benefit</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Energy Infrastructure SPV</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Industries</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DFI project finance 60%; G.O.D.S equity 25%; Government land/guarantee 15%</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20-year PPA revenue; O&amp;M fees; carbon credits</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Energy security; employment; grid diversification; co-ownership of strategic asset</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Vertical Farming SPV</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Industries</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Impact capital 40%; G.O.D.S equity 40%; Government food security grant 20%</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Commercial produce offtake; government bulk supply contract; processing margin</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Food sovereignty; employment; local nutrition outcomes; co-ownership</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Water Infrastructure SPV</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Industries</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Infrastructure DFI 55%; G.O.D.S equity 30%; Municipal grant 15%</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Municipal service delivery contract; water treatment fees</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Water security; infrastructure ownership; service delivery mandate fulfilment</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National AI Governance SPV</w:t>
            </w:r>
          </w:p>
        </w:tc>
        <w:tc>
          <w:tcPr>
            <w:tcW w:type="dxa" w:w="12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49%; G.O.D.S 51%</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SaaS subscription revenue; compliance certification fees</w:t>
            </w:r>
          </w:p>
        </w:tc>
        <w:tc>
          <w:tcPr>
            <w:tcW w:type="dxa" w:w="240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Sovereign AI governance infrastructure; data sovereignty; constitutional compliance</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Digital Backbone SPV</w:t>
            </w:r>
          </w:p>
        </w:tc>
        <w:tc>
          <w:tcPr>
            <w:tcW w:type="dxa" w:w="12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 Government</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40%; G.O.D.S 40%; Strategic DFI 20%</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National platform licence fee; departmental SaaS subscriptions; quantum security premium</w:t>
            </w:r>
          </w:p>
        </w:tc>
        <w:tc>
          <w:tcPr>
            <w:tcW w:type="dxa" w:w="240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National AI governance backbone; independence from foreign vendors; quantum sovereignty</w:t>
            </w:r>
          </w:p>
        </w:tc>
      </w:tr>
    </w:tbl>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Executive Operating Document</w:t>
      </w:r>
    </w:p>
    <w:p>
      <w:pPr>
        <w:spacing w:before="0" w:after="30"/>
        <w:jc w:val="center"/>
      </w:pPr>
      <w:r>
        <w:rPr>
          <w:rFonts w:ascii="Arial" w:cs="Arial" w:eastAsia="Arial" w:hAnsi="Arial"/>
          <w:b/>
          <w:bCs/>
          <w:color w:val="0A1628"/>
          <w:sz w:val="40"/>
          <w:szCs w:val="40"/>
        </w:rPr>
        <w:t xml:space="preserve">12-MONTH OPERATING PLAN</w:t>
      </w:r>
    </w:p>
    <w:p>
      <w:pPr>
        <w:spacing w:before="0" w:after="80"/>
        <w:jc w:val="center"/>
      </w:pPr>
      <w:r>
        <w:rPr>
          <w:rFonts w:ascii="Arial" w:cs="Arial" w:eastAsia="Arial" w:hAnsi="Arial"/>
          <w:i/>
          <w:iCs/>
          <w:color w:val="555555"/>
          <w:sz w:val="24"/>
          <w:szCs w:val="24"/>
        </w:rPr>
        <w:t xml:space="preserve">First 365 Days — Month-by-Month Execution Calendar</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This is the execution document. Not the vision. Not the architecture. The actions.</w:t>
            </w:r>
          </w:p>
          <w:p>
            <w:pPr>
              <w:spacing w:before="45" w:after="45"/>
              <w:jc w:val="both"/>
            </w:pPr>
            <w:r>
              <w:rPr>
                <w:rFonts w:ascii="Arial" w:cs="Arial" w:eastAsia="Arial" w:hAnsi="Arial"/>
                <w:i/>
                <w:iCs/>
                <w:color w:val="0A1628"/>
                <w:sz w:val="21"/>
                <w:szCs w:val="21"/>
              </w:rPr>
              <w:t xml:space="preserve">Every item has an owner, a deadline, and a success criterion.</w:t>
            </w:r>
          </w:p>
          <w:p>
            <w:pPr>
              <w:spacing w:before="45" w:after="45"/>
              <w:jc w:val="both"/>
            </w:pPr>
            <w:r>
              <w:rPr>
                <w:rFonts w:ascii="Arial" w:cs="Arial" w:eastAsia="Arial" w:hAnsi="Arial"/>
                <w:i/>
                <w:iCs/>
                <w:color w:val="0A1628"/>
                <w:sz w:val="21"/>
                <w:szCs w:val="21"/>
              </w:rPr>
              <w:t xml:space="preserve">Items marked CRITICAL must complete before dependent actions can proceed.</w:t>
            </w:r>
          </w:p>
          <w:p>
            <w:pPr>
              <w:spacing w:before="45" w:after="45"/>
              <w:jc w:val="both"/>
            </w:pPr>
            <w:r>
              <w:rPr>
                <w:rFonts w:ascii="Arial" w:cs="Arial" w:eastAsia="Arial" w:hAnsi="Arial"/>
                <w:i/>
                <w:iCs/>
                <w:color w:val="0A1628"/>
                <w:sz w:val="21"/>
                <w:szCs w:val="21"/>
              </w:rPr>
              <w:t xml:space="preserve">The COB reviews this plan monthly and flags any slippage requiring board-level action.</w:t>
            </w:r>
          </w:p>
        </w:tc>
      </w:tr>
    </w:tbl>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480"/>
        <w:gridCol w:w="2640"/>
        <w:gridCol w:w="960"/>
        <w:gridCol w:w="1440"/>
        <w:gridCol w:w="2760"/>
      </w:tblGrid>
      <w:tr>
        <w:tc>
          <w:tcPr>
            <w:tcW w:type="dxa" w:w="4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Month</w:t>
            </w:r>
          </w:p>
        </w:tc>
        <w:tc>
          <w:tcPr>
            <w:tcW w:type="dxa" w:w="4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Priority</w:t>
            </w:r>
          </w:p>
        </w:tc>
        <w:tc>
          <w:tcPr>
            <w:tcW w:type="dxa" w:w="26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Action Item</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Owner</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Success Criterion</w:t>
            </w:r>
          </w:p>
        </w:tc>
        <w:tc>
          <w:tcPr>
            <w:tcW w:type="dxa" w:w="27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Dependency</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Register G.O.D.S IP Trust with Master of the High Court. Appoint founding trustees.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 + Legal Counsel</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Trust deed executed and registered. IP schedule filed.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Legal Counsel appointed (Month 1)</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Register G.O.D.S Holdings (Pty) Ltd with CIPC. File constitutional MOI.</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 + Legal Counsel</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CIPC registration confirmed. MOI with constitutional constraints filed.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IP Trust constituted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File trademark applications: G.O.D.S, S.E.T.H.S, UDOC, M.A.D.I.B.A at CIPC</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Legal Counsel</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marks filed. Application numbers recorded.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Legal Counsel appointed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Appoint COO. Begin recruitment of CFO. Engage Legal Counsel.</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signed offer accepted. CFO shortlist of 3. Legal Counsel engaged.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None</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 corporate banking. Establish financial controls. Appoint bookkeeper.</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 + COO</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Bank accounts open. Financial policy documented.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Holdings registered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Register G.O.D.S TS Holdings (Pty) Ltd. Register S.E.T.H.S (Pty) Ltd.</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 Legal</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Both entities registered. Shareholder agreements drafted.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Holdings registered; MOI approved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Appoint Constitutional Oversight Board: first 3 independent members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 + COO</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 COB members accepted appointment. First COB meeting held.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Holdings registered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Finalise Phase 1 funding applications: DBSA Social, NDA, National Treasury SEF</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CFO + Founder</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Applications submitted. Engagement meetings secured.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CFO appointed; Holdings registered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Identify and lease S.E.T.H.S pilot facility (Gauteng)</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 S.E.T.H.S Head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Facility lease signed. Fit-out plan approved.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(Pty) Ltd registered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2</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Register UDOC Technologies (Pty) Ltd. Begin UDOC Phase 1 engineering team recruitment.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 Legal</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registered. 2 senior engineers offered positions.</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Holdings registered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First government engagement: DSD, DoL, DPSA meetings. Present S.E.T.H.S programme.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 + COO</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 government meetings completed. Feedback documented. MOU negotiation initiated.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COB operational; entities registered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3</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Phase 1 product: begin development of AI Decision Audit Log module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Engineering Lead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Development sprint 1 complete. Core audit log architecture built.</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engineers onboarded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3</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employer network: first 10 employer partner meetings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Head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10 employer meetings complete. 3 LOIs received for placement commitment.</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Head appointed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4</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First DFI funding decision expected. Adjust Phase 1 plan based on confirmed capital.</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CFO</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Funding decision received. Phase 1 budget confirmed and board-approved.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Month 2 applications submitted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4</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enterprise SaaS beta: identify 2 beta clients. Begin integration testing.</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Engineering Lead + CEO</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 beta clients identified. Integration framework agreed.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Audit Log module v0.1 complete</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5</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participant intake: begin recruitment for 50-person pilot cohort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Head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50 participant applications received. Assessment process begun.</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Facility ready; staff hired; funding confirmed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5</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Industries (Pty) Ltd registered. First T.S project pipeline identified.</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 Legal</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Industries registered. 3 T.S project opportunities documented.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Holdings registered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6</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pilot cohort begins. First 50 participants in programme.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Head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50 participants enrolled and in Week 1 of programme.</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preceding S.E.T.H.S milestones</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6</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Phase 1 product launch: first enterprise client goes live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Engineering Lead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Client 1 live. First governance events audited and logged.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Beta testing complete</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6</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MILESTONE</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COB 6-month review. Board assesses constitutional compliance and milestone achievement.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COB Chair</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COB review complete. Assessment documented. No constitutional flags.</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COB operational</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7-8</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mid-programme assessment. Employer placement commitments confirmed.</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Head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25 participants at programme midpoint. 20+ employer placement commitments secured.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Cohort in programme</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7-8</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client 2 and 3 onboarded. Government pilot engagement formalised.</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CGO</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Clients 2-3 live. Government MOU for pilot signed.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Client 1 live and stable</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9-10</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first placements: target 40/50 participants placed</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Head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40+ participants placed in employment. Placement data documented.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Programme completion</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9-10</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2 funding applications prepared. First DFI pitch for Series A.</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CFO + Founder</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Series A investor deck complete. 3 DFI meetings held. 1 term sheet in negotiation.</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1 performance data available</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11-12</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CRITICAL</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1 COB annual review. Full constitutional compliance audit. Phase 2 planning approved.</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COB + CEO</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Annual review complete. Constitutional compliance confirmed. Phase 2 plan board-approved.</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Phase 1 milestones assessed</w:t>
            </w:r>
          </w:p>
        </w:tc>
      </w:tr>
      <w:tr>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11-12</w:t>
            </w:r>
          </w:p>
        </w:tc>
        <w:tc>
          <w:tcPr>
            <w:tcW w:type="dxa" w:w="4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HIGH</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first project: commence scoping and procurement for first T.S infrastructure project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Director</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Project identified. Contract in negotiation. SPV structure designed.</w:t>
            </w:r>
          </w:p>
        </w:tc>
        <w:tc>
          <w:tcPr>
            <w:tcW w:type="dxa" w:w="27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graduates available; T.S director appointed</w:t>
            </w:r>
          </w:p>
        </w:tc>
      </w:tr>
      <w:tr>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12</w:t>
            </w:r>
          </w:p>
        </w:tc>
        <w:tc>
          <w:tcPr>
            <w:tcW w:type="dxa" w:w="4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MILESTONE</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Year 1 End: External audit complete. Annual report published. Full data room assembled.</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CFO + Legal + COO</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Clean audit opinion. Annual report published. Data room index complete.</w:t>
            </w:r>
          </w:p>
        </w:tc>
        <w:tc>
          <w:tcPr>
            <w:tcW w:type="dxa" w:w="27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Year 1 operations complete</w:t>
            </w:r>
          </w:p>
        </w:tc>
      </w:tr>
    </w:tbl>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Version 1.0 — March 2026</w:t>
      </w:r>
    </w:p>
    <w:p>
      <w:pPr>
        <w:spacing w:before="0" w:after="30"/>
        <w:jc w:val="center"/>
      </w:pPr>
      <w:r>
        <w:rPr>
          <w:rFonts w:ascii="Arial" w:cs="Arial" w:eastAsia="Arial" w:hAnsi="Arial"/>
          <w:b/>
          <w:bCs/>
          <w:color w:val="0A1628"/>
          <w:sz w:val="40"/>
          <w:szCs w:val="40"/>
        </w:rPr>
        <w:t xml:space="preserve">DATA ROOM INDEX</w:t>
      </w:r>
    </w:p>
    <w:p>
      <w:pPr>
        <w:spacing w:before="0" w:after="80"/>
        <w:jc w:val="center"/>
      </w:pPr>
      <w:r>
        <w:rPr>
          <w:rFonts w:ascii="Arial" w:cs="Arial" w:eastAsia="Arial" w:hAnsi="Arial"/>
          <w:i/>
          <w:iCs/>
          <w:color w:val="555555"/>
          <w:sz w:val="24"/>
          <w:szCs w:val="24"/>
        </w:rPr>
        <w:t xml:space="preserve">Institutional Due Diligence Document Register</w:t>
      </w:r>
    </w:p>
    <w:p>
      <w:pPr>
        <w:pBdr>
          <w:bottom w:val="single" w:color="C9A84C" w:sz="8" w:space="4"/>
        </w:pBdr>
        <w:spacing w:before="100" w:after="100"/>
      </w:pPr>
    </w:p>
    <w:p>
      <w:pPr>
        <w:spacing w:before="80"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9A84C" w:sz="16"/>
              <w:bottom w:val="none" w:color="FFFFFF" w:sz="0"/>
              <w:right w:val="none" w:color="FFFFFF" w:sz="0"/>
            </w:tcBorders>
            <w:shd w:fill="F9F5EE" w:val="clear"/>
            <w:tcMar>
              <w:top w:type="dxa" w:w="100"/>
              <w:left w:type="dxa" w:w="200"/>
              <w:bottom w:type="dxa" w:w="100"/>
              <w:right w:type="dxa" w:w="200"/>
            </w:tcMar>
          </w:tcPr>
          <w:p>
            <w:pPr>
              <w:spacing w:before="45" w:after="45"/>
              <w:jc w:val="both"/>
            </w:pPr>
            <w:r>
              <w:rPr>
                <w:rFonts w:ascii="Arial" w:cs="Arial" w:eastAsia="Arial" w:hAnsi="Arial"/>
                <w:i/>
                <w:iCs/>
                <w:color w:val="0A1628"/>
                <w:sz w:val="21"/>
                <w:szCs w:val="21"/>
              </w:rPr>
              <w:t xml:space="preserve">This index organises every document in the G.O.D.S institutional record.</w:t>
            </w:r>
          </w:p>
          <w:p>
            <w:pPr>
              <w:spacing w:before="45" w:after="45"/>
              <w:jc w:val="both"/>
            </w:pPr>
            <w:r>
              <w:rPr>
                <w:rFonts w:ascii="Arial" w:cs="Arial" w:eastAsia="Arial" w:hAnsi="Arial"/>
                <w:i/>
                <w:iCs/>
                <w:color w:val="0A1628"/>
                <w:sz w:val="21"/>
                <w:szCs w:val="21"/>
              </w:rPr>
              <w:t xml:space="preserve">Documents marked AVAILABLE are complete and ready for distribution.</w:t>
            </w:r>
          </w:p>
          <w:p>
            <w:pPr>
              <w:spacing w:before="45" w:after="45"/>
              <w:jc w:val="both"/>
            </w:pPr>
            <w:r>
              <w:rPr>
                <w:rFonts w:ascii="Arial" w:cs="Arial" w:eastAsia="Arial" w:hAnsi="Arial"/>
                <w:i/>
                <w:iCs/>
                <w:color w:val="0A1628"/>
                <w:sz w:val="21"/>
                <w:szCs w:val="21"/>
              </w:rPr>
              <w:t xml:space="preserve">Documents marked IN PROGRESS have draft versions available on request.</w:t>
            </w:r>
          </w:p>
          <w:p>
            <w:pPr>
              <w:spacing w:before="45" w:after="45"/>
              <w:jc w:val="both"/>
            </w:pPr>
            <w:r>
              <w:rPr>
                <w:rFonts w:ascii="Arial" w:cs="Arial" w:eastAsia="Arial" w:hAnsi="Arial"/>
                <w:i/>
                <w:iCs/>
                <w:color w:val="0A1628"/>
                <w:sz w:val="21"/>
                <w:szCs w:val="21"/>
              </w:rPr>
              <w:t xml:space="preserve">Documents marked PLANNED are scheduled for completion by stated date.</w:t>
            </w:r>
          </w:p>
          <w:p>
            <w:pPr>
              <w:spacing w:before="45" w:after="45"/>
              <w:jc w:val="both"/>
            </w:pPr>
            <w:r>
              <w:rPr>
                <w:rFonts w:ascii="Arial" w:cs="Arial" w:eastAsia="Arial" w:hAnsi="Arial"/>
                <w:i/>
                <w:iCs/>
                <w:color w:val="0A1628"/>
                <w:sz w:val="21"/>
                <w:szCs w:val="21"/>
              </w:rPr>
              <w:t xml:space="preserve">Access requests: contact@gods.systems with stated institutional purpose.</w:t>
            </w:r>
          </w:p>
        </w:tc>
      </w:tr>
    </w:tbl>
    <w:p>
      <w:pPr>
        <w:spacing w:before="80" w:after="0"/>
      </w:pPr>
    </w:p>
    <w:p>
      <w:pPr>
        <w:pStyle w:val="Heading1"/>
        <w:spacing w:before="400" w:after="140"/>
      </w:pPr>
      <w:r>
        <w:rPr>
          <w:rFonts w:ascii="Arial" w:cs="Arial" w:eastAsia="Arial" w:hAnsi="Arial"/>
          <w:b/>
          <w:bCs/>
          <w:color w:val="C9A84C"/>
          <w:sz w:val="32"/>
          <w:szCs w:val="32"/>
        </w:rPr>
        <w:t xml:space="preserve">SECTION A: CONSTITUTIONAL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3240"/>
        <w:gridCol w:w="960"/>
        <w:gridCol w:w="960"/>
        <w:gridCol w:w="384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Ref</w:t>
            </w:r>
          </w:p>
        </w:tc>
        <w:tc>
          <w:tcPr>
            <w:tcW w:type="dxa" w:w="32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Document</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Status</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Access Level</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A-01</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Unified Constitutional Doctrine on Human Primacy, AI Governance &amp; Sovereign Control</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Master constitutional document — March 2026</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A-02</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Doctrine on AGI, Singularity, and Human Primacy</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Position paper — G.O.D.S collection</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A-03</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Doctrine on Human Primacy, AI Governance, and Sovereign Control</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companion text</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A-04</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Governance Charter &amp; MOI Blueprint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Draft for legal review — Annexure in full manifesto</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A-05</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Twelve Constitutional Pillars — Full Operational Document</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Embedded in Constitutional Governance Charter</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A-06</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Founder Doctrine &amp; Succession Continuity Charter</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Controls founder succession and Class A governance</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A-07</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IP Trust Deed Summary</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Full deed requires legal counsel review</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A-08</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Oversight Board Charter</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Governs COB composition, powers, and procedures</w:t>
            </w:r>
          </w:p>
        </w:tc>
      </w:tr>
    </w:tbl>
    <w:p>
      <w:pPr>
        <w:spacing w:before="60" w:after="0"/>
      </w:pPr>
    </w:p>
    <w:p>
      <w:pPr>
        <w:pStyle w:val="Heading1"/>
        <w:spacing w:before="400" w:after="140"/>
      </w:pPr>
      <w:r>
        <w:rPr>
          <w:rFonts w:ascii="Arial" w:cs="Arial" w:eastAsia="Arial" w:hAnsi="Arial"/>
          <w:b/>
          <w:bCs/>
          <w:color w:val="C9A84C"/>
          <w:sz w:val="32"/>
          <w:szCs w:val="32"/>
        </w:rPr>
        <w:t xml:space="preserve">SECTION B: COMMERCIAL &amp; STRATEGIC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3240"/>
        <w:gridCol w:w="960"/>
        <w:gridCol w:w="960"/>
        <w:gridCol w:w="384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Ref</w:t>
            </w:r>
          </w:p>
        </w:tc>
        <w:tc>
          <w:tcPr>
            <w:tcW w:type="dxa" w:w="32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Document</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Status</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Access Level</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B-01</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Institutional Manifesto Brief V6.0</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Primary institutional overview document</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B-02</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Systems Architecture &amp; Quantum-Ready Sector Control Whitepaper</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This document — full technical and strategic blueprint</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B-03</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Competitive Landscape &amp; Strategic Positioning</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Four-division competitive analysis</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B-04</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Sovereign Partnership Framework &amp; SPV Model</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partnership architecture</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B-05</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SPV Structure — National Digital Infrastructure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I — this package</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B-06</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Procurement Framework — South Africa</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E — this package</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B-07</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Stakeholder One-Pagers (Government / DFI / Investor / Technical Partner)</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 PROGRESS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Varies</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Scheduled: April 2026</w:t>
            </w:r>
          </w:p>
        </w:tc>
      </w:tr>
    </w:tbl>
    <w:p>
      <w:pPr>
        <w:spacing w:before="60" w:after="0"/>
      </w:pPr>
    </w:p>
    <w:p>
      <w:pPr>
        <w:pStyle w:val="Heading1"/>
        <w:spacing w:before="400" w:after="140"/>
      </w:pPr>
      <w:r>
        <w:rPr>
          <w:rFonts w:ascii="Arial" w:cs="Arial" w:eastAsia="Arial" w:hAnsi="Arial"/>
          <w:b/>
          <w:bCs/>
          <w:color w:val="C9A84C"/>
          <w:sz w:val="32"/>
          <w:szCs w:val="32"/>
        </w:rPr>
        <w:t xml:space="preserve">SECTION C: FINANCIAL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3240"/>
        <w:gridCol w:w="960"/>
        <w:gridCol w:w="960"/>
        <w:gridCol w:w="384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Ref</w:t>
            </w:r>
          </w:p>
        </w:tc>
        <w:tc>
          <w:tcPr>
            <w:tcW w:type="dxa" w:w="32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Document</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Status</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Access Level</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C-01</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Financial Architecture Paper</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Capital structure, revenue architecture, funding model</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C-02</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Detailed Financial Projections — 5/10/25 Year</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F — this package. Three scenarios.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C-03</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1 Budget — Full Cost Model</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 (NDA)</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Detailed line-item Phase 1 operating budget</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C-04</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Investment Memorandum</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Investor (NDA)</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Full institutional investor memorandum</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C-05</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M.A.D.I.B.A Capital Strategy</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 (NDA)</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Sovereign capital deployment architecture</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C-06</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Audited Financial Statements</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PLANNED — Year 2</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Investor (NDA)</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First audit: Month 12. Available Month 14.</w:t>
            </w:r>
          </w:p>
        </w:tc>
      </w:tr>
    </w:tbl>
    <w:p>
      <w:pPr>
        <w:spacing w:before="60" w:after="0"/>
      </w:pPr>
    </w:p>
    <w:p>
      <w:pPr>
        <w:pStyle w:val="Heading1"/>
        <w:spacing w:before="400" w:after="140"/>
      </w:pPr>
      <w:r>
        <w:rPr>
          <w:rFonts w:ascii="Arial" w:cs="Arial" w:eastAsia="Arial" w:hAnsi="Arial"/>
          <w:b/>
          <w:bCs/>
          <w:color w:val="C9A84C"/>
          <w:sz w:val="32"/>
          <w:szCs w:val="32"/>
        </w:rPr>
        <w:t xml:space="preserve">SECTION D: TECHNICAL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3240"/>
        <w:gridCol w:w="960"/>
        <w:gridCol w:w="960"/>
        <w:gridCol w:w="384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Ref</w:t>
            </w:r>
          </w:p>
        </w:tc>
        <w:tc>
          <w:tcPr>
            <w:tcW w:type="dxa" w:w="32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Document</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Status</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Access Level</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D-01</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HQ-OS Technical Whitepaper — Quantum-Ready Sovereign Infrastructure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Technical (NDA)</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Full 30+ page quantum architecture whitepaper</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D-02</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Build &amp; Rollout Plan — Phases 1-3</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Technical (NDA)</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Full UDOC operational deployment plan</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D-03</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Complete Programme Specification</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Full programme design, curriculum, and outcome framework</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D-04</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Infrastructure Blueprint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Technical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technical specifications for all infrastructure verticals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D-05</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Patent Portfolio &amp; IP Architecture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 (NDA)</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B — this package</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D-06</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HQ-OS Quantum Architecture Detailed Specification</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Technical (NDA)</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Embedded in D-01; expanded version on request</w:t>
            </w:r>
          </w:p>
        </w:tc>
      </w:tr>
    </w:tbl>
    <w:p>
      <w:pPr>
        <w:spacing w:before="60" w:after="0"/>
      </w:pPr>
    </w:p>
    <w:p>
      <w:pPr>
        <w:pStyle w:val="Heading1"/>
        <w:spacing w:before="400" w:after="140"/>
      </w:pPr>
      <w:r>
        <w:rPr>
          <w:rFonts w:ascii="Arial" w:cs="Arial" w:eastAsia="Arial" w:hAnsi="Arial"/>
          <w:b/>
          <w:bCs/>
          <w:color w:val="C9A84C"/>
          <w:sz w:val="32"/>
          <w:szCs w:val="32"/>
        </w:rPr>
        <w:t xml:space="preserve">SECTION E: GOVERNANCE &amp; LEGAL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3240"/>
        <w:gridCol w:w="960"/>
        <w:gridCol w:w="960"/>
        <w:gridCol w:w="384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Ref</w:t>
            </w:r>
          </w:p>
        </w:tc>
        <w:tc>
          <w:tcPr>
            <w:tcW w:type="dxa" w:w="32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Document</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Status</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Access Level</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E-01</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Full Risk Register — Board Grade Assessment Matrix</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 (NDA)</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G — this package</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E-02</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Organisational Structure &amp; Governance Chart</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H — this package</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E-03</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Staffing &amp; Recruitment Requirements — Full Build Plan</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Complete org design from startup to scale</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E-04</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Operational AI Governance Charter</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Annexure J — deployable client-facing charter</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E-05</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MOI Draft — Legal Translation Required</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 PROGRESS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Legal Counsel Only</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Architecture complete; legal drafting in progress</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E-06</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Shareholders Agreement Template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PLANNED — Month 6</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Legal Counsel + Investors</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Template drafted; finalised with legal counsel at funding close</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E-07</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MOU Template (S.E.T.H.S)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PLANNED — Month 4</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Government Partners</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Template drafted by Legal Counsel for government engagement</w:t>
            </w:r>
          </w:p>
        </w:tc>
      </w:tr>
    </w:tbl>
    <w:p>
      <w:pPr>
        <w:spacing w:before="80" w:after="0"/>
      </w:pPr>
    </w:p>
    <w:p>
      <w:pPr>
        <w:pStyle w:val="Heading1"/>
        <w:spacing w:before="400" w:after="140"/>
      </w:pPr>
      <w:r>
        <w:rPr>
          <w:rFonts w:ascii="Arial" w:cs="Arial" w:eastAsia="Arial" w:hAnsi="Arial"/>
          <w:b/>
          <w:bCs/>
          <w:color w:val="C9A84C"/>
          <w:sz w:val="32"/>
          <w:szCs w:val="32"/>
        </w:rPr>
        <w:t xml:space="preserve">SECTION F: IMPLEMENTATION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3240"/>
        <w:gridCol w:w="960"/>
        <w:gridCol w:w="960"/>
        <w:gridCol w:w="3840"/>
      </w:tblGrid>
      <w:tr>
        <w:tc>
          <w:tcPr>
            <w:tcW w:type="dxa" w:w="3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Ref</w:t>
            </w:r>
          </w:p>
        </w:tc>
        <w:tc>
          <w:tcPr>
            <w:tcW w:type="dxa" w:w="32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Document</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Status</w:t>
            </w:r>
          </w:p>
        </w:tc>
        <w:tc>
          <w:tcPr>
            <w:tcW w:type="dxa" w:w="96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Access Level</w:t>
            </w:r>
          </w:p>
        </w:tc>
        <w:tc>
          <w:tcPr>
            <w:tcW w:type="dxa" w:w="38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Notes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F-01</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12-Month Operating Plan — First 365 Days</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This document — executive operating calendar</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F-02</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World Problems Rollout Plan</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Open</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Sector deployment and impact rollout plan</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F-03</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Phase 1 Detailed Implementation Plan (S.E.T.H.S Pilot)</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50-person cohort operational plan</w:t>
            </w:r>
          </w:p>
        </w:tc>
      </w:tr>
      <w:tr>
        <w:tc>
          <w:tcPr>
            <w:tcW w:type="dxa" w:w="3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F-04</w:t>
            </w:r>
          </w:p>
        </w:tc>
        <w:tc>
          <w:tcPr>
            <w:tcW w:type="dxa" w:w="32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Phase 1 Product Roadmap</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AVAILABLE</w:t>
            </w:r>
          </w:p>
        </w:tc>
        <w:tc>
          <w:tcPr>
            <w:tcW w:type="dxa" w:w="96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Technical (NDA)</w:t>
            </w:r>
          </w:p>
        </w:tc>
        <w:tc>
          <w:tcPr>
            <w:tcW w:type="dxa" w:w="38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18-month UDOC development milestones</w:t>
            </w:r>
          </w:p>
        </w:tc>
      </w:tr>
      <w:tr>
        <w:tc>
          <w:tcPr>
            <w:tcW w:type="dxa" w:w="3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F-05</w:t>
            </w:r>
          </w:p>
        </w:tc>
        <w:tc>
          <w:tcPr>
            <w:tcW w:type="dxa" w:w="32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Phase 1 Project Pipeline</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PLANNED — Month 3</w:t>
            </w:r>
          </w:p>
        </w:tc>
        <w:tc>
          <w:tcPr>
            <w:tcW w:type="dxa" w:w="96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Institutional</w:t>
            </w:r>
          </w:p>
        </w:tc>
        <w:tc>
          <w:tcPr>
            <w:tcW w:type="dxa" w:w="38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First 3 T.S project opportunities documented with feasibility data</w:t>
            </w:r>
          </w:p>
        </w:tc>
      </w:tr>
    </w:tbl>
    <w:p>
      <w:pPr>
        <w:spacing w:before="80" w:after="0"/>
      </w:pPr>
    </w:p>
    <w:p>
      <w:pPr>
        <w:spacing w:before="70" w:after="90"/>
        <w:jc w:val="both"/>
      </w:pPr>
      <w:r>
        <w:rPr>
          <w:rFonts w:ascii="Arial" w:cs="Arial" w:eastAsia="Arial" w:hAnsi="Arial"/>
          <w:b w:val="false"/>
          <w:bCs w:val="false"/>
          <w:i/>
          <w:iCs/>
          <w:color w:val="555555"/>
          <w:sz w:val="22"/>
          <w:szCs w:val="22"/>
        </w:rPr>
        <w:t xml:space="preserve">Data Room Index Version 1.0 | March 2026 | Updated: quarterly | Custodian: Legal Counsel + COO | Access Control: CEO sign-off required for Investor (NDA) and Technical (NDA) documents</w:t>
      </w:r>
    </w:p>
    <w:p>
      <w:r>
        <w:br w:type="page"/>
      </w:r>
    </w:p>
    <w:p>
      <w:pPr>
        <w:spacing w:before="0" w:after="40"/>
        <w:jc w:val="center"/>
      </w:pPr>
      <w:r>
        <w:rPr>
          <w:rFonts w:ascii="Arial" w:cs="Arial" w:eastAsia="Arial" w:hAnsi="Arial"/>
          <w:caps/>
          <w:color w:val="C9A84C"/>
          <w:sz w:val="20"/>
          <w:szCs w:val="20"/>
        </w:rPr>
        <w:t xml:space="preserve">G.O.D.S  |  INSTITUTIONAL PACKAGE</w:t>
      </w:r>
    </w:p>
    <w:p>
      <w:pPr>
        <w:pBdr>
          <w:bottom w:val="single" w:color="C9A84C" w:sz="8" w:space="4"/>
        </w:pBdr>
        <w:spacing w:before="100" w:after="100"/>
      </w:pPr>
    </w:p>
    <w:p>
      <w:pPr>
        <w:spacing w:before="80" w:after="0"/>
      </w:pPr>
    </w:p>
    <w:p>
      <w:pPr>
        <w:spacing w:before="0" w:after="30"/>
        <w:jc w:val="center"/>
      </w:pPr>
      <w:r>
        <w:rPr>
          <w:rFonts w:ascii="Arial" w:cs="Arial" w:eastAsia="Arial" w:hAnsi="Arial"/>
          <w:b/>
          <w:bCs/>
          <w:caps/>
          <w:color w:val="F59E0B"/>
          <w:sz w:val="22"/>
          <w:szCs w:val="22"/>
        </w:rPr>
        <w:t xml:space="preserve">Annexure H</w:t>
      </w:r>
    </w:p>
    <w:p>
      <w:pPr>
        <w:spacing w:before="0" w:after="30"/>
        <w:jc w:val="center"/>
      </w:pPr>
      <w:r>
        <w:rPr>
          <w:rFonts w:ascii="Arial" w:cs="Arial" w:eastAsia="Arial" w:hAnsi="Arial"/>
          <w:b/>
          <w:bCs/>
          <w:color w:val="0A1628"/>
          <w:sz w:val="40"/>
          <w:szCs w:val="40"/>
        </w:rPr>
        <w:t xml:space="preserve">ORGANISATIONAL STRUCTURE &amp; GOVERNANCE CHART</w:t>
      </w:r>
    </w:p>
    <w:p>
      <w:pPr>
        <w:spacing w:before="0" w:after="80"/>
        <w:jc w:val="center"/>
      </w:pPr>
      <w:r>
        <w:rPr>
          <w:rFonts w:ascii="Arial" w:cs="Arial" w:eastAsia="Arial" w:hAnsi="Arial"/>
          <w:i/>
          <w:iCs/>
          <w:color w:val="555555"/>
          <w:sz w:val="24"/>
          <w:szCs w:val="24"/>
        </w:rPr>
        <w:t xml:space="preserve">Entity Hierarchy, Reporting Lines, and Evolution from Startup to Scale</w:t>
      </w:r>
    </w:p>
    <w:p>
      <w:pPr>
        <w:pBdr>
          <w:bottom w:val="single" w:color="C9A84C" w:sz="8" w:space="4"/>
        </w:pBdr>
        <w:spacing w:before="100" w:after="100"/>
      </w:pPr>
    </w:p>
    <w:p>
      <w:pPr>
        <w:spacing w:before="80" w:after="0"/>
      </w:pPr>
    </w:p>
    <w:p>
      <w:pPr>
        <w:pStyle w:val="Heading1"/>
        <w:spacing w:before="400" w:after="140"/>
      </w:pPr>
      <w:r>
        <w:rPr>
          <w:rFonts w:ascii="Arial" w:cs="Arial" w:eastAsia="Arial" w:hAnsi="Arial"/>
          <w:b/>
          <w:bCs/>
          <w:color w:val="C9A84C"/>
          <w:sz w:val="32"/>
          <w:szCs w:val="32"/>
        </w:rPr>
        <w:t xml:space="preserve">ENTITY HIERARCHY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440"/>
        <w:gridCol w:w="2640"/>
        <w:gridCol w:w="1920"/>
        <w:gridCol w:w="2720"/>
      </w:tblGrid>
      <w:tr>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Entity</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Type</w:t>
            </w:r>
          </w:p>
        </w:tc>
        <w:tc>
          <w:tcPr>
            <w:tcW w:type="dxa" w:w="26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Role</w:t>
            </w:r>
          </w:p>
        </w:tc>
        <w:tc>
          <w:tcPr>
            <w:tcW w:type="dxa" w:w="19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Reports To</w:t>
            </w:r>
          </w:p>
        </w:tc>
        <w:tc>
          <w:tcPr>
            <w:tcW w:type="dxa" w:w="27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Controls</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 IP Trust</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Trust — Trust Property Control Act 57/1988</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Mission custody. IP protection. Class A constitutional governance.</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Master of the High Court (registration)</w:t>
            </w:r>
          </w:p>
        </w:tc>
        <w:tc>
          <w:tcPr>
            <w:tcW w:type="dxa" w:w="27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Class A shares in G.O.D.S Holdings. IP Schedule. Constitutional mandate.</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 Holdings (Pty) Ltd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Private company — Companies Act 71/2008</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Constitutional parent. 12 Pillar enforcement. COB operates within this entity.</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IP Trust (Class A governance); Shareholders (economic)</w:t>
            </w:r>
          </w:p>
        </w:tc>
        <w:tc>
          <w:tcPr>
            <w:tcW w:type="dxa" w:w="27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TS Holdings. Constitutional Oversight Board mandate.</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Constitutional Oversight Board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Governance body — constituted under Holdings MOI</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Independent oversight. Constitutional compliance. Veto on Pillar matters.</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Holdings (constituting entity); Reports publicly on governance</w:t>
            </w:r>
          </w:p>
        </w:tc>
        <w:tc>
          <w:tcPr>
            <w:tcW w:type="dxa" w:w="27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executive decisions subject to COB review. Pillar veto.</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G.O.D.S TS Holdings (Pty) Ltd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Private company — Companies Act</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Commercial engine. Revenue architecture. Investor capital vehicle.</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Holdings (parent)</w:t>
            </w:r>
          </w:p>
        </w:tc>
        <w:tc>
          <w:tcPr>
            <w:tcW w:type="dxa" w:w="27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UDOC Technologies, TS Industries, M.A.D.I.B.A Capital</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(Pty) Ltd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Private company — Companies Act</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Human capital division. Programme delivery. Workforce reintegration.</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TS Holdings</w:t>
            </w:r>
          </w:p>
        </w:tc>
        <w:tc>
          <w:tcPr>
            <w:tcW w:type="dxa" w:w="27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programme operations. Employer network.</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Technologies (Pty) Ltd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Private company — Companies Act</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Digital governance SaaS. HQ-OS. AI governance platform.</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TS Holdings</w:t>
            </w:r>
          </w:p>
        </w:tc>
        <w:tc>
          <w:tcPr>
            <w:tcW w:type="dxa" w:w="27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 product. HQ-OS infrastructure. Client governance deployments.</w:t>
            </w:r>
          </w:p>
        </w:tc>
      </w:tr>
      <w:tr>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TS Industries (Pty) Ltd</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Private company — Companies Act</w:t>
            </w:r>
          </w:p>
        </w:tc>
        <w:tc>
          <w:tcPr>
            <w:tcW w:type="dxa" w:w="26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Infrastructure production. Solar, farming, water, housing.</w:t>
            </w:r>
          </w:p>
        </w:tc>
        <w:tc>
          <w:tcPr>
            <w:tcW w:type="dxa" w:w="19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TS Holdings</w:t>
            </w:r>
          </w:p>
        </w:tc>
        <w:tc>
          <w:tcPr>
            <w:tcW w:type="dxa" w:w="27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project delivery. SPV co-ownership. O&amp;M operations.</w:t>
            </w:r>
          </w:p>
        </w:tc>
      </w:tr>
      <w:tr>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M.A.D.I.B.A Capital (Pty) Ltd</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Private company — FSP licence required</w:t>
            </w:r>
          </w:p>
        </w:tc>
        <w:tc>
          <w:tcPr>
            <w:tcW w:type="dxa" w:w="26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Capital platform. DFI capital. Sovereign partnerships.</w:t>
            </w:r>
          </w:p>
        </w:tc>
        <w:tc>
          <w:tcPr>
            <w:tcW w:type="dxa" w:w="19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G.O.D.S TS Holdings; FSB/FSCA (regulatory)</w:t>
            </w:r>
          </w:p>
        </w:tc>
        <w:tc>
          <w:tcPr>
            <w:tcW w:type="dxa" w:w="27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M.A.D.I.B.A fund management. SPV co-investor relationships.</w:t>
            </w:r>
          </w:p>
        </w:tc>
      </w:tr>
    </w:tbl>
    <w:p>
      <w:pPr>
        <w:spacing w:before="80" w:after="0"/>
      </w:pPr>
    </w:p>
    <w:p>
      <w:pPr>
        <w:pStyle w:val="Heading1"/>
        <w:spacing w:before="400" w:after="140"/>
      </w:pPr>
      <w:r>
        <w:rPr>
          <w:rFonts w:ascii="Arial" w:cs="Arial" w:eastAsia="Arial" w:hAnsi="Arial"/>
          <w:b/>
          <w:bCs/>
          <w:color w:val="C9A84C"/>
          <w:sz w:val="32"/>
          <w:szCs w:val="32"/>
        </w:rPr>
        <w:t xml:space="preserve">EXECUTIVE REPORTING LINES — STARTUP PHASE (YEAR 1-2)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40"/>
        <w:gridCol w:w="2280"/>
        <w:gridCol w:w="2280"/>
        <w:gridCol w:w="1440"/>
        <w:gridCol w:w="1320"/>
      </w:tblGrid>
      <w:tr>
        <w:tc>
          <w:tcPr>
            <w:tcW w:type="dxa" w:w="20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Role</w:t>
            </w:r>
          </w:p>
        </w:tc>
        <w:tc>
          <w:tcPr>
            <w:tcW w:type="dxa" w:w="22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Reports To</w:t>
            </w:r>
          </w:p>
        </w:tc>
        <w:tc>
          <w:tcPr>
            <w:tcW w:type="dxa" w:w="22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Manages</w:t>
            </w:r>
          </w:p>
        </w:tc>
        <w:tc>
          <w:tcPr>
            <w:tcW w:type="dxa" w:w="144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Division</w:t>
            </w:r>
          </w:p>
        </w:tc>
        <w:tc>
          <w:tcPr>
            <w:tcW w:type="dxa" w:w="132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Phase 1 Priority</w:t>
            </w:r>
          </w:p>
        </w:tc>
      </w:tr>
      <w:tr>
        <w:tc>
          <w:tcPr>
            <w:tcW w:type="dxa" w:w="2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Founder / CEO</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IP Trust + COB (constitutional); Board (commercial)</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CFO, Division Heads</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Group</w:t>
            </w:r>
          </w:p>
        </w:tc>
        <w:tc>
          <w:tcPr>
            <w:tcW w:type="dxa" w:w="1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P0 — Founder; existing</w:t>
            </w:r>
          </w:p>
        </w:tc>
      </w:tr>
      <w:tr>
        <w:tc>
          <w:tcPr>
            <w:tcW w:type="dxa" w:w="2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Chief Operating Officer</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CEO</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All Division Operations, HR, Admin</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Group</w:t>
            </w:r>
          </w:p>
        </w:tc>
        <w:tc>
          <w:tcPr>
            <w:tcW w:type="dxa" w:w="13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P1 — hire Month 1</w:t>
            </w:r>
          </w:p>
        </w:tc>
      </w:tr>
      <w:tr>
        <w:tc>
          <w:tcPr>
            <w:tcW w:type="dxa" w:w="2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Chief Financial Officer</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CEO + COB (financial oversight)</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Finance, Reporting, Compliance</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Group</w:t>
            </w:r>
          </w:p>
        </w:tc>
        <w:tc>
          <w:tcPr>
            <w:tcW w:type="dxa" w:w="1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P1 — hire Month 2</w:t>
            </w:r>
          </w:p>
        </w:tc>
      </w:tr>
      <w:tr>
        <w:tc>
          <w:tcPr>
            <w:tcW w:type="dxa" w:w="2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Legal Counsel / Company Secretary</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CEO + COB</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Legal, IP, Contracts, Governance</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Group</w:t>
            </w:r>
          </w:p>
        </w:tc>
        <w:tc>
          <w:tcPr>
            <w:tcW w:type="dxa" w:w="13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P1 — engage Month 1</w:t>
            </w:r>
          </w:p>
        </w:tc>
      </w:tr>
      <w:tr>
        <w:tc>
          <w:tcPr>
            <w:tcW w:type="dxa" w:w="2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Programme Head</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 team (8 FTE)</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S.E.T.H.S</w:t>
            </w:r>
          </w:p>
        </w:tc>
        <w:tc>
          <w:tcPr>
            <w:tcW w:type="dxa" w:w="1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P1 — hire Month 2</w:t>
            </w:r>
          </w:p>
        </w:tc>
      </w:tr>
      <w:tr>
        <w:tc>
          <w:tcPr>
            <w:tcW w:type="dxa" w:w="2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Engineering Lead</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 + CTO (future)</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Engineering team (4 FTE Phase 1)</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UDOC</w:t>
            </w:r>
          </w:p>
        </w:tc>
        <w:tc>
          <w:tcPr>
            <w:tcW w:type="dxa" w:w="13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P1 — hire Month 2</w:t>
            </w:r>
          </w:p>
        </w:tc>
      </w:tr>
      <w:tr>
        <w:tc>
          <w:tcPr>
            <w:tcW w:type="dxa" w:w="20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T.S Project Director</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COO</w:t>
            </w:r>
          </w:p>
        </w:tc>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 project team (Phase 2 hire)</w:t>
            </w:r>
          </w:p>
        </w:tc>
        <w:tc>
          <w:tcPr>
            <w:tcW w:type="dxa" w:w="144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T.S</w:t>
            </w:r>
          </w:p>
        </w:tc>
        <w:tc>
          <w:tcPr>
            <w:tcW w:type="dxa" w:w="132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P2 — hire Month 8-10</w:t>
            </w:r>
          </w:p>
        </w:tc>
      </w:tr>
      <w:tr>
        <w:tc>
          <w:tcPr>
            <w:tcW w:type="dxa" w:w="20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M.A.D.I.B.A Capital Director</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CEO + COB</w:t>
            </w:r>
          </w:p>
        </w:tc>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M.A.D.I.B.A team (Phase 3 hire)</w:t>
            </w:r>
          </w:p>
        </w:tc>
        <w:tc>
          <w:tcPr>
            <w:tcW w:type="dxa" w:w="144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M.A.D.I.B.A</w:t>
            </w:r>
          </w:p>
        </w:tc>
        <w:tc>
          <w:tcPr>
            <w:tcW w:type="dxa" w:w="132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P3 — hire Month 18+</w:t>
            </w:r>
          </w:p>
        </w:tc>
      </w:tr>
    </w:tbl>
    <w:p>
      <w:pPr>
        <w:spacing w:before="80" w:after="0"/>
      </w:pPr>
    </w:p>
    <w:p>
      <w:pPr>
        <w:pStyle w:val="Heading1"/>
        <w:spacing w:before="400" w:after="140"/>
      </w:pPr>
      <w:r>
        <w:rPr>
          <w:rFonts w:ascii="Arial" w:cs="Arial" w:eastAsia="Arial" w:hAnsi="Arial"/>
          <w:b/>
          <w:bCs/>
          <w:color w:val="C9A84C"/>
          <w:sz w:val="32"/>
          <w:szCs w:val="32"/>
        </w:rPr>
        <w:t xml:space="preserve">HEADCOUNT EVOLUTION — STARTUP TO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80"/>
        <w:gridCol w:w="1180"/>
        <w:gridCol w:w="1180"/>
        <w:gridCol w:w="1180"/>
        <w:gridCol w:w="1180"/>
        <w:gridCol w:w="1180"/>
      </w:tblGrid>
      <w:tr>
        <w:tc>
          <w:tcPr>
            <w:tcW w:type="dxa" w:w="22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Function</w:t>
            </w:r>
          </w:p>
        </w:tc>
        <w:tc>
          <w:tcPr>
            <w:tcW w:type="dxa" w:w="11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1</w:t>
            </w:r>
          </w:p>
        </w:tc>
        <w:tc>
          <w:tcPr>
            <w:tcW w:type="dxa" w:w="11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2</w:t>
            </w:r>
          </w:p>
        </w:tc>
        <w:tc>
          <w:tcPr>
            <w:tcW w:type="dxa" w:w="11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3</w:t>
            </w:r>
          </w:p>
        </w:tc>
        <w:tc>
          <w:tcPr>
            <w:tcW w:type="dxa" w:w="11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5</w:t>
            </w:r>
          </w:p>
        </w:tc>
        <w:tc>
          <w:tcPr>
            <w:tcW w:type="dxa" w:w="1180"/>
            <w:tcBorders>
              <w:top w:val="single" w:color="DDDDDD" w:sz="1"/>
              <w:left w:val="single" w:color="DDDDDD" w:sz="1"/>
              <w:bottom w:val="single" w:color="DDDDDD" w:sz="1"/>
              <w:right w:val="single" w:color="DDDDDD" w:sz="1"/>
            </w:tcBorders>
            <w:shd w:fill="0A1628" w:val="clear"/>
            <w:tcMar>
              <w:top w:type="dxa" w:w="70"/>
              <w:left w:type="dxa" w:w="140"/>
              <w:bottom w:type="dxa" w:w="70"/>
              <w:right w:type="dxa" w:w="100"/>
            </w:tcMar>
          </w:tcPr>
          <w:p>
            <w:pPr>
              <w:spacing w:before="30" w:after="30"/>
            </w:pPr>
            <w:r>
              <w:rPr>
                <w:rFonts w:ascii="Arial" w:cs="Arial" w:eastAsia="Arial" w:hAnsi="Arial"/>
                <w:b/>
                <w:bCs/>
                <w:color w:val="FFFFFF"/>
                <w:sz w:val="20"/>
                <w:szCs w:val="20"/>
              </w:rPr>
              <w:t xml:space="preserve">Year 10</w:t>
            </w:r>
          </w:p>
        </w:tc>
      </w:tr>
      <w:tr>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Group Executive (CEO, COO, CFO, Legal, CTO)</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6</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7</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9</w:t>
            </w:r>
          </w:p>
        </w:tc>
      </w:tr>
      <w:tr>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S.E.T.H.S (Programme + AI Literacy)</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25</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60</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160</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450</w:t>
            </w:r>
          </w:p>
        </w:tc>
      </w:tr>
      <w:tr>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UDOC (Engineering + Product + Client Success)</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12</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28</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75</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220</w:t>
            </w:r>
          </w:p>
        </w:tc>
      </w:tr>
      <w:tr>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T.S (Project + Engineering + O&amp;M)</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0</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15</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45</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120</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380</w:t>
            </w:r>
          </w:p>
        </w:tc>
      </w:tr>
      <w:tr>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M.A.D.I.B.A (Capital + Advisory)</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0</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8</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20</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55</w:t>
            </w:r>
          </w:p>
        </w:tc>
      </w:tr>
      <w:tr>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Group Support (HR, Finance, Legal, Admin)</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10</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20</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40</w:t>
            </w:r>
          </w:p>
        </w:tc>
      </w:tr>
      <w:tr>
        <w:tc>
          <w:tcPr>
            <w:tcW w:type="dxa" w:w="22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Constitutional Oversight Board (non-exec)</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3</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5</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7</w:t>
            </w:r>
          </w:p>
        </w:tc>
        <w:tc>
          <w:tcPr>
            <w:tcW w:type="dxa" w:w="1180"/>
            <w:tcBorders>
              <w:top w:val="single" w:color="DDDDDD" w:sz="1"/>
              <w:left w:val="single" w:color="DDDDDD" w:sz="1"/>
              <w:bottom w:val="single" w:color="DDDDDD" w:sz="1"/>
              <w:right w:val="single" w:color="DDDDDD" w:sz="1"/>
            </w:tcBorders>
            <w:shd w:fill="FFFFFF"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9</w:t>
            </w:r>
          </w:p>
        </w:tc>
      </w:tr>
      <w:tr>
        <w:tc>
          <w:tcPr>
            <w:tcW w:type="dxa" w:w="22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bCs/>
                <w:color w:val="1A3A5C"/>
                <w:sz w:val="20"/>
                <w:szCs w:val="20"/>
              </w:rPr>
              <w:t xml:space="preserve">TOTAL HEADCOUNT</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18</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65</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157</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402</w:t>
            </w:r>
          </w:p>
        </w:tc>
        <w:tc>
          <w:tcPr>
            <w:tcW w:type="dxa" w:w="1180"/>
            <w:tcBorders>
              <w:top w:val="single" w:color="DDDDDD" w:sz="1"/>
              <w:left w:val="single" w:color="DDDDDD" w:sz="1"/>
              <w:bottom w:val="single" w:color="DDDDDD" w:sz="1"/>
              <w:right w:val="single" w:color="DDDDDD" w:sz="1"/>
            </w:tcBorders>
            <w:shd w:fill="E8F4FD" w:val="clear"/>
            <w:tcMar>
              <w:top w:type="dxa" w:w="70"/>
              <w:left w:type="dxa" w:w="140"/>
              <w:bottom w:type="dxa" w:w="70"/>
              <w:right w:type="dxa" w:w="100"/>
            </w:tcMar>
          </w:tcPr>
          <w:p>
            <w:pPr>
              <w:spacing w:before="30" w:after="30"/>
            </w:pPr>
            <w:r>
              <w:rPr>
                <w:rFonts w:ascii="Arial" w:cs="Arial" w:eastAsia="Arial" w:hAnsi="Arial"/>
                <w:b w:val="false"/>
                <w:bCs w:val="false"/>
                <w:color w:val="0D0D0D"/>
                <w:sz w:val="20"/>
                <w:szCs w:val="20"/>
              </w:rPr>
              <w:t xml:space="preserve">1,163</w:t>
            </w:r>
          </w:p>
        </w:tc>
      </w:tr>
    </w:tbl>
    <w:p>
      <w:r>
        <w:br w:type="page"/>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2" w:space="4"/>
      </w:pBdr>
      <w:tabs>
        <w:tab w:val="right" w:pos="9360"/>
      </w:tabs>
      <w:spacing w:before="0" w:after="0"/>
    </w:pPr>
    <w:r>
      <w:rPr>
        <w:rFonts w:ascii="Arial" w:cs="Arial" w:eastAsia="Arial" w:hAnsi="Arial"/>
        <w:color w:val="AAAAAA"/>
        <w:sz w:val="16"/>
        <w:szCs w:val="16"/>
      </w:rPr>
      <w:t xml:space="preserve">G.O.D.S Holdings (Pty) Ltd  |  info@gods.systems</w:t>
    </w:r>
    <w:r>
      <w:rPr>
        <w:rFonts w:ascii="Arial" w:cs="Arial" w:eastAsia="Arial" w:hAnsi="Arial"/>
        <w:sz w:val="16"/>
        <w:szCs w:val="16"/>
      </w:rPr>
      <w:t xml:space="preserve">	</w:t>
    </w:r>
    <w:r>
      <w:rPr>
        <w:rFonts w:ascii="Arial" w:cs="Arial" w:eastAsia="Arial" w:hAnsi="Arial"/>
        <w:i/>
        <w:iCs/>
        <w:color w:val="C9A84C"/>
        <w:sz w:val="16"/>
        <w:szCs w:val="16"/>
      </w:rPr>
      <w:t xml:space="preserve">www.gods.systems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4"/>
      </w:pBdr>
      <w:tabs>
        <w:tab w:val="right" w:pos="9360"/>
      </w:tabs>
      <w:spacing w:before="0" w:after="0"/>
    </w:pPr>
    <w:r>
      <w:rPr>
        <w:rFonts w:ascii="Arial" w:cs="Arial" w:eastAsia="Arial" w:hAnsi="Arial"/>
        <w:color w:val="AAAAAA"/>
        <w:sz w:val="16"/>
        <w:szCs w:val="16"/>
      </w:rPr>
      <w:t xml:space="preserve">G.O.D.S  |  Complete Institutional Package — All Annexures  |  March 2026</w:t>
    </w:r>
    <w:r>
      <w:rPr>
        <w:rFonts w:ascii="Arial" w:cs="Arial" w:eastAsia="Arial" w:hAnsi="Arial"/>
        <w:sz w:val="16"/>
        <w:szCs w:val="16"/>
      </w:rPr>
      <w:t xml:space="preserve">	</w:t>
    </w:r>
    <w:r>
      <w:rPr>
        <w:rFonts w:ascii="Arial" w:cs="Arial" w:eastAsia="Arial" w:hAnsi="Arial"/>
        <w:b/>
        <w:bCs/>
        <w:color w:val="F59E0B"/>
        <w:sz w:val="16"/>
        <w:szCs w:val="16"/>
      </w:rPr>
      <w:t xml:space="preserve">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D0D0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140"/>
      <w:outlineLvl w:val="0"/>
    </w:pPr>
    <w:rPr>
      <w:rFonts w:ascii="Arial" w:cs="Arial" w:eastAsia="Arial" w:hAnsi="Arial"/>
      <w:b/>
      <w:bCs/>
      <w:color w:val="C9A84C"/>
      <w:sz w:val="32"/>
      <w:szCs w:val="32"/>
    </w:rPr>
  </w:style>
  <w:style w:type="paragraph" w:styleId="Heading2">
    <w:name w:val="Heading 2"/>
    <w:basedOn w:val="Normal"/>
    <w:next w:val="Normal"/>
    <w:qFormat/>
    <w:pPr>
      <w:spacing w:before="280" w:after="100"/>
      <w:outlineLvl w:val="1"/>
    </w:pPr>
    <w:rPr>
      <w:rFonts w:ascii="Arial" w:cs="Arial" w:eastAsia="Arial" w:hAnsi="Arial"/>
      <w:b/>
      <w:bCs/>
      <w:color w:val="1A3A5C"/>
      <w:sz w:val="26"/>
      <w:szCs w:val="26"/>
    </w:rPr>
  </w:style>
  <w:style w:type="paragraph" w:styleId="Heading3">
    <w:name w:val="Heading 3"/>
    <w:basedOn w:val="Normal"/>
    <w:next w:val="Normal"/>
    <w:qFormat/>
    <w:pPr>
      <w:spacing w:before="180" w:after="70"/>
      <w:outlineLvl w:val="2"/>
    </w:pPr>
    <w:rPr>
      <w:rFonts w:ascii="Arial" w:cs="Arial" w:eastAsia="Arial" w:hAnsi="Arial"/>
      <w:b/>
      <w:bCs/>
      <w:color w:val="0D0D0D"/>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2026-03-12T12:15:21.237Z</dcterms:created>
  <dcterms:modified xsi:type="dcterms:W3CDTF">2026-03-12T12:15:21.238Z</dcterms:modified>
</cp:coreProperties>
</file>

<file path=docProps/custom.xml><?xml version="1.0" encoding="utf-8"?>
<Properties xmlns="http://schemas.openxmlformats.org/officeDocument/2006/custom-properties" xmlns:vt="http://schemas.openxmlformats.org/officeDocument/2006/docPropsVTypes"/>
</file>