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before="0"/>
      </w:pPr>
    </w:p>
    <w:p>
      <w:pPr>
        <w:spacing w:after="80" w:before="0"/>
        <w:jc w:val="center"/>
      </w:pPr>
      <w:r>
        <w:rPr>
          <w:rFonts w:ascii="Arial" w:cs="Arial" w:eastAsia="Arial" w:hAnsi="Arial"/>
          <w:b/>
          <w:bCs/>
          <w:color w:val="C9A84C"/>
          <w:sz w:val="100"/>
          <w:szCs w:val="100"/>
        </w:rPr>
        <w:t xml:space="preserve">G   .   O   .   D   .   S</w:t>
      </w:r>
    </w:p>
    <w:p>
      <w:pPr>
        <w:spacing w:after="200" w:before="0"/>
        <w:jc w:val="center"/>
      </w:pPr>
      <w:r>
        <w:rPr>
          <w:rFonts w:ascii="Arial" w:cs="Arial" w:eastAsia="Arial" w:hAnsi="Arial"/>
          <w:b w:val="false"/>
          <w:bCs w:val="false"/>
          <w:caps w:val="false"/>
          <w:color w:val="8A8A9A"/>
          <w:sz w:val="26"/>
          <w:szCs w:val="26"/>
        </w:rPr>
        <w:t xml:space="preserve">GOOD ORDERLY DIRECTIONAL SYSTEMS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6"/>
              <w:left w:val="none" w:color="auto" w:sz="0"/>
              <w:bottom w:val="single" w:color="C9A84C" w:sz="6"/>
              <w:right w:val="none" w:color="auto" w:sz="0"/>
            </w:tcBorders>
            <w:shd w:fill="0C1A2E" w:val="clear"/>
            <w:tcMar>
              <w:top w:type="dxa" w:w="240"/>
              <w:left w:type="dxa" w:w="480"/>
              <w:bottom w:type="dxa" w:w="240"/>
              <w:right w:type="dxa" w:w="480"/>
            </w:tcMar>
          </w:tcPr>
          <w:p>
            <w:pPr>
              <w:spacing w:after="60" w:before="0"/>
              <w:jc w:val="center"/>
            </w:pPr>
            <w:r>
              <w:rPr>
                <w:rFonts w:ascii="Arial" w:cs="Arial" w:eastAsia="Arial" w:hAnsi="Arial"/>
                <w:b/>
                <w:bCs/>
                <w:color w:val="F5F0E8"/>
                <w:sz w:val="44"/>
                <w:szCs w:val="44"/>
              </w:rPr>
              <w:t xml:space="preserve">COMPREHENSIVE BUSINESS PLAN</w:t>
            </w:r>
          </w:p>
          <w:p>
            <w:pPr>
              <w:spacing w:after="0" w:before="0"/>
              <w:jc w:val="center"/>
            </w:pPr>
            <w:r>
              <w:rPr>
                <w:rFonts w:ascii="Arial" w:cs="Arial" w:eastAsia="Arial" w:hAnsi="Arial"/>
                <w:color w:val="C9A84C"/>
                <w:sz w:val="24"/>
                <w:szCs w:val="24"/>
              </w:rPr>
              <w:t xml:space="preserve">Institutional Edition  |  March 2026</w:t>
            </w:r>
          </w:p>
        </w:tc>
      </w:tr>
    </w:tbl>
    <w:p>
      <w:pPr>
        <w:spacing w:after="400" w:before="0"/>
      </w:pPr>
    </w:p>
    <w:p>
      <w:pPr>
        <w:spacing w:after="80" w:before="0"/>
        <w:jc w:val="center"/>
      </w:pPr>
      <w:r>
        <w:rPr>
          <w:rFonts w:ascii="Arial" w:cs="Arial" w:eastAsia="Arial" w:hAnsi="Arial"/>
          <w:color w:val="C9A84C"/>
          <w:sz w:val="28"/>
          <w:szCs w:val="28"/>
        </w:rPr>
        <w:t xml:space="preserve">"</w:t>
      </w:r>
      <w:r>
        <w:rPr>
          <w:rFonts w:ascii="Arial" w:cs="Arial" w:eastAsia="Arial" w:hAnsi="Arial"/>
          <w:i/>
          <w:iCs/>
          <w:color w:val="F5F0E8"/>
          <w:sz w:val="28"/>
          <w:szCs w:val="28"/>
        </w:rPr>
        <w:t xml:space="preserve">Built for generations — not quarters.</w:t>
      </w:r>
      <w:r>
        <w:rPr>
          <w:rFonts w:ascii="Arial" w:cs="Arial" w:eastAsia="Arial" w:hAnsi="Arial"/>
          <w:color w:val="C9A84C"/>
          <w:sz w:val="28"/>
          <w:szCs w:val="28"/>
        </w:rPr>
        <w:t xml:space="preserve">"</w:t>
      </w:r>
    </w:p>
    <w:p>
      <w:pPr>
        <w:spacing w:after="20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9A84C" w:sz="2"/>
              <w:left w:val="none" w:color="auto" w:sz="0"/>
              <w:bottom w:val="single" w:color="C9A84C" w:sz="2"/>
              <w:right w:val="none" w:color="auto" w:sz="0"/>
            </w:tcBorders>
            <w:shd w:fill="0C1A2E" w:val="clear"/>
            <w:tcMar>
              <w:top w:type="dxa" w:w="120"/>
              <w:left w:type="dxa" w:w="160"/>
              <w:bottom w:type="dxa" w:w="120"/>
              <w:right w:type="dxa" w:w="160"/>
            </w:tcMar>
          </w:tcPr>
          <w:p>
            <w:pPr>
              <w:spacing w:after="40" w:before="0"/>
            </w:pPr>
            <w:r>
              <w:rPr>
                <w:rFonts w:ascii="Arial" w:cs="Arial" w:eastAsia="Arial" w:hAnsi="Arial"/>
                <w:b/>
                <w:bCs/>
                <w:color w:val="C9A84C"/>
                <w:sz w:val="52"/>
                <w:szCs w:val="52"/>
              </w:rPr>
              <w:t xml:space="preserve">4</w:t>
            </w:r>
          </w:p>
          <w:p>
            <w:pPr>
              <w:spacing w:after="0" w:before="0"/>
            </w:pPr>
            <w:r>
              <w:rPr>
                <w:rFonts w:ascii="Arial" w:cs="Arial" w:eastAsia="Arial" w:hAnsi="Arial"/>
                <w:caps w:val="false"/>
                <w:color w:val="8A8A9A"/>
                <w:sz w:val="16"/>
                <w:szCs w:val="16"/>
              </w:rPr>
              <w:t xml:space="preserve">INTEGRATED DIVISIONS</w:t>
            </w:r>
          </w:p>
        </w:tc>
        <w:tc>
          <w:tcPr>
            <w:tcW w:type="dxa" w:w="2340"/>
            <w:tcBorders>
              <w:top w:val="single" w:color="C9A84C" w:sz="2"/>
              <w:left w:val="none" w:color="auto" w:sz="0"/>
              <w:bottom w:val="single" w:color="C9A84C" w:sz="2"/>
              <w:right w:val="none" w:color="auto" w:sz="0"/>
            </w:tcBorders>
            <w:shd w:fill="0C1A2E" w:val="clear"/>
            <w:tcMar>
              <w:top w:type="dxa" w:w="120"/>
              <w:left w:type="dxa" w:w="160"/>
              <w:bottom w:type="dxa" w:w="120"/>
              <w:right w:type="dxa" w:w="160"/>
            </w:tcMar>
          </w:tcPr>
          <w:p>
            <w:pPr>
              <w:spacing w:after="40" w:before="0"/>
            </w:pPr>
            <w:r>
              <w:rPr>
                <w:rFonts w:ascii="Arial" w:cs="Arial" w:eastAsia="Arial" w:hAnsi="Arial"/>
                <w:b/>
                <w:bCs/>
                <w:color w:val="C9A84C"/>
                <w:sz w:val="52"/>
                <w:szCs w:val="52"/>
              </w:rPr>
              <w:t xml:space="preserve">12</w:t>
            </w:r>
          </w:p>
          <w:p>
            <w:pPr>
              <w:spacing w:after="0" w:before="0"/>
            </w:pPr>
            <w:r>
              <w:rPr>
                <w:rFonts w:ascii="Arial" w:cs="Arial" w:eastAsia="Arial" w:hAnsi="Arial"/>
                <w:caps w:val="false"/>
                <w:color w:val="8A8A9A"/>
                <w:sz w:val="16"/>
                <w:szCs w:val="16"/>
              </w:rPr>
              <w:t xml:space="preserve">CONSTITUTIONAL PILLARS</w:t>
            </w:r>
          </w:p>
        </w:tc>
        <w:tc>
          <w:tcPr>
            <w:tcW w:type="dxa" w:w="2340"/>
            <w:tcBorders>
              <w:top w:val="single" w:color="C9A84C" w:sz="2"/>
              <w:left w:val="none" w:color="auto" w:sz="0"/>
              <w:bottom w:val="single" w:color="C9A84C" w:sz="2"/>
              <w:right w:val="none" w:color="auto" w:sz="0"/>
            </w:tcBorders>
            <w:shd w:fill="0C1A2E" w:val="clear"/>
            <w:tcMar>
              <w:top w:type="dxa" w:w="120"/>
              <w:left w:type="dxa" w:w="160"/>
              <w:bottom w:type="dxa" w:w="120"/>
              <w:right w:type="dxa" w:w="160"/>
            </w:tcMar>
          </w:tcPr>
          <w:p>
            <w:pPr>
              <w:spacing w:after="40" w:before="0"/>
            </w:pPr>
            <w:r>
              <w:rPr>
                <w:rFonts w:ascii="Arial" w:cs="Arial" w:eastAsia="Arial" w:hAnsi="Arial"/>
                <w:b/>
                <w:bCs/>
                <w:color w:val="C9A84C"/>
                <w:sz w:val="52"/>
                <w:szCs w:val="52"/>
              </w:rPr>
              <w:t xml:space="preserve">250</w:t>
            </w:r>
          </w:p>
          <w:p>
            <w:pPr>
              <w:spacing w:after="0" w:before="0"/>
            </w:pPr>
            <w:r>
              <w:rPr>
                <w:rFonts w:ascii="Arial" w:cs="Arial" w:eastAsia="Arial" w:hAnsi="Arial"/>
                <w:caps w:val="false"/>
                <w:color w:val="8A8A9A"/>
                <w:sz w:val="16"/>
                <w:szCs w:val="16"/>
              </w:rPr>
              <w:t xml:space="preserve">YEAR MANDATE</w:t>
            </w:r>
          </w:p>
        </w:tc>
        <w:tc>
          <w:tcPr>
            <w:tcW w:type="dxa" w:w="2340"/>
            <w:tcBorders>
              <w:top w:val="single" w:color="C9A84C" w:sz="2"/>
              <w:left w:val="none" w:color="auto" w:sz="0"/>
              <w:bottom w:val="single" w:color="C9A84C" w:sz="2"/>
              <w:right w:val="none" w:color="auto" w:sz="0"/>
            </w:tcBorders>
            <w:shd w:fill="0C1A2E" w:val="clear"/>
            <w:tcMar>
              <w:top w:type="dxa" w:w="120"/>
              <w:left w:type="dxa" w:w="160"/>
              <w:bottom w:type="dxa" w:w="120"/>
              <w:right w:type="dxa" w:w="160"/>
            </w:tcMar>
          </w:tcPr>
          <w:p>
            <w:pPr>
              <w:spacing w:after="40" w:before="0"/>
            </w:pPr>
            <w:r>
              <w:rPr>
                <w:rFonts w:ascii="Arial" w:cs="Arial" w:eastAsia="Arial" w:hAnsi="Arial"/>
                <w:b/>
                <w:bCs/>
                <w:color w:val="C9A84C"/>
                <w:sz w:val="52"/>
                <w:szCs w:val="52"/>
              </w:rPr>
              <w:t xml:space="preserve">ZA</w:t>
            </w:r>
          </w:p>
          <w:p>
            <w:pPr>
              <w:spacing w:after="0" w:before="0"/>
            </w:pPr>
            <w:r>
              <w:rPr>
                <w:rFonts w:ascii="Arial" w:cs="Arial" w:eastAsia="Arial" w:hAnsi="Arial"/>
                <w:caps w:val="false"/>
                <w:color w:val="8A8A9A"/>
                <w:sz w:val="16"/>
                <w:szCs w:val="16"/>
              </w:rPr>
              <w:t xml:space="preserve">PROOF-OF-CONCEPT MARKET</w:t>
            </w:r>
          </w:p>
        </w:tc>
      </w:tr>
    </w:tbl>
    <w:p>
      <w:pPr>
        <w:spacing w:after="400" w:before="0"/>
      </w:pPr>
    </w:p>
    <w:p>
      <w:pPr>
        <w:pBdr>
          <w:bottom w:val="single" w:color="C9A84C" w:sz="12" w:space="1"/>
        </w:pBdr>
        <w:spacing w:after="120" w:before="120"/>
      </w:pPr>
    </w:p>
    <w:p>
      <w:pPr>
        <w:spacing w:after="160" w:before="0"/>
      </w:pPr>
    </w:p>
    <w:p>
      <w:pPr>
        <w:spacing w:after="40" w:before="0"/>
        <w:jc w:val="center"/>
      </w:pPr>
      <w:r>
        <w:rPr>
          <w:rFonts w:ascii="Arial" w:cs="Arial" w:eastAsia="Arial" w:hAnsi="Arial"/>
          <w:b/>
          <w:bCs/>
          <w:color w:val="F5F0E8"/>
          <w:sz w:val="22"/>
          <w:szCs w:val="22"/>
        </w:rPr>
        <w:t xml:space="preserve">Sashin J. Singh  |  Founder &amp; Systems Architect</w:t>
      </w:r>
    </w:p>
    <w:p>
      <w:pPr>
        <w:spacing w:after="40" w:before="0"/>
        <w:jc w:val="center"/>
      </w:pPr>
      <w:r>
        <w:rPr>
          <w:rFonts w:ascii="Arial" w:cs="Arial" w:eastAsia="Arial" w:hAnsi="Arial"/>
          <w:color w:val="8A8A9A"/>
          <w:sz w:val="20"/>
          <w:szCs w:val="20"/>
        </w:rPr>
        <w:t xml:space="preserve">G.O.D.S Holdings (Pty) Ltd  |  Johannesburg, South Africa</w:t>
      </w:r>
    </w:p>
    <w:p>
      <w:pPr>
        <w:spacing w:after="40" w:before="0"/>
        <w:jc w:val="center"/>
      </w:pPr>
      <w:r>
        <w:rPr>
          <w:rFonts w:ascii="Arial" w:cs="Arial" w:eastAsia="Arial" w:hAnsi="Arial"/>
          <w:color w:val="C9A84C"/>
          <w:sz w:val="20"/>
          <w:szCs w:val="20"/>
        </w:rPr>
        <w:t xml:space="preserve">info@gods.systems  |  www.gods.systems</w:t>
      </w:r>
    </w:p>
    <w:p>
      <w:pPr>
        <w:spacing w:after="160" w:before="0"/>
      </w:pPr>
    </w:p>
    <w:p>
      <w:pPr>
        <w:spacing w:after="0" w:before="0"/>
        <w:jc w:val="center"/>
      </w:pPr>
      <w:r>
        <w:rPr>
          <w:rFonts w:ascii="Arial" w:cs="Arial" w:eastAsia="Arial" w:hAnsi="Arial"/>
          <w:b/>
          <w:bCs/>
          <w:color w:val="8A8A9A"/>
          <w:sz w:val="18"/>
          <w:szCs w:val="18"/>
        </w:rPr>
        <w:t xml:space="preserve">CLASSIFICATION: CONFIDENTIAL — INSTITUTIONAL &amp; SOVEREIGN DISTRIBUTION ONLY</w:t>
      </w:r>
    </w:p>
    <w:p>
      <w:r>
        <w:br w:type="page"/>
      </w:r>
    </w:p>
    <w:p>
      <w:pPr>
        <w:pStyle w:val="Heading1"/>
        <w:pBdr>
          <w:bottom w:val="single" w:color="C9A84C" w:sz="8" w:space="4"/>
        </w:pBdr>
        <w:spacing w:after="200" w:before="360"/>
      </w:pPr>
      <w:r>
        <w:rPr>
          <w:rFonts w:ascii="Arial" w:cs="Arial" w:eastAsia="Arial" w:hAnsi="Arial"/>
          <w:b/>
          <w:bCs/>
          <w:caps w:val="false"/>
          <w:color w:val="C9A84C"/>
          <w:sz w:val="44"/>
          <w:szCs w:val="44"/>
        </w:rPr>
        <w:t xml:space="preserve">01  |  EXECUTIVE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auto" w:sz="0"/>
              <w:left w:val="single" w:color="C9A84C" w:sz="6"/>
              <w:bottom w:val="none" w:color="auto" w:sz="0"/>
              <w:right w:val="none" w:color="auto" w:sz="0"/>
            </w:tcBorders>
            <w:shd w:fill="0C1A2E" w:val="clear"/>
            <w:tcMar>
              <w:top w:type="dxa" w:w="140"/>
              <w:left w:type="dxa" w:w="200"/>
              <w:bottom w:type="dxa" w:w="140"/>
              <w:right w:type="dxa" w:w="200"/>
            </w:tcMar>
          </w:tcPr>
          <w:p>
            <w:pPr>
              <w:spacing w:after="0" w:before="0"/>
            </w:pPr>
            <w:r>
              <w:rPr>
                <w:rFonts w:ascii="Arial" w:cs="Arial" w:eastAsia="Arial" w:hAnsi="Arial"/>
                <w:i/>
                <w:iCs/>
                <w:color w:val="F5F0E8"/>
                <w:sz w:val="24"/>
                <w:szCs w:val="24"/>
              </w:rPr>
              <w:t xml:space="preserve">G.O.D.S is not a technology company. It is the integration architecture that makes technology governable — and the compounding system that converts excluded human capital, sovereign infrastructure, and AI governance into permanent, generational value.</w:t>
            </w:r>
          </w:p>
        </w:tc>
      </w:tr>
    </w:tbl>
    <w:p>
      <w:pPr>
        <w:spacing w:after="160" w:before="0"/>
      </w:pPr>
    </w:p>
    <w:p>
      <w:pPr>
        <w:pStyle w:val="Heading2"/>
        <w:spacing w:after="140" w:before="280"/>
      </w:pPr>
      <w:r>
        <w:rPr>
          <w:rFonts w:ascii="Arial" w:cs="Arial" w:eastAsia="Arial" w:hAnsi="Arial"/>
          <w:b/>
          <w:bCs/>
          <w:color w:val="F5F0E8"/>
          <w:sz w:val="32"/>
          <w:szCs w:val="32"/>
        </w:rPr>
        <w:t xml:space="preserve">Company Overview</w:t>
      </w:r>
    </w:p>
    <w:p>
      <w:pPr>
        <w:spacing w:after="140" w:before="0"/>
        <w:jc w:val="left"/>
      </w:pPr>
      <w:r>
        <w:rPr>
          <w:rFonts w:ascii="Arial" w:cs="Arial" w:eastAsia="Arial" w:hAnsi="Arial"/>
          <w:b w:val="false"/>
          <w:bCs w:val="false"/>
          <w:i w:val="false"/>
          <w:iCs w:val="false"/>
          <w:caps w:val="false"/>
          <w:color w:val="D4CEBC"/>
          <w:sz w:val="22"/>
          <w:szCs w:val="22"/>
        </w:rPr>
        <w:t xml:space="preserve">G.O.D.S (Good Orderly Directional Systems) is a South African-headquartered global systems company purpose-built to address the structural gap between exponential technological advancement and the human systems required to absorb, govern, and benefit from that advancement. It is not a technology company. It is an integration architecture — the connective tissue between AI-era disruption and the communities, governments, and economies it is transforming.</w:t>
      </w:r>
    </w:p>
    <w:p>
      <w:pPr>
        <w:spacing w:after="140" w:before="0"/>
        <w:jc w:val="left"/>
      </w:pPr>
      <w:r>
        <w:rPr>
          <w:rFonts w:ascii="Arial" w:cs="Arial" w:eastAsia="Arial" w:hAnsi="Arial"/>
          <w:b w:val="false"/>
          <w:bCs w:val="false"/>
          <w:i w:val="false"/>
          <w:iCs w:val="false"/>
          <w:caps w:val="false"/>
          <w:color w:val="D4CEBC"/>
          <w:sz w:val="22"/>
          <w:szCs w:val="22"/>
        </w:rPr>
        <w:t xml:space="preserve">Founded by Sashin J. Singh and designed across a decade of iteration beginning in 2016, G.O.D.S operates through four interdependent divisions that form a closed compounding loop. Each division produces outputs that are inputs to the next. The loop does not merely add value — it multiplies it. And because the multiplication is structural — not dependent on any single person, product, or market condition — it is replicable across any context that shares the underlying problem profile.</w:t>
      </w:r>
    </w:p>
    <w:p>
      <w:pPr>
        <w:spacing w:after="160" w:before="0"/>
      </w:pPr>
    </w:p>
    <w:p>
      <w:pPr>
        <w:pStyle w:val="Heading2"/>
        <w:spacing w:after="140" w:before="280"/>
      </w:pPr>
      <w:r>
        <w:rPr>
          <w:rFonts w:ascii="Arial" w:cs="Arial" w:eastAsia="Arial" w:hAnsi="Arial"/>
          <w:b/>
          <w:bCs/>
          <w:color w:val="F5F0E8"/>
          <w:sz w:val="32"/>
          <w:szCs w:val="32"/>
        </w:rPr>
        <w:t xml:space="preserve">The Investment Thesis in One Paragraph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auto" w:sz="0"/>
              <w:left w:val="single" w:color="C9A84C" w:sz="6"/>
              <w:bottom w:val="none" w:color="auto" w:sz="0"/>
              <w:right w:val="none" w:color="auto" w:sz="0"/>
            </w:tcBorders>
            <w:shd w:fill="0C1A2E" w:val="clear"/>
            <w:tcMar>
              <w:top w:type="dxa" w:w="140"/>
              <w:left w:type="dxa" w:w="200"/>
              <w:bottom w:type="dxa" w:w="140"/>
              <w:right w:type="dxa" w:w="200"/>
            </w:tcMar>
          </w:tcPr>
          <w:p>
            <w:pPr>
              <w:spacing w:after="0" w:before="0"/>
            </w:pPr>
            <w:r>
              <w:rPr>
                <w:rFonts w:ascii="Arial" w:cs="Arial" w:eastAsia="Arial" w:hAnsi="Arial"/>
                <w:i w:val="false"/>
                <w:iCs w:val="false"/>
                <w:color w:val="F5F0E8"/>
                <w:sz w:val="22"/>
                <w:szCs w:val="22"/>
              </w:rPr>
              <w:t xml:space="preserve">G.O.D.S is raising a Phase 1 seed round of R12–18M to fund the 50-participant S.E.T.H.S. pilot, UDOC enterprise SaaS launch, and constitutional governance architecture. Investors are not funding a vision. They are funding the first proof that the compounding loop works — after which every subsequent phase is backed by audited operational data.</w:t>
            </w:r>
          </w:p>
        </w:tc>
      </w:tr>
    </w:tbl>
    <w:p>
      <w:pPr>
        <w:spacing w:after="160" w:before="0"/>
      </w:pPr>
    </w:p>
    <w:p>
      <w:pPr>
        <w:pStyle w:val="Heading2"/>
        <w:spacing w:after="140" w:before="280"/>
      </w:pPr>
      <w:r>
        <w:rPr>
          <w:rFonts w:ascii="Arial" w:cs="Arial" w:eastAsia="Arial" w:hAnsi="Arial"/>
          <w:b/>
          <w:bCs/>
          <w:color w:val="F5F0E8"/>
          <w:sz w:val="32"/>
          <w:szCs w:val="32"/>
        </w:rPr>
        <w:t xml:space="preserve">Five Structural Forces — Why Now</w:t>
      </w:r>
    </w:p>
    <w:p>
      <w:pPr>
        <w:spacing w:after="140" w:before="0"/>
        <w:jc w:val="left"/>
      </w:pPr>
      <w:r>
        <w:rPr>
          <w:rFonts w:ascii="Arial" w:cs="Arial" w:eastAsia="Arial" w:hAnsi="Arial"/>
          <w:b w:val="false"/>
          <w:bCs w:val="false"/>
          <w:i w:val="false"/>
          <w:iCs w:val="false"/>
          <w:caps w:val="false"/>
          <w:color w:val="D4CEBC"/>
          <w:sz w:val="22"/>
          <w:szCs w:val="22"/>
        </w:rPr>
        <w:t xml:space="preserve">G.O.D.S is positioned at the intersection of five structural forces that are simultaneously active and accelerating in 2026:</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1. Sovereign AI Infrastructure Vacuum:</w:t>
      </w:r>
      <w:r>
        <w:rPr>
          <w:rFonts w:ascii="Arial" w:cs="Arial" w:eastAsia="Arial" w:hAnsi="Arial"/>
          <w:b w:val="false"/>
          <w:bCs w:val="false"/>
          <w:i w:val="false"/>
          <w:iCs w:val="false"/>
          <w:caps w:val="false"/>
          <w:color w:val="D4CEBC"/>
          <w:sz w:val="22"/>
          <w:szCs w:val="22"/>
        </w:rPr>
        <w:t xml:space="preserve"> No dominant global standard for sovereign AI governance. Africa has 44 data protection laws but zero constitutional-grade AI governance platforms.</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2. Quantum Computing Emergence:</w:t>
      </w:r>
      <w:r>
        <w:rPr>
          <w:rFonts w:ascii="Arial" w:cs="Arial" w:eastAsia="Arial" w:hAnsi="Arial"/>
          <w:b w:val="false"/>
          <w:bCs w:val="false"/>
          <w:i w:val="false"/>
          <w:iCs w:val="false"/>
          <w:caps w:val="false"/>
          <w:color w:val="D4CEBC"/>
          <w:sz w:val="22"/>
          <w:szCs w:val="22"/>
        </w:rPr>
        <w:t xml:space="preserve"> NIST PQC standards finalised August 2024. Commercial QPU APIs live. G.O.D.S builds quantum-ready from Day 1.</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3. Workforce Displacement:</w:t>
      </w:r>
      <w:r>
        <w:rPr>
          <w:rFonts w:ascii="Arial" w:cs="Arial" w:eastAsia="Arial" w:hAnsi="Arial"/>
          <w:b w:val="false"/>
          <w:bCs w:val="false"/>
          <w:i w:val="false"/>
          <w:iCs w:val="false"/>
          <w:caps w:val="false"/>
          <w:color w:val="D4CEBC"/>
          <w:sz w:val="22"/>
          <w:szCs w:val="22"/>
        </w:rPr>
        <w:t xml:space="preserve"> South Africa at 33%+ unemployment. SADC structural youth unemployment crisis. No integrated reskilling-to-employment infrastructure exists at scale.</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4. Infrastructure Deficit:</w:t>
      </w:r>
      <w:r>
        <w:rPr>
          <w:rFonts w:ascii="Arial" w:cs="Arial" w:eastAsia="Arial" w:hAnsi="Arial"/>
          <w:b w:val="false"/>
          <w:bCs w:val="false"/>
          <w:i w:val="false"/>
          <w:iCs w:val="false"/>
          <w:caps w:val="false"/>
          <w:color w:val="D4CEBC"/>
          <w:sz w:val="22"/>
          <w:szCs w:val="22"/>
        </w:rPr>
        <w:t xml:space="preserve"> South Africa: load-shedding, water crisis, 2.4M housing unit backlog. SADC: similar profile across 16 member states.</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5. Sovereign Capital Without Deployment Vehicles:</w:t>
      </w:r>
      <w:r>
        <w:rPr>
          <w:rFonts w:ascii="Arial" w:cs="Arial" w:eastAsia="Arial" w:hAnsi="Arial"/>
          <w:b w:val="false"/>
          <w:bCs w:val="false"/>
          <w:i w:val="false"/>
          <w:iCs w:val="false"/>
          <w:caps w:val="false"/>
          <w:color w:val="D4CEBC"/>
          <w:sz w:val="22"/>
          <w:szCs w:val="22"/>
        </w:rPr>
        <w:t xml:space="preserve"> DBSA, IDC, AfDB — capital available; credible deployment vehicles absent. M.A.D.I.B.A. bridges this gap.</w:t>
      </w:r>
    </w:p>
    <w:p>
      <w:pPr>
        <w:spacing w:after="160" w:before="0"/>
      </w:pPr>
    </w:p>
    <w:p>
      <w:pPr>
        <w:pStyle w:val="Heading2"/>
        <w:spacing w:after="140" w:before="280"/>
      </w:pPr>
      <w:r>
        <w:rPr>
          <w:rFonts w:ascii="Arial" w:cs="Arial" w:eastAsia="Arial" w:hAnsi="Arial"/>
          <w:b/>
          <w:bCs/>
          <w:color w:val="F5F0E8"/>
          <w:sz w:val="32"/>
          <w:szCs w:val="32"/>
        </w:rPr>
        <w:t xml:space="preserve">Key Metrics at a Glance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Metric</w:t>
            </w:r>
          </w:p>
        </w:tc>
        <w:tc>
          <w:tcPr>
            <w:tcW w:type="dxa" w:w="23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Phase 1 (Y1)</w:t>
            </w:r>
          </w:p>
        </w:tc>
        <w:tc>
          <w:tcPr>
            <w:tcW w:type="dxa" w:w="23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Phase 2 (Y5)</w:t>
            </w:r>
          </w:p>
        </w:tc>
        <w:tc>
          <w:tcPr>
            <w:tcW w:type="dxa" w:w="23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Phase 3 (Y10)</w:t>
            </w:r>
          </w:p>
        </w:tc>
      </w:tr>
      <w:tr>
        <w:trPr>
          <w:tblHeader w:val="false"/>
        </w:trPr>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Total Revenue</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R6.95M</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R395M–R450M</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R3.5B</w:t>
            </w:r>
          </w:p>
        </w:tc>
      </w:tr>
      <w:tr>
        <w:trPr>
          <w:tblHeader w:val="false"/>
        </w:trPr>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EBITDA</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-R6.5M</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R200M (51%)</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R2.0B (57%)</w:t>
            </w:r>
          </w:p>
        </w:tc>
      </w:tr>
      <w:tr>
        <w:trPr>
          <w:tblHeader w:val="false"/>
        </w:trPr>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S.E.T.H.S Participants</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50 (pilot)</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2,500+</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380,000+</w:t>
            </w:r>
          </w:p>
        </w:tc>
      </w:tr>
      <w:tr>
        <w:trPr>
          <w:tblHeader w:val="false"/>
        </w:trPr>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 Deployments</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3 enterprise + 1 govt</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25+ enterprise, govt</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100+ govts</w:t>
            </w:r>
          </w:p>
        </w:tc>
      </w:tr>
      <w:tr>
        <w:trPr>
          <w:tblHeader w:val="false"/>
        </w:trPr>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Headcount</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18 FTEs</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380 FTEs</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1,000+ FTEs</w:t>
            </w:r>
          </w:p>
        </w:tc>
      </w:tr>
      <w:tr>
        <w:trPr>
          <w:tblHeader w:val="false"/>
        </w:trPr>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Capital Required</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R12–18M seed</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R45–80M Series A</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R120–200M+ </w:t>
            </w:r>
          </w:p>
        </w:tc>
      </w:tr>
      <w:tr>
        <w:trPr>
          <w:tblHeader w:val="false"/>
        </w:trPr>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Funding Sources</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DFI, grant, angel</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Institutional PE</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Sovereign funds</w:t>
            </w:r>
          </w:p>
        </w:tc>
      </w:tr>
    </w:tbl>
    <w:p>
      <w:pPr>
        <w:spacing w:after="160" w:before="0"/>
      </w:pPr>
    </w:p>
    <w:p>
      <w:pPr>
        <w:pStyle w:val="Heading2"/>
        <w:spacing w:after="140" w:before="280"/>
      </w:pPr>
      <w:r>
        <w:rPr>
          <w:rFonts w:ascii="Arial" w:cs="Arial" w:eastAsia="Arial" w:hAnsi="Arial"/>
          <w:b/>
          <w:bCs/>
          <w:color w:val="F5F0E8"/>
          <w:sz w:val="32"/>
          <w:szCs w:val="32"/>
        </w:rPr>
        <w:t xml:space="preserve">South Africa as Proof of Concept</w:t>
      </w:r>
    </w:p>
    <w:p>
      <w:pPr>
        <w:spacing w:after="140" w:before="0"/>
        <w:jc w:val="left"/>
      </w:pPr>
      <w:r>
        <w:rPr>
          <w:rFonts w:ascii="Arial" w:cs="Arial" w:eastAsia="Arial" w:hAnsi="Arial"/>
          <w:b w:val="false"/>
          <w:bCs w:val="false"/>
          <w:i w:val="false"/>
          <w:iCs w:val="false"/>
          <w:caps w:val="false"/>
          <w:color w:val="D4CEBC"/>
          <w:sz w:val="22"/>
          <w:szCs w:val="22"/>
        </w:rPr>
        <w:t xml:space="preserve">No country in the world provides a more comprehensive proof of concept for the G.O.D.S architecture. South Africa simultaneously embodies every structural challenge the system is designed to address, every institutional asset the system requires to operate, and every governance complexity the system must be able to navigate. Success in South Africa is the most credible evidence possible that the system works — because South Africa makes it as difficult as possible.</w:t>
      </w:r>
    </w:p>
    <w:p>
      <w:r>
        <w:br w:type="page"/>
      </w:r>
    </w:p>
    <w:p>
      <w:pPr>
        <w:pStyle w:val="Heading1"/>
        <w:pBdr>
          <w:bottom w:val="single" w:color="C9A84C" w:sz="8" w:space="4"/>
        </w:pBdr>
        <w:spacing w:after="200" w:before="360"/>
      </w:pPr>
      <w:r>
        <w:rPr>
          <w:rFonts w:ascii="Arial" w:cs="Arial" w:eastAsia="Arial" w:hAnsi="Arial"/>
          <w:b/>
          <w:bCs/>
          <w:caps w:val="false"/>
          <w:color w:val="C9A84C"/>
          <w:sz w:val="44"/>
          <w:szCs w:val="44"/>
        </w:rPr>
        <w:t xml:space="preserve">02  |  COMPANY OVERVIEW &amp; CONSTITUTIONAL ARCHITECTURE</w:t>
      </w:r>
    </w:p>
    <w:p>
      <w:pPr>
        <w:pStyle w:val="Heading2"/>
        <w:spacing w:after="140" w:before="280"/>
      </w:pPr>
      <w:r>
        <w:rPr>
          <w:rFonts w:ascii="Arial" w:cs="Arial" w:eastAsia="Arial" w:hAnsi="Arial"/>
          <w:b/>
          <w:bCs/>
          <w:color w:val="F5F0E8"/>
          <w:sz w:val="32"/>
          <w:szCs w:val="32"/>
        </w:rPr>
        <w:t xml:space="preserve">Legal Structure — Five Entities</w:t>
      </w:r>
    </w:p>
    <w:p>
      <w:pPr>
        <w:spacing w:after="140" w:before="0"/>
        <w:jc w:val="left"/>
      </w:pPr>
      <w:r>
        <w:rPr>
          <w:rFonts w:ascii="Arial" w:cs="Arial" w:eastAsia="Arial" w:hAnsi="Arial"/>
          <w:b w:val="false"/>
          <w:bCs w:val="false"/>
          <w:i w:val="false"/>
          <w:iCs w:val="false"/>
          <w:caps w:val="false"/>
          <w:color w:val="D4CEBC"/>
          <w:sz w:val="22"/>
          <w:szCs w:val="22"/>
        </w:rPr>
        <w:t xml:space="preserve">G.O.D.S operates through five distinct legal entities arranged in a governance hierarchy. This separation is the protection architecture that prevents the most common institutional failure modes: mission drift, investor capture, founder concentration, and constitutional erosion under commercial pressure.</w:t>
      </w:r>
    </w:p>
    <w:p>
      <w:pPr>
        <w:spacing w:after="8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Entity</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Role &amp; Function</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G.O.D.S IP Trust</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Holds all IP, Class A shares, constitutional mandate. Cannot be sold or wound up. Governed by 3 independent trustees.</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G.O.D.S Holdings (Pty) Ltd</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Constitutional parent. 12 Pillar enforcement. COB veto authority. IP Trust holds Class A governance shares.</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G.O.D.S TS Holdings (Pty) Ltd</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Commercial engine. 8-division revenue architecture. Investor-facing capital raise vehicle.</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Division Subsidiaries (×4)</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S.E.T.H.S., UDOC Technologies, TS Industries, M.A.D.I.B.A. Capital — each registered separately.</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Constitutional Oversight Board</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5–9 independent members. Binding veto on Pillar matters. Annual compliance certification. Independent of executive.</w:t>
            </w:r>
          </w:p>
        </w:tc>
      </w:tr>
    </w:tbl>
    <w:p>
      <w:pPr>
        <w:spacing w:after="160" w:before="0"/>
      </w:pPr>
    </w:p>
    <w:p>
      <w:pPr>
        <w:pStyle w:val="Heading2"/>
        <w:spacing w:after="140" w:before="280"/>
      </w:pPr>
      <w:r>
        <w:rPr>
          <w:rFonts w:ascii="Arial" w:cs="Arial" w:eastAsia="Arial" w:hAnsi="Arial"/>
          <w:b/>
          <w:bCs/>
          <w:color w:val="F5F0E8"/>
          <w:sz w:val="32"/>
          <w:szCs w:val="32"/>
        </w:rPr>
        <w:t xml:space="preserve">Share Structure</w:t>
      </w:r>
    </w:p>
    <w:p>
      <w:pPr>
        <w:spacing w:after="140" w:before="0"/>
        <w:jc w:val="left"/>
      </w:pPr>
      <w:r>
        <w:rPr>
          <w:rFonts w:ascii="Arial" w:cs="Arial" w:eastAsia="Arial" w:hAnsi="Arial"/>
          <w:b w:val="false"/>
          <w:bCs w:val="false"/>
          <w:i w:val="false"/>
          <w:iCs w:val="false"/>
          <w:caps w:val="false"/>
          <w:color w:val="D4CEBC"/>
          <w:sz w:val="22"/>
          <w:szCs w:val="22"/>
        </w:rPr>
        <w:t xml:space="preserve">Class A Founder Governance Shares (held by IP Trust only — 10 votes per share, cannot be sold or diluted without Trust consent), Class B Investor Shares (1 vote per share, commercial participation only), Class C Strategic Partner Shares (government, DFIs, sovereign funds), and Class D Employee Participation Shares (no voting rights, economic participation after 3 years).</w:t>
      </w:r>
    </w:p>
    <w:p>
      <w:pPr>
        <w:spacing w:after="160" w:before="0"/>
      </w:pPr>
    </w:p>
    <w:p>
      <w:pPr>
        <w:pStyle w:val="Heading2"/>
        <w:spacing w:after="140" w:before="280"/>
      </w:pPr>
      <w:r>
        <w:rPr>
          <w:rFonts w:ascii="Arial" w:cs="Arial" w:eastAsia="Arial" w:hAnsi="Arial"/>
          <w:b/>
          <w:bCs/>
          <w:color w:val="F5F0E8"/>
          <w:sz w:val="32"/>
          <w:szCs w:val="32"/>
        </w:rPr>
        <w:t xml:space="preserve">The Twelve Constitutional Pillars</w:t>
      </w:r>
    </w:p>
    <w:p>
      <w:pPr>
        <w:spacing w:after="140" w:before="0"/>
        <w:jc w:val="left"/>
      </w:pPr>
      <w:r>
        <w:rPr>
          <w:rFonts w:ascii="Arial" w:cs="Arial" w:eastAsia="Arial" w:hAnsi="Arial"/>
          <w:b w:val="false"/>
          <w:bCs w:val="false"/>
          <w:i w:val="false"/>
          <w:iCs w:val="false"/>
          <w:caps w:val="false"/>
          <w:color w:val="D4CEBC"/>
          <w:sz w:val="22"/>
          <w:szCs w:val="22"/>
        </w:rPr>
        <w:t xml:space="preserve">These are structural constraints — not aspirational statements. Every material decision within G.O.D.S is evaluated against them. They cannot be overridden by commercial pressure, executive authority, or shareholder vote. Supermajority COB approval required for any modification.</w:t>
      </w:r>
    </w:p>
    <w:p>
      <w:pPr>
        <w:spacing w:after="8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1760"/>
        <w:gridCol w:w="2960"/>
        <w:gridCol w:w="4000"/>
      </w:tblGrid>
      <w:tr>
        <w:trPr>
          <w:tblHeader/>
        </w:trPr>
        <w:tc>
          <w:tcPr>
            <w:tcW w:type="dxa" w:w="6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Pillar</w:t>
            </w:r>
          </w:p>
        </w:tc>
        <w:tc>
          <w:tcPr>
            <w:tcW w:type="dxa" w:w="17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Name</w:t>
            </w:r>
          </w:p>
        </w:tc>
        <w:tc>
          <w:tcPr>
            <w:tcW w:type="dxa" w:w="29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Principle</w:t>
            </w:r>
          </w:p>
        </w:tc>
        <w:tc>
          <w:tcPr>
            <w:tcW w:type="dxa" w:w="40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Enforcement Mechanism</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I</w:t>
            </w:r>
          </w:p>
        </w:tc>
        <w:tc>
          <w:tcPr>
            <w:tcW w:type="dxa" w:w="17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Human Dignity</w:t>
            </w:r>
          </w:p>
        </w:tc>
        <w:tc>
          <w:tcPr>
            <w:tcW w:type="dxa" w:w="2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Every programme advances dignity, not merely efficiency</w:t>
            </w:r>
          </w:p>
        </w:tc>
        <w:tc>
          <w:tcPr>
            <w:tcW w:type="dxa" w:w="4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COB quarterly dignity impact review; UDOC dignity-impact scoring</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II</w:t>
            </w:r>
          </w:p>
        </w:tc>
        <w:tc>
          <w:tcPr>
            <w:tcW w:type="dxa" w:w="17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Contribution over Extraction</w:t>
            </w:r>
          </w:p>
        </w:tc>
        <w:tc>
          <w:tcPr>
            <w:tcW w:type="dxa" w:w="2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AI legitimate only where it advances contribution</w:t>
            </w:r>
          </w:p>
        </w:tc>
        <w:tc>
          <w:tcPr>
            <w:tcW w:type="dxa" w:w="4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M.A.D.I.B.A. screens for extractive models; UDOC monitors</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III</w:t>
            </w:r>
          </w:p>
        </w:tc>
        <w:tc>
          <w:tcPr>
            <w:tcW w:type="dxa" w:w="17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Sovereign Respect</w:t>
            </w:r>
          </w:p>
        </w:tc>
        <w:tc>
          <w:tcPr>
            <w:tcW w:type="dxa" w:w="2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No system overrides national sovereignty</w:t>
            </w:r>
          </w:p>
        </w:tc>
        <w:tc>
          <w:tcPr>
            <w:tcW w:type="dxa" w:w="4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Zero foreign cloud dependency; QKD sovereign key custody enforced</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IV</w:t>
            </w:r>
          </w:p>
        </w:tc>
        <w:tc>
          <w:tcPr>
            <w:tcW w:type="dxa" w:w="17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Ethical Profitability</w:t>
            </w:r>
          </w:p>
        </w:tc>
        <w:tc>
          <w:tcPr>
            <w:tcW w:type="dxa" w:w="2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Commercial benefit cannot justify destabilisation</w:t>
            </w:r>
          </w:p>
        </w:tc>
        <w:tc>
          <w:tcPr>
            <w:tcW w:type="dxa" w:w="4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COB approval required for all commercial agreements above R10M</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V</w:t>
            </w:r>
          </w:p>
        </w:tc>
        <w:tc>
          <w:tcPr>
            <w:tcW w:type="dxa" w:w="17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Governance Before Scale</w:t>
            </w:r>
          </w:p>
        </w:tc>
        <w:tc>
          <w:tcPr>
            <w:tcW w:type="dxa" w:w="2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No expansion faster than governance capacity</w:t>
            </w:r>
          </w:p>
        </w:tc>
        <w:tc>
          <w:tcPr>
            <w:tcW w:type="dxa" w:w="4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gate system; COB certification required before next phase</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VI</w:t>
            </w:r>
          </w:p>
        </w:tc>
        <w:tc>
          <w:tcPr>
            <w:tcW w:type="dxa" w:w="17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Transparency &amp; Accountability</w:t>
            </w:r>
          </w:p>
        </w:tc>
        <w:tc>
          <w:tcPr>
            <w:tcW w:type="dxa" w:w="2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All AI systems produce explainable, auditable outputs</w:t>
            </w:r>
          </w:p>
        </w:tc>
        <w:tc>
          <w:tcPr>
            <w:tcW w:type="dxa" w:w="4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Every AI decision event produces human-readable tamper-evident audit record</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VII</w:t>
            </w:r>
          </w:p>
        </w:tc>
        <w:tc>
          <w:tcPr>
            <w:tcW w:type="dxa" w:w="17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Anti-Capture</w:t>
            </w:r>
          </w:p>
        </w:tc>
        <w:tc>
          <w:tcPr>
            <w:tcW w:type="dxa" w:w="2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No single entity controls system architecture</w:t>
            </w:r>
          </w:p>
        </w:tc>
        <w:tc>
          <w:tcPr>
            <w:tcW w:type="dxa" w:w="4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No investor &gt;20% without COB approval; Class A cannot be sold without Trust consent</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VIII</w:t>
            </w:r>
          </w:p>
        </w:tc>
        <w:tc>
          <w:tcPr>
            <w:tcW w:type="dxa" w:w="17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Human Primacy in AI</w:t>
            </w:r>
          </w:p>
        </w:tc>
        <w:tc>
          <w:tcPr>
            <w:tcW w:type="dxa" w:w="2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Intelligence subordinate to human authority</w:t>
            </w:r>
          </w:p>
        </w:tc>
        <w:tc>
          <w:tcPr>
            <w:tcW w:type="dxa" w:w="4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All UDOC deployments include human override architecture</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IX</w:t>
            </w:r>
          </w:p>
        </w:tc>
        <w:tc>
          <w:tcPr>
            <w:tcW w:type="dxa" w:w="17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Equity of Access</w:t>
            </w:r>
          </w:p>
        </w:tc>
        <w:tc>
          <w:tcPr>
            <w:tcW w:type="dxa" w:w="2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Benefits reach most marginalised populations first</w:t>
            </w:r>
          </w:p>
        </w:tc>
        <w:tc>
          <w:tcPr>
            <w:tcW w:type="dxa" w:w="4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S.E.T.H.S. intake prioritises structurally excluded; COB equity impact review quarterly</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X</w:t>
            </w:r>
          </w:p>
        </w:tc>
        <w:tc>
          <w:tcPr>
            <w:tcW w:type="dxa" w:w="17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Intergenerational Mandate</w:t>
            </w:r>
          </w:p>
        </w:tc>
        <w:tc>
          <w:tcPr>
            <w:tcW w:type="dxa" w:w="2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All design considers 50-year consequences</w:t>
            </w:r>
          </w:p>
        </w:tc>
        <w:tc>
          <w:tcPr>
            <w:tcW w:type="dxa" w:w="4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T.S. environmental standards exceed legal minimum; 250-year institutional mandate</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XI</w:t>
            </w:r>
          </w:p>
        </w:tc>
        <w:tc>
          <w:tcPr>
            <w:tcW w:type="dxa" w:w="17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Anti-Corruption</w:t>
            </w:r>
          </w:p>
        </w:tc>
        <w:tc>
          <w:tcPr>
            <w:tcW w:type="dxa" w:w="2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No hidden concentration of power</w:t>
            </w:r>
          </w:p>
        </w:tc>
        <w:tc>
          <w:tcPr>
            <w:tcW w:type="dxa" w:w="4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All capital flows above R500K trigger automated constitutional compliance check</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XII</w:t>
            </w:r>
          </w:p>
        </w:tc>
        <w:tc>
          <w:tcPr>
            <w:tcW w:type="dxa" w:w="17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Evidence-Driven Evolution</w:t>
            </w:r>
          </w:p>
        </w:tc>
        <w:tc>
          <w:tcPr>
            <w:tcW w:type="dxa" w:w="2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Governance adapts to demonstrated outcomes</w:t>
            </w:r>
          </w:p>
        </w:tc>
        <w:tc>
          <w:tcPr>
            <w:tcW w:type="dxa" w:w="4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All operational decisions require data justification; phase advancement requires measured evidence</w:t>
            </w:r>
          </w:p>
        </w:tc>
      </w:tr>
    </w:tbl>
    <w:p>
      <w:pPr>
        <w:spacing w:after="160" w:before="0"/>
      </w:pPr>
    </w:p>
    <w:p>
      <w:pPr>
        <w:pStyle w:val="Heading2"/>
        <w:spacing w:after="140" w:before="280"/>
      </w:pPr>
      <w:r>
        <w:rPr>
          <w:rFonts w:ascii="Arial" w:cs="Arial" w:eastAsia="Arial" w:hAnsi="Arial"/>
          <w:b/>
          <w:bCs/>
          <w:color w:val="F5F0E8"/>
          <w:sz w:val="32"/>
          <w:szCs w:val="32"/>
        </w:rPr>
        <w:t xml:space="preserve">The Constitutional Oversight Board (COB)</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COB Parameter</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Structure</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Composition</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5–9 independent members: Civil Society, Academic, Retired Government/Judiciary, International Institution, Independent Ethics Specialist</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Appointment</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IP Trust Trustees by majority vote. No commercial interest in any G.O.D.S entity permitted.</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Term</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5-year fixed terms, renewable once. Staggered to ensure continuity.</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Authority</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Binding Halt Orders on any Pillar violation; Annual Compliance Certificate; Founder removal (unanimous vote); Constitutional Amendment veto</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Reporting</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Reports publicly on governance outcomes. COB composition publicly disclosed.</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Meeting Cadence</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Quarterly minimum. Emergency sessions within 48 hours for Binding Halt matters.</w:t>
            </w:r>
          </w:p>
        </w:tc>
      </w:tr>
    </w:tbl>
    <w:p>
      <w:r>
        <w:br w:type="page"/>
      </w:r>
    </w:p>
    <w:p>
      <w:pPr>
        <w:pStyle w:val="Heading1"/>
        <w:pBdr>
          <w:bottom w:val="single" w:color="C9A84C" w:sz="8" w:space="4"/>
        </w:pBdr>
        <w:spacing w:after="200" w:before="360"/>
      </w:pPr>
      <w:r>
        <w:rPr>
          <w:rFonts w:ascii="Arial" w:cs="Arial" w:eastAsia="Arial" w:hAnsi="Arial"/>
          <w:b/>
          <w:bCs/>
          <w:caps w:val="false"/>
          <w:color w:val="C9A84C"/>
          <w:sz w:val="44"/>
          <w:szCs w:val="44"/>
        </w:rPr>
        <w:t xml:space="preserve">03  |  MARKET OPPORTUNITY &amp; PROBLEM ANALYSIS</w:t>
      </w:r>
    </w:p>
    <w:p>
      <w:pPr>
        <w:pStyle w:val="Heading2"/>
        <w:spacing w:after="140" w:before="280"/>
      </w:pPr>
      <w:r>
        <w:rPr>
          <w:rFonts w:ascii="Arial" w:cs="Arial" w:eastAsia="Arial" w:hAnsi="Arial"/>
          <w:b/>
          <w:bCs/>
          <w:color w:val="F5F0E8"/>
          <w:sz w:val="32"/>
          <w:szCs w:val="32"/>
        </w:rPr>
        <w:t xml:space="preserve">The Global Structural Condition</w:t>
      </w:r>
    </w:p>
    <w:p>
      <w:pPr>
        <w:spacing w:after="140" w:before="0"/>
        <w:jc w:val="left"/>
      </w:pPr>
      <w:r>
        <w:rPr>
          <w:rFonts w:ascii="Arial" w:cs="Arial" w:eastAsia="Arial" w:hAnsi="Arial"/>
          <w:b w:val="false"/>
          <w:bCs w:val="false"/>
          <w:i w:val="false"/>
          <w:iCs w:val="false"/>
          <w:caps w:val="false"/>
          <w:color w:val="D4CEBC"/>
          <w:sz w:val="22"/>
          <w:szCs w:val="22"/>
        </w:rPr>
        <w:t xml:space="preserve">The world is not short of technology. It is not short of capital. What it is short of is the disciplined, sequenced, constitutionally governed integration of technology, capital, human capacity, and sovereign infrastructure into a system that compounds. That is what G.O.D.S provides.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auto" w:sz="0"/>
              <w:left w:val="single" w:color="C9A84C" w:sz="6"/>
              <w:bottom w:val="none" w:color="auto" w:sz="0"/>
              <w:right w:val="none" w:color="auto" w:sz="0"/>
            </w:tcBorders>
            <w:shd w:fill="0C1A2E" w:val="clear"/>
            <w:tcMar>
              <w:top w:type="dxa" w:w="140"/>
              <w:left w:type="dxa" w:w="200"/>
              <w:bottom w:type="dxa" w:w="140"/>
              <w:right w:type="dxa" w:w="200"/>
            </w:tcMar>
          </w:tcPr>
          <w:p>
            <w:pPr>
              <w:spacing w:after="0" w:before="0"/>
            </w:pPr>
            <w:r>
              <w:rPr>
                <w:rFonts w:ascii="Arial" w:cs="Arial" w:eastAsia="Arial" w:hAnsi="Arial"/>
                <w:i w:val="false"/>
                <w:iCs w:val="false"/>
                <w:color w:val="F5F0E8"/>
                <w:sz w:val="22"/>
                <w:szCs w:val="22"/>
              </w:rPr>
              <w:t xml:space="preserve">Every major attempt to solve the structural failures of emerging market economies has failed for the same reason: it attacked one problem in isolation. G.O.D.S was designed from inception with one controlling insight — the solutions to these problems are not separate. They are sequential. And sequenced correctly, they compound.</w:t>
            </w:r>
          </w:p>
        </w:tc>
      </w:tr>
    </w:tbl>
    <w:p>
      <w:pPr>
        <w:spacing w:after="160" w:before="0"/>
      </w:pPr>
    </w:p>
    <w:p>
      <w:pPr>
        <w:pStyle w:val="Heading2"/>
        <w:spacing w:after="140" w:before="280"/>
      </w:pPr>
      <w:r>
        <w:rPr>
          <w:rFonts w:ascii="Arial" w:cs="Arial" w:eastAsia="Arial" w:hAnsi="Arial"/>
          <w:b/>
          <w:bCs/>
          <w:color w:val="F5F0E8"/>
          <w:sz w:val="32"/>
          <w:szCs w:val="32"/>
        </w:rPr>
        <w:t xml:space="preserve">Eight Structural Problems G.O.D.S Addresses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Problem</w:t>
            </w:r>
          </w:p>
        </w:tc>
        <w:tc>
          <w:tcPr>
            <w:tcW w:type="dxa" w:w="656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Scale &amp; G.O.D.S Response</w:t>
            </w:r>
          </w:p>
        </w:tc>
      </w:tr>
      <w:tr>
        <w:trPr>
          <w:tblHeader w:val="false"/>
        </w:trPr>
        <w:tc>
          <w:tcPr>
            <w:tcW w:type="dxa" w:w="28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1. Structural Unemployment</w:t>
            </w:r>
          </w:p>
        </w:tc>
        <w:tc>
          <w:tcPr>
            <w:tcW w:type="dxa" w:w="65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33%+ unemployment in South Africa. 800M people globally at risk of AI displacement by 2030. Response: S.E.T.H.S. — structured workforce transition infrastructure converting displaced workers into AI-era productive citizens.</w:t>
            </w:r>
          </w:p>
        </w:tc>
      </w:tr>
      <w:tr>
        <w:trPr>
          <w:tblHeader w:val="false"/>
        </w:trPr>
        <w:tc>
          <w:tcPr>
            <w:tcW w:type="dxa" w:w="28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2. Energy Insecurity</w:t>
            </w:r>
          </w:p>
        </w:tc>
        <w:tc>
          <w:tcPr>
            <w:tcW w:type="dxa" w:w="65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600M Africans without reliable electricity. SA loses R900M/day to load-shedding. Response: T.S. Solar Programme using S.E.T.H.S.-trained workforce. Distributed renewable energy, battery storage, micro-grids.</w:t>
            </w:r>
          </w:p>
        </w:tc>
      </w:tr>
      <w:tr>
        <w:trPr>
          <w:tblHeader w:val="false"/>
        </w:trPr>
        <w:tc>
          <w:tcPr>
            <w:tcW w:type="dxa" w:w="28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3. Food Insecurity</w:t>
            </w:r>
          </w:p>
        </w:tc>
        <w:tc>
          <w:tcPr>
            <w:tcW w:type="dxa" w:w="65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20% of SA children chronically malnourished. SADC food import bill exceeds $30B annually. Response: T.S. Vertical Farming Programme — controlled environment agriculture operated by S.E.T.H.S. graduates.</w:t>
            </w:r>
          </w:p>
        </w:tc>
      </w:tr>
      <w:tr>
        <w:trPr>
          <w:tblHeader w:val="false"/>
        </w:trPr>
        <w:tc>
          <w:tcPr>
            <w:tcW w:type="dxa" w:w="28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4. Water Infrastructure Failure</w:t>
            </w:r>
          </w:p>
        </w:tc>
        <w:tc>
          <w:tcPr>
            <w:tcW w:type="dxa" w:w="65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37% of SA municipal water lost to leaks. Day Zero risk in multiple cities. Response: T.S. Water Systems — infrastructure rehabilitation, smart metering, community water security.</w:t>
            </w:r>
          </w:p>
        </w:tc>
      </w:tr>
      <w:tr>
        <w:trPr>
          <w:tblHeader w:val="false"/>
        </w:trPr>
        <w:tc>
          <w:tcPr>
            <w:tcW w:type="dxa" w:w="28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5. Housing Deficit</w:t>
            </w:r>
          </w:p>
        </w:tc>
        <w:tc>
          <w:tcPr>
            <w:tcW w:type="dxa" w:w="65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3.7M unit housing backlog in South Africa. 18M unit gap across SADC. Response: T.S. Construction using S.E.T.H.S. Stream A graduates. Modular affordable housing technology.</w:t>
            </w:r>
          </w:p>
        </w:tc>
      </w:tr>
      <w:tr>
        <w:trPr>
          <w:tblHeader w:val="false"/>
        </w:trPr>
        <w:tc>
          <w:tcPr>
            <w:tcW w:type="dxa" w:w="28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6. Governance Failure</w:t>
            </w:r>
          </w:p>
        </w:tc>
        <w:tc>
          <w:tcPr>
            <w:tcW w:type="dxa" w:w="65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78% of government AI deployments globally lack adequate audit infrastructure. Response: UDOC — cryptographically verified, tamper-evident audit trails for every AI decision event.</w:t>
            </w:r>
          </w:p>
        </w:tc>
      </w:tr>
      <w:tr>
        <w:trPr>
          <w:tblHeader w:val="false"/>
        </w:trPr>
        <w:tc>
          <w:tcPr>
            <w:tcW w:type="dxa" w:w="28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7. Digital Sovereignty Loss</w:t>
            </w:r>
          </w:p>
        </w:tc>
        <w:tc>
          <w:tcPr>
            <w:tcW w:type="dxa" w:w="65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65–70% of public cloud under 3 US corporations. CLOUD Act exposes African government data to US law enforcement. Response: UDOC Sovereign Cloud — zero foreign dependency, full data localisation within ZA jurisdiction.</w:t>
            </w:r>
          </w:p>
        </w:tc>
      </w:tr>
      <w:tr>
        <w:trPr>
          <w:tblHeader w:val="false"/>
        </w:trPr>
        <w:tc>
          <w:tcPr>
            <w:tcW w:type="dxa" w:w="28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8. Capital Misallocation</w:t>
            </w:r>
          </w:p>
        </w:tc>
        <w:tc>
          <w:tcPr>
            <w:tcW w:type="dxa" w:w="65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Africa infrastructure gap: $68–108B/year. DFI capital available but no credible deployment vehicles. Response: M.A.D.I.B.A. — connects proven G.O.D.S infrastructure to sovereign and institutional capital at scale.</w:t>
            </w:r>
          </w:p>
        </w:tc>
      </w:tr>
    </w:tbl>
    <w:p>
      <w:pPr>
        <w:spacing w:after="160" w:before="0"/>
      </w:pPr>
    </w:p>
    <w:p>
      <w:pPr>
        <w:pStyle w:val="Heading2"/>
        <w:spacing w:after="140" w:before="280"/>
      </w:pPr>
      <w:r>
        <w:rPr>
          <w:rFonts w:ascii="Arial" w:cs="Arial" w:eastAsia="Arial" w:hAnsi="Arial"/>
          <w:b/>
          <w:bCs/>
          <w:color w:val="F5F0E8"/>
          <w:sz w:val="32"/>
          <w:szCs w:val="32"/>
        </w:rPr>
        <w:t xml:space="preserve">Market Size — Addressable Revenue by Division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Division</w:t>
            </w:r>
          </w:p>
        </w:tc>
        <w:tc>
          <w:tcPr>
            <w:tcW w:type="dxa" w:w="23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SA Addressable Market</w:t>
            </w:r>
          </w:p>
        </w:tc>
        <w:tc>
          <w:tcPr>
            <w:tcW w:type="dxa" w:w="23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SADC/Africa</w:t>
            </w:r>
          </w:p>
        </w:tc>
        <w:tc>
          <w:tcPr>
            <w:tcW w:type="dxa" w:w="23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Global Potential</w:t>
            </w:r>
          </w:p>
        </w:tc>
      </w:tr>
      <w:tr>
        <w:trPr>
          <w:tblHeader w:val="false"/>
        </w:trPr>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S.E.T.H.S.</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R3–8B/year (govt workforce contracts)</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R15B+ (SADC replication)</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$30T digital knowledge workforce at risk globally</w:t>
            </w:r>
          </w:p>
        </w:tc>
      </w:tr>
      <w:tr>
        <w:trPr>
          <w:tblHeader w:val="false"/>
        </w:trPr>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T.S. Industries</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R200B+ (REIPP pipeline alone)</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$68–108B/year Africa infrastructure gap</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Multi-trillion infrastructure deficit globally</w:t>
            </w:r>
          </w:p>
        </w:tc>
      </w:tr>
      <w:tr>
        <w:trPr>
          <w:tblHeader w:val="false"/>
        </w:trPr>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R1.5B/year SA regulated industries</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R15B+ African market (5 years)</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$43B global AI governance market by 2030</w:t>
            </w:r>
          </w:p>
        </w:tc>
      </w:tr>
      <w:tr>
        <w:trPr>
          <w:tblHeader w:val="false"/>
        </w:trPr>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M.A.D.I.B.A.</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R80B+ DFI capital pipeline</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AfDB + Afreximbank pipeline</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$3T+ in sovereign/DFI capital seeking deployment</w:t>
            </w:r>
          </w:p>
        </w:tc>
      </w:tr>
    </w:tbl>
    <w:p>
      <w:pPr>
        <w:spacing w:after="160" w:before="0"/>
      </w:pPr>
    </w:p>
    <w:p>
      <w:pPr>
        <w:pStyle w:val="Heading2"/>
        <w:spacing w:after="140" w:before="280"/>
      </w:pPr>
      <w:r>
        <w:rPr>
          <w:rFonts w:ascii="Arial" w:cs="Arial" w:eastAsia="Arial" w:hAnsi="Arial"/>
          <w:b/>
          <w:bCs/>
          <w:color w:val="F5F0E8"/>
          <w:sz w:val="32"/>
          <w:szCs w:val="32"/>
        </w:rPr>
        <w:t xml:space="preserve">South Africa — The Optimal Proof of Concept</w:t>
      </w:r>
    </w:p>
    <w:p>
      <w:pPr>
        <w:spacing w:after="140" w:before="0"/>
        <w:jc w:val="left"/>
      </w:pPr>
      <w:r>
        <w:rPr>
          <w:rFonts w:ascii="Arial" w:cs="Arial" w:eastAsia="Arial" w:hAnsi="Arial"/>
          <w:b w:val="false"/>
          <w:bCs w:val="false"/>
          <w:i w:val="false"/>
          <w:iCs w:val="false"/>
          <w:caps w:val="false"/>
          <w:color w:val="D4CEBC"/>
          <w:sz w:val="22"/>
          <w:szCs w:val="22"/>
        </w:rPr>
        <w:t xml:space="preserve">South Africa is not chosen as the starting location by default. It is the strategic choice. No country in the world provides a more comprehensive stress-test environment for the G.O.D.S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320"/>
        <w:gridCol w:w="5040"/>
      </w:tblGrid>
      <w:tr>
        <w:trPr>
          <w:tblHeader/>
        </w:trPr>
        <w:tc>
          <w:tcPr>
            <w:tcW w:type="dxa" w:w="43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Dimension</w:t>
            </w:r>
          </w:p>
        </w:tc>
        <w:tc>
          <w:tcPr>
            <w:tcW w:type="dxa" w:w="50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Why It Validates G.O.D.S</w:t>
            </w:r>
          </w:p>
        </w:tc>
      </w:tr>
      <w:tr>
        <w:trPr>
          <w:tblHeader w:val="false"/>
        </w:trPr>
        <w:tc>
          <w:tcPr>
            <w:tcW w:type="dxa" w:w="43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33%+ Unemployment (highest among major economies)</w:t>
            </w:r>
          </w:p>
        </w:tc>
        <w:tc>
          <w:tcPr>
            <w:tcW w:type="dxa" w:w="50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Proves S.E.T.H.S. at extreme demand; proves T.S. employment model at scale</w:t>
            </w:r>
          </w:p>
        </w:tc>
      </w:tr>
      <w:tr>
        <w:trPr>
          <w:tblHeader w:val="false"/>
        </w:trPr>
        <w:tc>
          <w:tcPr>
            <w:tcW w:type="dxa" w:w="43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61 data centres (highest in Africa) + severe infrastructure deficits</w:t>
            </w:r>
          </w:p>
        </w:tc>
        <w:tc>
          <w:tcPr>
            <w:tcW w:type="dxa" w:w="50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Proves T.S. can deploy using existing base; proves UDOC can deploy in functioning DC environment</w:t>
            </w:r>
          </w:p>
        </w:tc>
      </w:tr>
      <w:tr>
        <w:trPr>
          <w:tblHeader w:val="false"/>
        </w:trPr>
        <w:tc>
          <w:tcPr>
            <w:tcW w:type="dxa" w:w="43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Constitutional democracy; independent judiciary; Chapter 9 institutions</w:t>
            </w:r>
          </w:p>
        </w:tc>
        <w:tc>
          <w:tcPr>
            <w:tcW w:type="dxa" w:w="50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Proves constitutional governance model works within real democratic constraint</w:t>
            </w:r>
          </w:p>
        </w:tc>
      </w:tr>
      <w:tr>
        <w:trPr>
          <w:tblHeader w:val="false"/>
        </w:trPr>
        <w:tc>
          <w:tcPr>
            <w:tcW w:type="dxa" w:w="43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JSE; sophisticated DFI ecosystem (DBSA, IDC, NEF)</w:t>
            </w:r>
          </w:p>
        </w:tc>
        <w:tc>
          <w:tcPr>
            <w:tcW w:type="dxa" w:w="50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Proves M.A.D.I.B.A. capital architecture can be structured with institutional credibility</w:t>
            </w:r>
          </w:p>
        </w:tc>
      </w:tr>
      <w:tr>
        <w:trPr>
          <w:tblHeader w:val="false"/>
        </w:trPr>
        <w:tc>
          <w:tcPr>
            <w:tcW w:type="dxa" w:w="43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BRICS membership; SADC leadership; African Union influence</w:t>
            </w:r>
          </w:p>
        </w:tc>
        <w:tc>
          <w:tcPr>
            <w:tcW w:type="dxa" w:w="50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Proves platform portability before SADC expansion — SA stamp of approval opens regional doors</w:t>
            </w:r>
          </w:p>
        </w:tc>
      </w:tr>
      <w:tr>
        <w:trPr>
          <w:tblHeader w:val="false"/>
        </w:trPr>
        <w:tc>
          <w:tcPr>
            <w:tcW w:type="dxa" w:w="43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Highest Gini coefficient globally; political complexity; institutional trust deficit</w:t>
            </w:r>
          </w:p>
        </w:tc>
        <w:tc>
          <w:tcPr>
            <w:tcW w:type="dxa" w:w="50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Proves system can navigate the hardest possible governance environment</w:t>
            </w:r>
          </w:p>
        </w:tc>
      </w:tr>
    </w:tbl>
    <w:p>
      <w:r>
        <w:br w:type="page"/>
      </w:r>
    </w:p>
    <w:p>
      <w:pPr>
        <w:pStyle w:val="Heading1"/>
        <w:pBdr>
          <w:bottom w:val="single" w:color="C9A84C" w:sz="8" w:space="4"/>
        </w:pBdr>
        <w:spacing w:after="200" w:before="360"/>
      </w:pPr>
      <w:r>
        <w:rPr>
          <w:rFonts w:ascii="Arial" w:cs="Arial" w:eastAsia="Arial" w:hAnsi="Arial"/>
          <w:b/>
          <w:bCs/>
          <w:caps w:val="false"/>
          <w:color w:val="C9A84C"/>
          <w:sz w:val="44"/>
          <w:szCs w:val="44"/>
        </w:rPr>
        <w:t xml:space="preserve">04  |  THE FOUR DIVISIONS — COMPOUNDING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auto" w:sz="0"/>
              <w:left w:val="single" w:color="C9A84C" w:sz="6"/>
              <w:bottom w:val="none" w:color="auto" w:sz="0"/>
              <w:right w:val="none" w:color="auto" w:sz="0"/>
            </w:tcBorders>
            <w:shd w:fill="0C1A2E" w:val="clear"/>
            <w:tcMar>
              <w:top w:type="dxa" w:w="140"/>
              <w:left w:type="dxa" w:w="200"/>
              <w:bottom w:type="dxa" w:w="140"/>
              <w:right w:type="dxa" w:w="200"/>
            </w:tcMar>
          </w:tcPr>
          <w:p>
            <w:pPr>
              <w:spacing w:after="0" w:before="0"/>
            </w:pPr>
            <w:r>
              <w:rPr>
                <w:rFonts w:ascii="Arial" w:cs="Arial" w:eastAsia="Arial" w:hAnsi="Arial"/>
                <w:i/>
                <w:iCs/>
                <w:color w:val="F5F0E8"/>
                <w:sz w:val="22"/>
                <w:szCs w:val="22"/>
              </w:rPr>
              <w:t xml:space="preserve">The G.O.D.S compounding loop is the result of one insight engineered into an institutional architecture: the solutions to structural problems are not separate — they are sequential. Sequenced correctly, they compound. Each division produces outputs that are inputs to the next. The loop does not merely add value — it multiplies it.</w:t>
            </w:r>
          </w:p>
        </w:tc>
      </w:tr>
    </w:tbl>
    <w:p>
      <w:pPr>
        <w:spacing w:after="160" w:before="0"/>
      </w:pPr>
    </w:p>
    <w:p>
      <w:pPr>
        <w:pStyle w:val="Heading2"/>
        <w:spacing w:after="140" w:before="280"/>
      </w:pPr>
      <w:r>
        <w:rPr>
          <w:rFonts w:ascii="Arial" w:cs="Arial" w:eastAsia="Arial" w:hAnsi="Arial"/>
          <w:b/>
          <w:bCs/>
          <w:color w:val="F5F0E8"/>
          <w:sz w:val="32"/>
          <w:szCs w:val="32"/>
        </w:rPr>
        <w:t xml:space="preserve">S.E.T.H.S. — Systematically Engineered To Hinder Speculators</w:t>
      </w:r>
    </w:p>
    <w:p>
      <w:pPr>
        <w:pStyle w:val="Heading3"/>
        <w:spacing w:after="100" w:before="200"/>
      </w:pPr>
      <w:r>
        <w:rPr>
          <w:rFonts w:ascii="Arial" w:cs="Arial" w:eastAsia="Arial" w:hAnsi="Arial"/>
          <w:b/>
          <w:bCs/>
          <w:color w:val="E8C97A"/>
          <w:sz w:val="26"/>
          <w:szCs w:val="26"/>
        </w:rPr>
        <w:t xml:space="preserve">Division Overview</w:t>
      </w:r>
    </w:p>
    <w:p>
      <w:pPr>
        <w:spacing w:after="140" w:before="0"/>
        <w:jc w:val="left"/>
      </w:pPr>
      <w:r>
        <w:rPr>
          <w:rFonts w:ascii="Arial" w:cs="Arial" w:eastAsia="Arial" w:hAnsi="Arial"/>
          <w:b w:val="false"/>
          <w:bCs w:val="false"/>
          <w:i w:val="false"/>
          <w:iCs w:val="false"/>
          <w:caps w:val="false"/>
          <w:color w:val="D4CEBC"/>
          <w:sz w:val="22"/>
          <w:szCs w:val="22"/>
        </w:rPr>
        <w:t xml:space="preserve">S.E.T.H.S. is the human capital engine of G.O.D.S. It is the first operational proof of the compounding loop, and the credibility foundation on which T.S., UDOC, and M.A.D.I.B.A. are built. S.E.T.H.S. is not a social programme. It is a human capital development system that transforms structurally unemployed individuals into productive, AI-era citizens — and feeds that transformed capacity directly into the infrastructure, governance, and capital engines of the wider G.O.D.S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Parameter</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Detail</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Target Population</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Structurally excluded: post-incarceration, long-term unemployed (24+ months), NEET youth 18–45, GBV survivors, AI-displaced workers, informal sector seeking formalisation</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Programme Duration</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36 weeks (24-week primary cycle + 12-week placement &amp; monitoring phase)</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Pilot Cohort Size</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50 participants, Gauteng province</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Placement Target</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85%+ employment rate at 30 days; 70%+ retention at 90 days; 60%+ retention at 12 months</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Economic Multiplier</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Target 5:1 income earned by participants per rand of programme cost within 3 years</w:t>
            </w:r>
          </w:p>
        </w:tc>
      </w:tr>
    </w:tbl>
    <w:p>
      <w:pPr>
        <w:spacing w:after="120" w:before="0"/>
      </w:pPr>
    </w:p>
    <w:p>
      <w:pPr>
        <w:pStyle w:val="Heading3"/>
        <w:spacing w:after="100" w:before="200"/>
      </w:pPr>
      <w:r>
        <w:rPr>
          <w:rFonts w:ascii="Arial" w:cs="Arial" w:eastAsia="Arial" w:hAnsi="Arial"/>
          <w:b/>
          <w:bCs/>
          <w:color w:val="E8C97A"/>
          <w:sz w:val="26"/>
          <w:szCs w:val="26"/>
        </w:rPr>
        <w:t xml:space="preserve">Five Operational Pillars</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1. Honesty:</w:t>
      </w:r>
      <w:r>
        <w:rPr>
          <w:rFonts w:ascii="Arial" w:cs="Arial" w:eastAsia="Arial" w:hAnsi="Arial"/>
          <w:b w:val="false"/>
          <w:bCs w:val="false"/>
          <w:i w:val="false"/>
          <w:iCs w:val="false"/>
          <w:caps w:val="false"/>
          <w:color w:val="D4CEBC"/>
          <w:sz w:val="22"/>
          <w:szCs w:val="22"/>
        </w:rPr>
        <w:t xml:space="preserve"> Radical structured honesty applied symmetrically. Participants honest about relapse risk and behavioural history. Performance data auditable. Honesty is what makes employer confidence possible.</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2. Tolerance:</w:t>
      </w:r>
      <w:r>
        <w:rPr>
          <w:rFonts w:ascii="Arial" w:cs="Arial" w:eastAsia="Arial" w:hAnsi="Arial"/>
          <w:b w:val="false"/>
          <w:bCs w:val="false"/>
          <w:i w:val="false"/>
          <w:iCs w:val="false"/>
          <w:caps w:val="false"/>
          <w:color w:val="D4CEBC"/>
          <w:sz w:val="22"/>
          <w:szCs w:val="22"/>
        </w:rPr>
        <w:t xml:space="preserve"> Structured tolerance of the recovery process — not of destructive behaviour. A relapse triggers a documented proportionate response, not permanent disqualification.</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3. Belief Systems:</w:t>
      </w:r>
      <w:r>
        <w:rPr>
          <w:rFonts w:ascii="Arial" w:cs="Arial" w:eastAsia="Arial" w:hAnsi="Arial"/>
          <w:b w:val="false"/>
          <w:bCs w:val="false"/>
          <w:i w:val="false"/>
          <w:iCs w:val="false"/>
          <w:caps w:val="false"/>
          <w:color w:val="D4CEBC"/>
          <w:sz w:val="22"/>
          <w:szCs w:val="22"/>
        </w:rPr>
        <w:t xml:space="preserve"> Freedom of faith without imposition. Spiritual anchors respected as dimensions of human dignity. Makes system scalable across all cultural contexts.</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4. Equality:</w:t>
      </w:r>
      <w:r>
        <w:rPr>
          <w:rFonts w:ascii="Arial" w:cs="Arial" w:eastAsia="Arial" w:hAnsi="Arial"/>
          <w:b w:val="false"/>
          <w:bCs w:val="false"/>
          <w:i w:val="false"/>
          <w:iCs w:val="false"/>
          <w:caps w:val="false"/>
          <w:color w:val="D4CEBC"/>
          <w:sz w:val="22"/>
          <w:szCs w:val="22"/>
        </w:rPr>
        <w:t xml:space="preserve"> Equal access, equal accountability, equal measurement. Consistency of standards is the commercial guarantee that makes S.E.T.H.S. certification meaningful to employers.</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5. Pride:</w:t>
      </w:r>
      <w:r>
        <w:rPr>
          <w:rFonts w:ascii="Arial" w:cs="Arial" w:eastAsia="Arial" w:hAnsi="Arial"/>
          <w:b w:val="false"/>
          <w:bCs w:val="false"/>
          <w:i w:val="false"/>
          <w:iCs w:val="false"/>
          <w:caps w:val="false"/>
          <w:color w:val="D4CEBC"/>
          <w:sz w:val="22"/>
          <w:szCs w:val="22"/>
        </w:rPr>
        <w:t xml:space="preserve"> Restoration of pride is the most durable behavioural intervention. People protect what gives them dignity. This is the mechanism through which lasting change occurs.</w:t>
      </w:r>
    </w:p>
    <w:p>
      <w:pPr>
        <w:spacing w:after="120" w:before="0"/>
      </w:pPr>
    </w:p>
    <w:p>
      <w:pPr>
        <w:pStyle w:val="Heading3"/>
        <w:spacing w:after="100" w:before="200"/>
      </w:pPr>
      <w:r>
        <w:rPr>
          <w:rFonts w:ascii="Arial" w:cs="Arial" w:eastAsia="Arial" w:hAnsi="Arial"/>
          <w:b/>
          <w:bCs/>
          <w:color w:val="E8C97A"/>
          <w:sz w:val="26"/>
          <w:szCs w:val="26"/>
        </w:rPr>
        <w:t xml:space="preserve">36-Week Programme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160"/>
        <w:gridCol w:w="3960"/>
        <w:gridCol w:w="2240"/>
      </w:tblGrid>
      <w:tr>
        <w:trPr>
          <w:tblHeader/>
        </w:trPr>
        <w:tc>
          <w:tcPr>
            <w:tcW w:type="dxa" w:w="20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Phase</w:t>
            </w:r>
          </w:p>
        </w:tc>
        <w:tc>
          <w:tcPr>
            <w:tcW w:type="dxa" w:w="11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Duration</w:t>
            </w:r>
          </w:p>
        </w:tc>
        <w:tc>
          <w:tcPr>
            <w:tcW w:type="dxa" w:w="39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Focus</w:t>
            </w:r>
          </w:p>
        </w:tc>
        <w:tc>
          <w:tcPr>
            <w:tcW w:type="dxa" w:w="22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Output</w:t>
            </w:r>
          </w:p>
        </w:tc>
      </w:tr>
      <w:tr>
        <w:trPr>
          <w:tblHeader w:val="false"/>
        </w:trPr>
        <w:tc>
          <w:tcPr>
            <w:tcW w:type="dxa" w:w="2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1: Foundation &amp; Stabilisation</w:t>
            </w:r>
          </w:p>
        </w:tc>
        <w:tc>
          <w:tcPr>
            <w:tcW w:type="dxa" w:w="1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Weeks 1–4</w:t>
            </w:r>
          </w:p>
        </w:tc>
        <w:tc>
          <w:tcPr>
            <w:tcW w:type="dxa" w:w="3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Psychological safety, trust, baseline stability. Identity Reconstruction Framework, Personal Recovery Contract.</w:t>
            </w:r>
          </w:p>
        </w:tc>
        <w:tc>
          <w:tcPr>
            <w:tcW w:type="dxa" w:w="22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Assessed participant profile, signed behavioural contract, assigned vocational pathway</w:t>
            </w:r>
          </w:p>
        </w:tc>
      </w:tr>
      <w:tr>
        <w:trPr>
          <w:tblHeader w:val="false"/>
        </w:trPr>
        <w:tc>
          <w:tcPr>
            <w:tcW w:type="dxa" w:w="2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2: Core Skills Development</w:t>
            </w:r>
          </w:p>
        </w:tc>
        <w:tc>
          <w:tcPr>
            <w:tcW w:type="dxa" w:w="1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Weeks 5–12</w:t>
            </w:r>
          </w:p>
        </w:tc>
        <w:tc>
          <w:tcPr>
            <w:tcW w:type="dxa" w:w="3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Vocational pathway training (Streams A–D) + core transferable skills: digital literacy, financial literacy, AI literacy, workplace readiness.</w:t>
            </w:r>
          </w:p>
        </w:tc>
        <w:tc>
          <w:tcPr>
            <w:tcW w:type="dxa" w:w="22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SETA-aligned skills certification, employer-readiness assessment</w:t>
            </w:r>
          </w:p>
        </w:tc>
      </w:tr>
      <w:tr>
        <w:trPr>
          <w:tblHeader w:val="false"/>
        </w:trPr>
        <w:tc>
          <w:tcPr>
            <w:tcW w:type="dxa" w:w="2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3: Advanced Skills &amp; Work Readiness</w:t>
            </w:r>
          </w:p>
        </w:tc>
        <w:tc>
          <w:tcPr>
            <w:tcW w:type="dxa" w:w="1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Weeks 13–18</w:t>
            </w:r>
          </w:p>
        </w:tc>
        <w:tc>
          <w:tcPr>
            <w:tcW w:type="dxa" w:w="3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Advanced pathway training, mentor matching, employer introductions, site visits, job shadowing (minimum 3 days).</w:t>
            </w:r>
          </w:p>
        </w:tc>
        <w:tc>
          <w:tcPr>
            <w:tcW w:type="dxa" w:w="22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Employer-readiness certification, professional portfolio, CV</w:t>
            </w:r>
          </w:p>
        </w:tc>
      </w:tr>
      <w:tr>
        <w:trPr>
          <w:tblHeader w:val="false"/>
        </w:trPr>
        <w:tc>
          <w:tcPr>
            <w:tcW w:type="dxa" w:w="2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4: Placement &amp; Activation</w:t>
            </w:r>
          </w:p>
        </w:tc>
        <w:tc>
          <w:tcPr>
            <w:tcW w:type="dxa" w:w="1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Weeks 19–24</w:t>
            </w:r>
          </w:p>
        </w:tc>
        <w:tc>
          <w:tcPr>
            <w:tcW w:type="dxa" w:w="3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Active employment or apprenticeship commencement. Weekly case manager check-in. 30- and 60-day employer reviews.</w:t>
            </w:r>
          </w:p>
        </w:tc>
        <w:tc>
          <w:tcPr>
            <w:tcW w:type="dxa" w:w="22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40+ placements (target for 50-person cohort), documented employment data</w:t>
            </w:r>
          </w:p>
        </w:tc>
      </w:tr>
      <w:tr>
        <w:trPr>
          <w:tblHeader w:val="false"/>
        </w:trPr>
        <w:tc>
          <w:tcPr>
            <w:tcW w:type="dxa" w:w="2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5: Alumni Network &amp; Support</w:t>
            </w:r>
          </w:p>
        </w:tc>
        <w:tc>
          <w:tcPr>
            <w:tcW w:type="dxa" w:w="1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Weeks 25–36</w:t>
            </w:r>
          </w:p>
        </w:tc>
        <w:tc>
          <w:tcPr>
            <w:tcW w:type="dxa" w:w="3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Monthly check-ins, upskilling access, alumni network, emergency support fund, peer mentor pathway.</w:t>
            </w:r>
          </w:p>
        </w:tc>
        <w:tc>
          <w:tcPr>
            <w:tcW w:type="dxa" w:w="22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90-day verified employment outcomes, longitudinal data for UDOC governance layer</w:t>
            </w:r>
          </w:p>
        </w:tc>
      </w:tr>
    </w:tbl>
    <w:p>
      <w:pPr>
        <w:spacing w:after="120" w:before="0"/>
      </w:pPr>
    </w:p>
    <w:p>
      <w:pPr>
        <w:pStyle w:val="Heading3"/>
        <w:spacing w:after="100" w:before="200"/>
      </w:pPr>
      <w:r>
        <w:rPr>
          <w:rFonts w:ascii="Arial" w:cs="Arial" w:eastAsia="Arial" w:hAnsi="Arial"/>
          <w:b/>
          <w:bCs/>
          <w:color w:val="E8C97A"/>
          <w:sz w:val="26"/>
          <w:szCs w:val="26"/>
        </w:rPr>
        <w:t xml:space="preserve">Four Vocational Streams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Stream</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Employment Destination</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Stream A — Construction &amp; Infrastructure</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T.S. Industries projects (primary); external construction contractors (secondary). Solar installation, plumbing, electrical, infrastructure maintenance.</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Stream B — Digital Operations</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G.O.D.S. internal roles, partner employers, SETA-linked apprenticeships. Data entry, customer service, digital support, basic bookkeeping.</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Stream C — Agriculture &amp; Food Systems</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T.S. Vertical Farming operations, urban agriculture co-operatives, food system partners. CEA technicians, food handling, supply chain.</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Stream D — Community Health &amp; Social Support</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Department of Health CHW programme, NGO sector, municipal social services. Community health workers, peer mentors, ECD assistants.</w:t>
            </w:r>
          </w:p>
        </w:tc>
      </w:tr>
    </w:tbl>
    <w:p>
      <w:pPr>
        <w:spacing w:after="120" w:before="0"/>
      </w:pPr>
    </w:p>
    <w:p>
      <w:pPr>
        <w:pStyle w:val="Heading3"/>
        <w:spacing w:after="100" w:before="200"/>
      </w:pPr>
      <w:r>
        <w:rPr>
          <w:rFonts w:ascii="Arial" w:cs="Arial" w:eastAsia="Arial" w:hAnsi="Arial"/>
          <w:b/>
          <w:bCs/>
          <w:color w:val="E8C97A"/>
          <w:sz w:val="26"/>
          <w:szCs w:val="26"/>
        </w:rPr>
        <w:t xml:space="preserve">Revenue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Revenue Stream</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Description</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Government Outcome-Based Contracts</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Per-participant intake fee (R8K–R15K) + per-successful-placement fee (R25K–R45K) + 24-month retention data retainer (R5K per participant/year)</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Employer SaaS Subscriptions</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Dashboard for employer partners: candidate behavioural data, placement tracking, compliance reporting</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S.E.T.H.S. Certification Licensing</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Third-party delivery partners licence the methodology, assessment tools, and certification framework</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SETA Grants &amp; Learnership Tax Credits</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Section 12H learnership credits. Employer contributions via mandatory/discretionary SETA grants.</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Behavioural Data Analytics</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Aggregated, anonymised longitudinal data sold to research institutions, government policy bodies, HR functions</w:t>
            </w:r>
          </w:p>
        </w:tc>
      </w:tr>
    </w:tbl>
    <w:p>
      <w:pPr>
        <w:spacing w:after="160" w:before="0"/>
      </w:pPr>
    </w:p>
    <w:p>
      <w:pPr>
        <w:pStyle w:val="Heading2"/>
        <w:spacing w:after="140" w:before="280"/>
      </w:pPr>
      <w:r>
        <w:rPr>
          <w:rFonts w:ascii="Arial" w:cs="Arial" w:eastAsia="Arial" w:hAnsi="Arial"/>
          <w:b/>
          <w:bCs/>
          <w:color w:val="F5F0E8"/>
          <w:sz w:val="32"/>
          <w:szCs w:val="32"/>
        </w:rPr>
        <w:t xml:space="preserve">T.S. — The Technological Sector</w:t>
      </w:r>
    </w:p>
    <w:p>
      <w:pPr>
        <w:pStyle w:val="Heading3"/>
        <w:spacing w:after="100" w:before="200"/>
      </w:pPr>
      <w:r>
        <w:rPr>
          <w:rFonts w:ascii="Arial" w:cs="Arial" w:eastAsia="Arial" w:hAnsi="Arial"/>
          <w:b/>
          <w:bCs/>
          <w:color w:val="E8C97A"/>
          <w:sz w:val="26"/>
          <w:szCs w:val="26"/>
        </w:rPr>
        <w:t xml:space="preserve">Division Overview</w:t>
      </w:r>
    </w:p>
    <w:p>
      <w:pPr>
        <w:spacing w:after="140" w:before="0"/>
        <w:jc w:val="left"/>
      </w:pPr>
      <w:r>
        <w:rPr>
          <w:rFonts w:ascii="Arial" w:cs="Arial" w:eastAsia="Arial" w:hAnsi="Arial"/>
          <w:b w:val="false"/>
          <w:bCs w:val="false"/>
          <w:i w:val="false"/>
          <w:iCs w:val="false"/>
          <w:caps w:val="false"/>
          <w:color w:val="D4CEBC"/>
          <w:sz w:val="22"/>
          <w:szCs w:val="22"/>
        </w:rPr>
        <w:t xml:space="preserve">T.S. is the production and infrastructure engine of G.O.D.S. It is not a technology company. It is an industrial conglomerate — a multi-sector production platform that builds the physical infrastructure South Africa and SADC require, using the human capital that S.E.T.H.S. produces. T.S. serves two simultaneous functions: it is the primary employment destination for S.E.T.H.S. graduates, and it generates the infrastructure outcomes that attract M.A.D.I.B.A. capital.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Subsidiary</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Launch Timeline &amp; Revenue Model</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TS Energy (Pty) Ltd</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Year 1–2. Solar PV EPC (R5M–R500M per project), battery storage, O&amp;M retainers, REIPP participation.</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TS Construction &amp; Housing (Pty) Ltd</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Year 1–2. Modular housing delivery, government social housing contracts (DFFE, provincial DHS), infrastructure construction.</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TS AgriTech (Pty) Ltd</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Year 2–3. Vertical farming installations, precision irrigation, food security programme infrastructure.</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TS Water Systems (Pty) Ltd</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Year 2–3. Municipal water infrastructure rehabilitation, wastewater treatment, smart metering (COGTA, SALGA contracts).</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TS Digital Infrastructure (Pty) Ltd</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Year 2–3. Sovereign cloud data centre construction, government data hosting, fibre network installation.</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TS Manufacturing (Pty) Ltd</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Year 3–5. Modular building components, solar mounting systems, AgriTech equipment components.</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TS Logistics (Pty) Ltd</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Year 3–5. Last-mile delivery, cold chain logistics (TS AgriTech food distribution), government supply chain.</w:t>
            </w:r>
          </w:p>
        </w:tc>
      </w:tr>
    </w:tbl>
    <w:p>
      <w:pPr>
        <w:spacing w:after="120" w:before="0"/>
      </w:pPr>
    </w:p>
    <w:p>
      <w:pPr>
        <w:pStyle w:val="Heading3"/>
        <w:spacing w:after="100" w:before="200"/>
      </w:pPr>
      <w:r>
        <w:rPr>
          <w:rFonts w:ascii="Arial" w:cs="Arial" w:eastAsia="Arial" w:hAnsi="Arial"/>
          <w:b/>
          <w:bCs/>
          <w:color w:val="E8C97A"/>
          <w:sz w:val="26"/>
          <w:szCs w:val="26"/>
        </w:rPr>
        <w:t xml:space="preserve">SPV Structure for Large Infrastructure Projects</w:t>
      </w:r>
    </w:p>
    <w:p>
      <w:pPr>
        <w:spacing w:after="140" w:before="0"/>
        <w:jc w:val="left"/>
      </w:pPr>
      <w:r>
        <w:rPr>
          <w:rFonts w:ascii="Arial" w:cs="Arial" w:eastAsia="Arial" w:hAnsi="Arial"/>
          <w:b w:val="false"/>
          <w:bCs w:val="false"/>
          <w:i w:val="false"/>
          <w:iCs w:val="false"/>
          <w:caps w:val="false"/>
          <w:color w:val="D4CEBC"/>
          <w:sz w:val="22"/>
          <w:szCs w:val="22"/>
        </w:rPr>
        <w:t xml:space="preserve">All T.S. and UDOC government co-ownership deployments are structured as Public-Private Partnerships (PPPs) under National Treasury Regulation 16 and the PFMA. Standard SPV shareholder structure: G.O.D.S. TS Holdings 51–60% (operations and delivery), Government Partner 30–40% (co-owner, policy oversight), M.A.D.I.B.A./DFI 10–20% (capital provider).</w:t>
      </w:r>
    </w:p>
    <w:p>
      <w:pPr>
        <w:spacing w:after="160" w:before="0"/>
      </w:pPr>
    </w:p>
    <w:p>
      <w:pPr>
        <w:pStyle w:val="Heading2"/>
        <w:spacing w:after="140" w:before="280"/>
      </w:pPr>
      <w:r>
        <w:rPr>
          <w:rFonts w:ascii="Arial" w:cs="Arial" w:eastAsia="Arial" w:hAnsi="Arial"/>
          <w:b/>
          <w:bCs/>
          <w:color w:val="F5F0E8"/>
          <w:sz w:val="32"/>
          <w:szCs w:val="32"/>
        </w:rPr>
        <w:t xml:space="preserve">UDOC — Unified Digital Oversight &amp; Coordination</w:t>
      </w:r>
    </w:p>
    <w:p>
      <w:pPr>
        <w:pStyle w:val="Heading3"/>
        <w:spacing w:after="100" w:before="200"/>
      </w:pPr>
      <w:r>
        <w:rPr>
          <w:rFonts w:ascii="Arial" w:cs="Arial" w:eastAsia="Arial" w:hAnsi="Arial"/>
          <w:b/>
          <w:bCs/>
          <w:color w:val="E8C97A"/>
          <w:sz w:val="26"/>
          <w:szCs w:val="26"/>
        </w:rPr>
        <w:t xml:space="preserve">Division Overview</w:t>
      </w:r>
    </w:p>
    <w:p>
      <w:pPr>
        <w:spacing w:after="140" w:before="0"/>
        <w:jc w:val="left"/>
      </w:pPr>
      <w:r>
        <w:rPr>
          <w:rFonts w:ascii="Arial" w:cs="Arial" w:eastAsia="Arial" w:hAnsi="Arial"/>
          <w:b w:val="false"/>
          <w:bCs w:val="false"/>
          <w:i w:val="false"/>
          <w:iCs w:val="false"/>
          <w:caps w:val="false"/>
          <w:color w:val="D4CEBC"/>
          <w:sz w:val="22"/>
          <w:szCs w:val="22"/>
        </w:rPr>
        <w:t xml:space="preserve">UDOC is the sovereign digital governance SaaS platform and national digital backbone of G.O.D.S. It is not competing with enterprise AI tools. It is building the governance and oversight layer that sits above all of them — the infrastructure that regulated industries and governments use to audit, control, and verify AI systems regardless of which vendor built them. The target positioning: UDOC is to AI governance what SWIFT is to financial transactions — the independent, auditable infrastructure layer that makes the underlying system trustworthy.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Module</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Function</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Module 1: AI Decision Audit Log</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Every AI decision event produces a cryptographically signed, tamper-evident, human-readable audit record: input parameters, model version, output, confidence score, decision pathway.</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Module 2: Bias Detection &amp; Fairness Engine</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Continuous automated monitoring of AI decision outcomes across all protected characteristic groups. 24-hour cycle analysis. Real-time alert for threshold breach. Monthly fairness report to client board.</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Module 3: Model Registry &amp; Version Control</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Governed registry of all AI models in the client environment — including third-party API models. Full documentation: vendor, version, training data, known limitations, approved use cases, review schedule.</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Module 4: Incident Response &amp; Escalation</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Structured escalation when AI governance failures are detected. Human decision at every escalation point. Full documentation. COB notification.</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Module 5: Sovereign Compliance Verification</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Verifies that AI activity within a sovereign's jurisdiction complies with constitutional mandates, legal frameworks, and governance obligations across all governed systems simultaneously.</w:t>
            </w:r>
          </w:p>
        </w:tc>
      </w:tr>
    </w:tbl>
    <w:p>
      <w:pPr>
        <w:spacing w:after="120" w:before="0"/>
      </w:pPr>
    </w:p>
    <w:p>
      <w:pPr>
        <w:pStyle w:val="Heading3"/>
        <w:spacing w:after="100" w:before="200"/>
      </w:pPr>
      <w:r>
        <w:rPr>
          <w:rFonts w:ascii="Arial" w:cs="Arial" w:eastAsia="Arial" w:hAnsi="Arial"/>
          <w:b/>
          <w:bCs/>
          <w:color w:val="E8C97A"/>
          <w:sz w:val="26"/>
          <w:szCs w:val="26"/>
        </w:rPr>
        <w:t xml:space="preserve">HQ-OS — Hybrid Classical + Quantum Operating System</w:t>
      </w:r>
    </w:p>
    <w:p>
      <w:pPr>
        <w:spacing w:after="140" w:before="0"/>
        <w:jc w:val="left"/>
      </w:pPr>
      <w:r>
        <w:rPr>
          <w:rFonts w:ascii="Arial" w:cs="Arial" w:eastAsia="Arial" w:hAnsi="Arial"/>
          <w:b w:val="false"/>
          <w:bCs w:val="false"/>
          <w:i w:val="false"/>
          <w:iCs w:val="false"/>
          <w:caps w:val="false"/>
          <w:color w:val="D4CEBC"/>
          <w:sz w:val="22"/>
          <w:szCs w:val="22"/>
        </w:rPr>
        <w:t xml:space="preserve">The HQ-OS is the computational and cryptographic foundation upon which all four divisions operate. It is quantum-ready from Phase 1: post-quantum cryptographic standards active from Day 1, Quantum-Classical Interface middleware deployed and dormant awaiting QPU attachment, all data structures architected for quantum acceleration.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880"/>
        <w:gridCol w:w="2080"/>
        <w:gridCol w:w="2200"/>
      </w:tblGrid>
      <w:tr>
        <w:trPr>
          <w:tblHeader/>
        </w:trPr>
        <w:tc>
          <w:tcPr>
            <w:tcW w:type="dxa" w:w="22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HQ-OS Layer</w:t>
            </w:r>
          </w:p>
        </w:tc>
        <w:tc>
          <w:tcPr>
            <w:tcW w:type="dxa" w:w="288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Function</w:t>
            </w:r>
          </w:p>
        </w:tc>
        <w:tc>
          <w:tcPr>
            <w:tcW w:type="dxa" w:w="208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Phase Activation</w:t>
            </w:r>
          </w:p>
        </w:tc>
        <w:tc>
          <w:tcPr>
            <w:tcW w:type="dxa" w:w="22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Advantage</w:t>
            </w:r>
          </w:p>
        </w:tc>
      </w:tr>
      <w:tr>
        <w:trPr>
          <w:tblHeader w:val="false"/>
        </w:trPr>
        <w:tc>
          <w:tcPr>
            <w:tcW w:type="dxa" w:w="2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Post-Quantum Cryptography (NIST PQC)</w:t>
            </w:r>
          </w:p>
        </w:tc>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CRYSTALS-Kyber, CRYSTALS-Dilithium. All data encrypted with quantum-resistant algorithms.</w:t>
            </w:r>
          </w:p>
        </w:tc>
        <w:tc>
          <w:tcPr>
            <w:tcW w:type="dxa" w:w="20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1: Active Day 1</w:t>
            </w:r>
          </w:p>
        </w:tc>
        <w:tc>
          <w:tcPr>
            <w:tcW w:type="dxa" w:w="2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Protects against harvest-now-decrypt-later attacks on sovereign data</w:t>
            </w:r>
          </w:p>
        </w:tc>
      </w:tr>
      <w:tr>
        <w:trPr>
          <w:tblHeader w:val="false"/>
        </w:trPr>
        <w:tc>
          <w:tcPr>
            <w:tcW w:type="dxa" w:w="22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Quantum-Classical Interface Middleware</w:t>
            </w:r>
          </w:p>
        </w:tc>
        <w:tc>
          <w:tcPr>
            <w:tcW w:type="dxa" w:w="28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Routes computational workloads between classical CPU/GPU and quantum QPU. Classification algorithm identifies quantum-suitable tasks.</w:t>
            </w:r>
          </w:p>
        </w:tc>
        <w:tc>
          <w:tcPr>
            <w:tcW w:type="dxa" w:w="20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1: Deployed dormant; activates when QPU attached</w:t>
            </w:r>
          </w:p>
        </w:tc>
        <w:tc>
          <w:tcPr>
            <w:tcW w:type="dxa" w:w="22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1,000x+ cryptographic verification speed vs classical</w:t>
            </w:r>
          </w:p>
        </w:tc>
      </w:tr>
      <w:tr>
        <w:trPr>
          <w:tblHeader w:val="false"/>
        </w:trPr>
        <w:tc>
          <w:tcPr>
            <w:tcW w:type="dxa" w:w="2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Quantum Bias Detection Engine</w:t>
            </w:r>
          </w:p>
        </w:tc>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Intersectional bias analysis across all protected characteristic dimensions simultaneously.</w:t>
            </w:r>
          </w:p>
        </w:tc>
        <w:tc>
          <w:tcPr>
            <w:tcW w:type="dxa" w:w="20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2: Activated with cloud QPU</w:t>
            </w:r>
          </w:p>
        </w:tc>
        <w:tc>
          <w:tcPr>
            <w:tcW w:type="dxa" w:w="2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Exponential scaling vs classical ~100 variable limit</w:t>
            </w:r>
          </w:p>
        </w:tc>
      </w:tr>
      <w:tr>
        <w:trPr>
          <w:tblHeader w:val="false"/>
        </w:trPr>
        <w:tc>
          <w:tcPr>
            <w:tcW w:type="dxa" w:w="22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Quantum Key Distribution (QKD)</w:t>
            </w:r>
          </w:p>
        </w:tc>
        <w:tc>
          <w:tcPr>
            <w:tcW w:type="dxa" w:w="28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Physically unbreakable key exchange for highest-sensitivity sovereign data. BB84 protocol.</w:t>
            </w:r>
          </w:p>
        </w:tc>
        <w:tc>
          <w:tcPr>
            <w:tcW w:type="dxa" w:w="20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2: Metropolitan pilot; Phase 3: Full deployment</w:t>
            </w:r>
          </w:p>
        </w:tc>
        <w:tc>
          <w:tcPr>
            <w:tcW w:type="dxa" w:w="22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Theoretically unbreakable — physical intercept detection</w:t>
            </w:r>
          </w:p>
        </w:tc>
      </w:tr>
      <w:tr>
        <w:trPr>
          <w:tblHeader w:val="false"/>
        </w:trPr>
        <w:tc>
          <w:tcPr>
            <w:tcW w:type="dxa" w:w="2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On-Premises QPU</w:t>
            </w:r>
          </w:p>
        </w:tc>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Full quantum co-processor within sovereign data centre perimeter. Zero foreign dependency.</w:t>
            </w:r>
          </w:p>
        </w:tc>
        <w:tc>
          <w:tcPr>
            <w:tcW w:type="dxa" w:w="20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3: On-premises hardware (100+ qubits)</w:t>
            </w:r>
          </w:p>
        </w:tc>
        <w:tc>
          <w:tcPr>
            <w:tcW w:type="dxa" w:w="2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Full quantum sovereignty — no foreign cryogenic control</w:t>
            </w:r>
          </w:p>
        </w:tc>
      </w:tr>
    </w:tbl>
    <w:p>
      <w:pPr>
        <w:spacing w:after="120" w:before="0"/>
      </w:pPr>
    </w:p>
    <w:p>
      <w:pPr>
        <w:pStyle w:val="Heading3"/>
        <w:spacing w:after="100" w:before="200"/>
      </w:pPr>
      <w:r>
        <w:rPr>
          <w:rFonts w:ascii="Arial" w:cs="Arial" w:eastAsia="Arial" w:hAnsi="Arial"/>
          <w:b/>
          <w:bCs/>
          <w:color w:val="E8C97A"/>
          <w:sz w:val="26"/>
          <w:szCs w:val="26"/>
        </w:rPr>
        <w:t xml:space="preserve">UDOC Revenue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Revenue Stream</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Pricing &amp; Target</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Enterprise SaaS Subscriptions</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R85K–R250K/month depending on AI system volume and module selection. Implementation fee R500K–R2M. Target: 3 clients by Month 18 (Phase 1), 15+ clients by Year 3.</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Government Sovereign Platform Contracts</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Annual sovereign platform fee structure. SITA Transversal Contract pathway. Government pilot: DPSA or SARS. 5+ sovereign deployments by Phase 3.</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Quantum Security Premium Tier</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Premium tier for QKD and on-premises QPU workloads. Per-quantum-job pricing. Annual AQGN membership.</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African Quantum Governance Network (AQGN)</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Continental quantum backbone. QKD-secured network interconnecting sovereign UDOC nodes across SADC. AQGN infrastructure licensing.</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Framework Licensing to Other States</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Phase 5 global standard: UDOC architecture licensed to international sovereign partners. Target: $100M+ licensing revenue.</w:t>
            </w:r>
          </w:p>
        </w:tc>
      </w:tr>
    </w:tbl>
    <w:p>
      <w:pPr>
        <w:spacing w:after="160" w:before="0"/>
      </w:pPr>
    </w:p>
    <w:p>
      <w:pPr>
        <w:pStyle w:val="Heading2"/>
        <w:spacing w:after="140" w:before="280"/>
      </w:pPr>
      <w:r>
        <w:rPr>
          <w:rFonts w:ascii="Arial" w:cs="Arial" w:eastAsia="Arial" w:hAnsi="Arial"/>
          <w:b/>
          <w:bCs/>
          <w:color w:val="F5F0E8"/>
          <w:sz w:val="32"/>
          <w:szCs w:val="32"/>
        </w:rPr>
        <w:t xml:space="preserve">M.A.D.I.B.A. — My African Dream Is Being Achieved</w:t>
      </w:r>
    </w:p>
    <w:p>
      <w:pPr>
        <w:pStyle w:val="Heading3"/>
        <w:spacing w:after="100" w:before="200"/>
      </w:pPr>
      <w:r>
        <w:rPr>
          <w:rFonts w:ascii="Arial" w:cs="Arial" w:eastAsia="Arial" w:hAnsi="Arial"/>
          <w:b/>
          <w:bCs/>
          <w:color w:val="E8C97A"/>
          <w:sz w:val="26"/>
          <w:szCs w:val="26"/>
        </w:rPr>
        <w:t xml:space="preserve">Division Overview</w:t>
      </w:r>
    </w:p>
    <w:p>
      <w:pPr>
        <w:spacing w:after="140" w:before="0"/>
        <w:jc w:val="left"/>
      </w:pPr>
      <w:r>
        <w:rPr>
          <w:rFonts w:ascii="Arial" w:cs="Arial" w:eastAsia="Arial" w:hAnsi="Arial"/>
          <w:b w:val="false"/>
          <w:bCs w:val="false"/>
          <w:i w:val="false"/>
          <w:iCs w:val="false"/>
          <w:caps w:val="false"/>
          <w:color w:val="D4CEBC"/>
          <w:sz w:val="22"/>
          <w:szCs w:val="22"/>
        </w:rPr>
        <w:t xml:space="preserve">M.A.D.I.B.A. is not a bank. It is not a VC fund. It is not a development finance institution. It is the capital architecture and sovereign interface division of G.O.D.S. Holdings — the mechanism by which the proven operational outcomes of S.E.T.H.S., T.S., and UDOC are translated into the capital structures that allow the system to scale. M.A.D.I.B.A. activates only after proof exists.</w:t>
      </w:r>
    </w:p>
    <w:p>
      <w:pPr>
        <w:pStyle w:val="Heading3"/>
        <w:spacing w:after="100" w:before="200"/>
      </w:pPr>
      <w:r>
        <w:rPr>
          <w:rFonts w:ascii="Arial" w:cs="Arial" w:eastAsia="Arial" w:hAnsi="Arial"/>
          <w:b/>
          <w:bCs/>
          <w:color w:val="E8C97A"/>
          <w:sz w:val="26"/>
          <w:szCs w:val="26"/>
        </w:rPr>
        <w:t xml:space="preserve">Three Operating Functions</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1. Capital Deployment (G.O.D.S. Infrastructure Fund):</w:t>
      </w:r>
      <w:r>
        <w:rPr>
          <w:rFonts w:ascii="Arial" w:cs="Arial" w:eastAsia="Arial" w:hAnsi="Arial"/>
          <w:b w:val="false"/>
          <w:bCs w:val="false"/>
          <w:i w:val="false"/>
          <w:iCs w:val="false"/>
          <w:caps w:val="false"/>
          <w:color w:val="D4CEBC"/>
          <w:sz w:val="22"/>
          <w:szCs w:val="22"/>
        </w:rPr>
        <w:t xml:space="preserve"> Closed-end private equity/infrastructure fund. Target size: R2B (Stage One close) scaling to R10B (Stage Two). Management fee 2% + 20% carried interest above 8% hurdle rate. Target LPs: PIC, GEPF, IDC, DBSA, AfDB, IFC.</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2. Project SPVs:</w:t>
      </w:r>
      <w:r>
        <w:rPr>
          <w:rFonts w:ascii="Arial" w:cs="Arial" w:eastAsia="Arial" w:hAnsi="Arial"/>
          <w:b w:val="false"/>
          <w:bCs w:val="false"/>
          <w:i w:val="false"/>
          <w:iCs w:val="false"/>
          <w:caps w:val="false"/>
          <w:color w:val="D4CEBC"/>
          <w:sz w:val="22"/>
          <w:szCs w:val="22"/>
        </w:rPr>
        <w:t xml:space="preserve"> Established for individual projects above R50M. Equity: T.S. Industries 40–51%, Fund 20–40%, Co-investor 10–30%. Debt: senior bank + DFI concessional. Target 7–12% levered equity IRR at project level.</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3. Sovereign Advisory Services:</w:t>
      </w:r>
      <w:r>
        <w:rPr>
          <w:rFonts w:ascii="Arial" w:cs="Arial" w:eastAsia="Arial" w:hAnsi="Arial"/>
          <w:b w:val="false"/>
          <w:bCs w:val="false"/>
          <w:i w:val="false"/>
          <w:iCs w:val="false"/>
          <w:caps w:val="false"/>
          <w:color w:val="D4CEBC"/>
          <w:sz w:val="22"/>
          <w:szCs w:val="22"/>
        </w:rPr>
        <w:t xml:space="preserve"> Digital transition advisory, infrastructure finance structuring, S.E.T.H.S. programme replication design. Project-based fees R2M–R20M per mandate. Annual retainer agreements with partner governments.</w:t>
      </w:r>
    </w:p>
    <w:p>
      <w:pPr>
        <w:spacing w:after="120" w:before="0"/>
      </w:pPr>
    </w:p>
    <w:p>
      <w:pPr>
        <w:pStyle w:val="Heading3"/>
        <w:spacing w:after="100" w:before="200"/>
      </w:pPr>
      <w:r>
        <w:rPr>
          <w:rFonts w:ascii="Arial" w:cs="Arial" w:eastAsia="Arial" w:hAnsi="Arial"/>
          <w:b/>
          <w:bCs/>
          <w:color w:val="E8C97A"/>
          <w:sz w:val="26"/>
          <w:szCs w:val="26"/>
        </w:rPr>
        <w:t xml:space="preserve">Priority Sovereign Partners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Country / Institution</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Entry Point &amp; Partnership Type</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South Africa (primary)</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DSD/DoL (S.E.T.H.S.), DTPS (UDOC), DFFE (T.S. Housing). Master programme contract + national infrastructure SPVs.</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Rwanda</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Rwanda Development Board. Known early adopter of governance technology. UDOC licensing + workforce reintegration programme design.</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Ghana</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Ghana Investment Promotion Centre. Infrastructure fund LP + SPV co-investment.</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Kenya</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Kenya Electricity Generating Company. REIP-equivalent co-investment + UDOC energy governance.</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AfDB / Afreximbank</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Private Sector Department blended finance instruments. Cornerstone LP commitment + blended finance co-structuring.</w:t>
            </w:r>
          </w:p>
        </w:tc>
      </w:tr>
    </w:tbl>
    <w:p>
      <w:r>
        <w:br w:type="page"/>
      </w:r>
    </w:p>
    <w:p>
      <w:pPr>
        <w:pStyle w:val="Heading1"/>
        <w:pBdr>
          <w:bottom w:val="single" w:color="C9A84C" w:sz="8" w:space="4"/>
        </w:pBdr>
        <w:spacing w:after="200" w:before="360"/>
      </w:pPr>
      <w:r>
        <w:rPr>
          <w:rFonts w:ascii="Arial" w:cs="Arial" w:eastAsia="Arial" w:hAnsi="Arial"/>
          <w:b/>
          <w:bCs/>
          <w:caps w:val="false"/>
          <w:color w:val="C9A84C"/>
          <w:sz w:val="44"/>
          <w:szCs w:val="44"/>
        </w:rPr>
        <w:t xml:space="preserve">05  |  FINANCIAL ARCHITECTURE &amp; PROJECTIONS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auto" w:sz="0"/>
              <w:left w:val="single" w:color="1A3050" w:sz="2"/>
              <w:bottom w:val="none" w:color="auto" w:sz="0"/>
              <w:right w:val="none" w:color="auto" w:sz="0"/>
            </w:tcBorders>
            <w:shd w:fill="0C1A2E" w:val="clear"/>
            <w:tcMar>
              <w:top w:type="dxa" w:w="140"/>
              <w:left w:type="dxa" w:w="200"/>
              <w:bottom w:type="dxa" w:w="140"/>
              <w:right w:type="dxa" w:w="200"/>
            </w:tcMar>
          </w:tcPr>
          <w:p>
            <w:pPr>
              <w:spacing w:after="0" w:before="0"/>
            </w:pPr>
            <w:r>
              <w:rPr>
                <w:rFonts w:ascii="Arial" w:cs="Arial" w:eastAsia="Arial" w:hAnsi="Arial"/>
                <w:i w:val="false"/>
                <w:iCs w:val="false"/>
                <w:color w:val="8A8A9A"/>
                <w:sz w:val="22"/>
                <w:szCs w:val="22"/>
              </w:rPr>
              <w:t xml:space="preserve">All figures in ZAR millions unless stated. All projections are internal planning estimates. Not audited forecasts. Figures represent nominal values without inflation adjustment. Three scenarios: Conservative, Base Case, Optimistic.</w:t>
            </w:r>
          </w:p>
        </w:tc>
      </w:tr>
    </w:tbl>
    <w:p>
      <w:pPr>
        <w:spacing w:after="160" w:before="0"/>
      </w:pPr>
    </w:p>
    <w:p>
      <w:pPr>
        <w:pStyle w:val="Heading2"/>
        <w:spacing w:after="140" w:before="280"/>
      </w:pPr>
      <w:r>
        <w:rPr>
          <w:rFonts w:ascii="Arial" w:cs="Arial" w:eastAsia="Arial" w:hAnsi="Arial"/>
          <w:b/>
          <w:bCs/>
          <w:color w:val="F5F0E8"/>
          <w:sz w:val="32"/>
          <w:szCs w:val="32"/>
        </w:rPr>
        <w:t xml:space="preserve">Phase 1 — Year 1 Revenue Build (Quarterly)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1500"/>
        <w:gridCol w:w="2340"/>
        <w:gridCol w:w="2400"/>
      </w:tblGrid>
      <w:tr>
        <w:trPr>
          <w:tblHeader/>
        </w:trPr>
        <w:tc>
          <w:tcPr>
            <w:tcW w:type="dxa" w:w="312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Revenue Stream</w:t>
            </w:r>
          </w:p>
        </w:tc>
        <w:tc>
          <w:tcPr>
            <w:tcW w:type="dxa" w:w="15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Q1</w:t>
            </w:r>
          </w:p>
        </w:tc>
        <w:tc>
          <w:tcPr>
            <w:tcW w:type="dxa" w:w="23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Q2–Q3</w:t>
            </w:r>
          </w:p>
        </w:tc>
        <w:tc>
          <w:tcPr>
            <w:tcW w:type="dxa" w:w="24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Q4 / Year 1 Total</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S.E.T.H.S. Government Pilot Contract</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R0.8M / R1.2M</w:t>
            </w:r>
          </w:p>
        </w:tc>
        <w:tc>
          <w:tcPr>
            <w:tcW w:type="dxa" w:w="2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R1.5M / R3.5M</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S.E.T.H.S. Employer SaaS (3 clients)</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R0.1M / R0.15M</w:t>
            </w:r>
          </w:p>
        </w:tc>
        <w:tc>
          <w:tcPr>
            <w:tcW w:type="dxa" w:w="2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R0.2M / R0.45M</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 Enterprise SaaS (pilot clients)</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R0.2M / R0.4M</w:t>
            </w:r>
          </w:p>
        </w:tc>
        <w:tc>
          <w:tcPr>
            <w:tcW w:type="dxa" w:w="2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R0.6M / R1.2M</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 Implementation Fees</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R0.5M</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R0.3M / R0.2M</w:t>
            </w:r>
          </w:p>
        </w:tc>
        <w:tc>
          <w:tcPr>
            <w:tcW w:type="dxa" w:w="2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 / R1.0M</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M.A.D.I.B.A. Advisory Fees</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w:t>
            </w:r>
          </w:p>
        </w:tc>
        <w:tc>
          <w:tcPr>
            <w:tcW w:type="dxa" w:w="23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 / R0.3M</w:t>
            </w:r>
          </w:p>
        </w:tc>
        <w:tc>
          <w:tcPr>
            <w:tcW w:type="dxa" w:w="2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R0.5M / R0.8M</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TOTAL REVENUE</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R0.5M</w:t>
            </w:r>
          </w:p>
        </w:tc>
        <w:tc>
          <w:tcPr>
            <w:tcW w:type="dxa" w:w="23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R1.7M / R2.45M</w:t>
            </w:r>
          </w:p>
        </w:tc>
        <w:tc>
          <w:tcPr>
            <w:tcW w:type="dxa" w:w="2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R2.8M / R6.95M</w:t>
            </w:r>
          </w:p>
        </w:tc>
      </w:tr>
    </w:tbl>
    <w:p>
      <w:pPr>
        <w:spacing w:after="120" w:before="0"/>
      </w:pPr>
    </w:p>
    <w:p>
      <w:pPr>
        <w:pStyle w:val="Heading2"/>
        <w:spacing w:after="140" w:before="280"/>
      </w:pPr>
      <w:r>
        <w:rPr>
          <w:rFonts w:ascii="Arial" w:cs="Arial" w:eastAsia="Arial" w:hAnsi="Arial"/>
          <w:b/>
          <w:bCs/>
          <w:color w:val="F5F0E8"/>
          <w:sz w:val="32"/>
          <w:szCs w:val="32"/>
        </w:rPr>
        <w:t xml:space="preserve">Year 1 Cost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Cost Category</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Year 1 Budget</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Executive Team (CEO + COO + CFO + Legal)</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R3.6M — COO, CFO at R700K CTC each; Legal at R600K; CEO equity only</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S.E.T.H.S. Programme Staff (8 FTE)</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R2.4M — Programme manager, facilitators, social workers, admin</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UDOC Engineering Team (4 FTE)</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R2.4M — 2 senior engineers + 2 mid-level; PQC specialist</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Premises &amp; Infrastructure</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R0.8M — Offices (Gauteng); S.E.T.H.S. facility; server infrastructure</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Programme Costs (S.E.T.H.S. 50 pax)</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R1.5M — Stipends, materials, assessments, placement support</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Legal &amp; Compliance</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R0.6M — Entity registration, MOI drafting, COB constituting, IP Trust</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Marketing &amp; Institutional</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R0.4M — Institutional presentations, government engagement, pitches</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Contingency (15%)</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R1.76M</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TOTAL OPERATING COSTS</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R13.46M</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FUNDING REQUIREMENT (Year 1)</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bCs/>
                <w:color w:val="E8C97A"/>
                <w:sz w:val="20"/>
                <w:szCs w:val="20"/>
              </w:rPr>
              <w:t xml:space="preserve">R12–15M (seed round: DFI + grant + angel)</w:t>
            </w:r>
          </w:p>
        </w:tc>
      </w:tr>
    </w:tbl>
    <w:p>
      <w:pPr>
        <w:spacing w:after="120" w:before="0"/>
      </w:pPr>
    </w:p>
    <w:p>
      <w:pPr>
        <w:pStyle w:val="Heading2"/>
        <w:spacing w:after="140" w:before="280"/>
      </w:pPr>
      <w:r>
        <w:rPr>
          <w:rFonts w:ascii="Arial" w:cs="Arial" w:eastAsia="Arial" w:hAnsi="Arial"/>
          <w:b/>
          <w:bCs/>
          <w:color w:val="F5F0E8"/>
          <w:sz w:val="32"/>
          <w:szCs w:val="32"/>
        </w:rPr>
        <w:t xml:space="preserve">3-Year Consolidated P&amp;L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2160"/>
        <w:gridCol w:w="2160"/>
        <w:gridCol w:w="2160"/>
      </w:tblGrid>
      <w:tr>
        <w:trPr>
          <w:tblHeader/>
        </w:trPr>
        <w:tc>
          <w:tcPr>
            <w:tcW w:type="dxa" w:w="288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Line Item</w:t>
            </w:r>
          </w:p>
        </w:tc>
        <w:tc>
          <w:tcPr>
            <w:tcW w:type="dxa" w:w="21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Year 1</w:t>
            </w:r>
          </w:p>
        </w:tc>
        <w:tc>
          <w:tcPr>
            <w:tcW w:type="dxa" w:w="21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Year 2</w:t>
            </w:r>
          </w:p>
        </w:tc>
        <w:tc>
          <w:tcPr>
            <w:tcW w:type="dxa" w:w="21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Year 3</w:t>
            </w:r>
          </w:p>
        </w:tc>
      </w:tr>
      <w:tr>
        <w:trPr>
          <w:tblHeader w:val="false"/>
        </w:trPr>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bCs/>
                <w:color w:val="D4CEBC"/>
                <w:sz w:val="18"/>
                <w:szCs w:val="18"/>
              </w:rPr>
              <w:t xml:space="preserve">TOTAL REVENUE</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R6.95M</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R32M</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R78M</w:t>
            </w:r>
          </w:p>
        </w:tc>
      </w:tr>
      <w:tr>
        <w:trPr>
          <w:tblHeader w:val="false"/>
        </w:trPr>
        <w:tc>
          <w:tcPr>
            <w:tcW w:type="dxa" w:w="28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S.E.T.H.S. Revenue</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R3.95M</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R14M</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R28M</w:t>
            </w:r>
          </w:p>
        </w:tc>
      </w:tr>
      <w:tr>
        <w:trPr>
          <w:tblHeader w:val="false"/>
        </w:trPr>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T.S. Revenue</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R8M</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R22M</w:t>
            </w:r>
          </w:p>
        </w:tc>
      </w:tr>
      <w:tr>
        <w:trPr>
          <w:tblHeader w:val="false"/>
        </w:trPr>
        <w:tc>
          <w:tcPr>
            <w:tcW w:type="dxa" w:w="28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 Revenue</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R2.2M</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R7M</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R22M</w:t>
            </w:r>
          </w:p>
        </w:tc>
      </w:tr>
      <w:tr>
        <w:trPr>
          <w:tblHeader w:val="false"/>
        </w:trPr>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M.A.D.I.B.A. Revenue</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R0.8M</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R3M</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R6M</w:t>
            </w:r>
          </w:p>
        </w:tc>
      </w:tr>
      <w:tr>
        <w:trPr>
          <w:tblHeader w:val="false"/>
        </w:trPr>
        <w:tc>
          <w:tcPr>
            <w:tcW w:type="dxa" w:w="28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D4CEBC"/>
                <w:sz w:val="18"/>
                <w:szCs w:val="18"/>
              </w:rPr>
              <w:t xml:space="preserve">TOTAL OPERATING COSTS</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R13.46M</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R22M</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R44M</w:t>
            </w:r>
          </w:p>
        </w:tc>
      </w:tr>
      <w:tr>
        <w:trPr>
          <w:tblHeader w:val="false"/>
        </w:trPr>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EBITDA</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alse"/>
                <w:bCs w:val="false"/>
                <w:color w:val="FF6B6B"/>
                <w:sz w:val="18"/>
                <w:szCs w:val="18"/>
              </w:rPr>
              <w:t xml:space="preserve">-R6.5M</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alse"/>
                <w:bCs w:val="false"/>
                <w:color w:val="50C878"/>
                <w:sz w:val="18"/>
                <w:szCs w:val="18"/>
              </w:rPr>
              <w:t xml:space="preserve">+R10M</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alse"/>
                <w:bCs w:val="false"/>
                <w:color w:val="50C878"/>
                <w:sz w:val="18"/>
                <w:szCs w:val="18"/>
              </w:rPr>
              <w:t xml:space="preserve">+R34M</w:t>
            </w:r>
          </w:p>
        </w:tc>
      </w:tr>
      <w:tr>
        <w:trPr>
          <w:tblHeader w:val="false"/>
        </w:trPr>
        <w:tc>
          <w:tcPr>
            <w:tcW w:type="dxa" w:w="28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Capex (infrastructure, tech)</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R2M</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R8M</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R18M</w:t>
            </w:r>
          </w:p>
        </w:tc>
      </w:tr>
      <w:tr>
        <w:trPr>
          <w:tblHeader w:val="false"/>
        </w:trPr>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bCs/>
                <w:color w:val="D4CEBC"/>
                <w:sz w:val="18"/>
                <w:szCs w:val="18"/>
              </w:rPr>
              <w:t xml:space="preserve">FREE CASH FLOW</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alse"/>
                <w:bCs w:val="false"/>
                <w:color w:val="FF6B6B"/>
                <w:sz w:val="18"/>
                <w:szCs w:val="18"/>
              </w:rPr>
              <w:t xml:space="preserve">-R8.5M</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alse"/>
                <w:bCs w:val="false"/>
                <w:color w:val="50C878"/>
                <w:sz w:val="18"/>
                <w:szCs w:val="18"/>
              </w:rPr>
              <w:t xml:space="preserve">+R2M</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alse"/>
                <w:bCs w:val="false"/>
                <w:color w:val="50C878"/>
                <w:sz w:val="18"/>
                <w:szCs w:val="18"/>
              </w:rPr>
              <w:t xml:space="preserve">+R16M</w:t>
            </w:r>
          </w:p>
        </w:tc>
      </w:tr>
      <w:tr>
        <w:trPr>
          <w:tblHeader w:val="false"/>
        </w:trPr>
        <w:tc>
          <w:tcPr>
            <w:tcW w:type="dxa" w:w="28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Cumulative Cash Position (with funding)</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R5.5M</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R7.5M</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R23.5M</w:t>
            </w:r>
          </w:p>
        </w:tc>
      </w:tr>
      <w:tr>
        <w:trPr>
          <w:tblHeader w:val="false"/>
        </w:trPr>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Headcount (FTEs)</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18</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45</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95</w:t>
            </w:r>
          </w:p>
        </w:tc>
      </w:tr>
    </w:tbl>
    <w:p>
      <w:pPr>
        <w:spacing w:after="120" w:before="0"/>
      </w:pPr>
    </w:p>
    <w:p>
      <w:pPr>
        <w:pStyle w:val="Heading2"/>
        <w:spacing w:after="140" w:before="280"/>
      </w:pPr>
      <w:r>
        <w:rPr>
          <w:rFonts w:ascii="Arial" w:cs="Arial" w:eastAsia="Arial" w:hAnsi="Arial"/>
          <w:b/>
          <w:bCs/>
          <w:color w:val="F5F0E8"/>
          <w:sz w:val="32"/>
          <w:szCs w:val="32"/>
        </w:rPr>
        <w:t xml:space="preserve">Phase 2 — Scale Financials (Years 4–7)</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1800"/>
        <w:gridCol w:w="2160"/>
        <w:gridCol w:w="2520"/>
      </w:tblGrid>
      <w:tr>
        <w:trPr>
          <w:tblHeader/>
        </w:trPr>
        <w:tc>
          <w:tcPr>
            <w:tcW w:type="dxa" w:w="288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Division</w:t>
            </w:r>
          </w:p>
        </w:tc>
        <w:tc>
          <w:tcPr>
            <w:tcW w:type="dxa" w:w="18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Year 4</w:t>
            </w:r>
          </w:p>
        </w:tc>
        <w:tc>
          <w:tcPr>
            <w:tcW w:type="dxa" w:w="21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Year 5</w:t>
            </w:r>
          </w:p>
        </w:tc>
        <w:tc>
          <w:tcPr>
            <w:tcW w:type="dxa" w:w="252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Year 7</w:t>
            </w:r>
          </w:p>
        </w:tc>
      </w:tr>
      <w:tr>
        <w:trPr>
          <w:tblHeader w:val="false"/>
        </w:trPr>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S.E.T.H.S. Revenue</w:t>
            </w:r>
          </w:p>
        </w:tc>
        <w:tc>
          <w:tcPr>
            <w:tcW w:type="dxa" w:w="18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R45M</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R85M</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R210M</w:t>
            </w:r>
          </w:p>
        </w:tc>
      </w:tr>
      <w:tr>
        <w:trPr>
          <w:tblHeader w:val="false"/>
        </w:trPr>
        <w:tc>
          <w:tcPr>
            <w:tcW w:type="dxa" w:w="28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T.S. Revenue</w:t>
            </w:r>
          </w:p>
        </w:tc>
        <w:tc>
          <w:tcPr>
            <w:tcW w:type="dxa" w:w="18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R60M</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R180M</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R480M</w:t>
            </w:r>
          </w:p>
        </w:tc>
      </w:tr>
      <w:tr>
        <w:trPr>
          <w:tblHeader w:val="false"/>
        </w:trPr>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 Revenue</w:t>
            </w:r>
          </w:p>
        </w:tc>
        <w:tc>
          <w:tcPr>
            <w:tcW w:type="dxa" w:w="18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R35M</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R85M</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R280M</w:t>
            </w:r>
          </w:p>
        </w:tc>
      </w:tr>
      <w:tr>
        <w:trPr>
          <w:tblHeader w:val="false"/>
        </w:trPr>
        <w:tc>
          <w:tcPr>
            <w:tcW w:type="dxa" w:w="28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M.A.D.I.B.A. Revenue</w:t>
            </w:r>
          </w:p>
        </w:tc>
        <w:tc>
          <w:tcPr>
            <w:tcW w:type="dxa" w:w="18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R12M</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R30M</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R120M</w:t>
            </w:r>
          </w:p>
        </w:tc>
      </w:tr>
      <w:tr>
        <w:trPr>
          <w:tblHeader w:val="false"/>
        </w:trPr>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HQ-OS Quantum Premium</w:t>
            </w:r>
          </w:p>
        </w:tc>
        <w:tc>
          <w:tcPr>
            <w:tcW w:type="dxa" w:w="18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R0</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R15M</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R65M</w:t>
            </w:r>
          </w:p>
        </w:tc>
      </w:tr>
      <w:tr>
        <w:trPr>
          <w:tblHeader w:val="false"/>
        </w:trPr>
        <w:tc>
          <w:tcPr>
            <w:tcW w:type="dxa" w:w="28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TOTAL REVENUE</w:t>
            </w:r>
          </w:p>
        </w:tc>
        <w:tc>
          <w:tcPr>
            <w:tcW w:type="dxa" w:w="18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R152M</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R395M</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R1,155M</w:t>
            </w:r>
          </w:p>
        </w:tc>
      </w:tr>
      <w:tr>
        <w:trPr>
          <w:tblHeader w:val="false"/>
        </w:trPr>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Operating Costs</w:t>
            </w:r>
          </w:p>
        </w:tc>
        <w:tc>
          <w:tcPr>
            <w:tcW w:type="dxa" w:w="18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R90M</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R195M</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R510M</w:t>
            </w:r>
          </w:p>
        </w:tc>
      </w:tr>
      <w:tr>
        <w:trPr>
          <w:tblHeader w:val="false"/>
        </w:trPr>
        <w:tc>
          <w:tcPr>
            <w:tcW w:type="dxa" w:w="28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D4CEBC"/>
                <w:sz w:val="18"/>
                <w:szCs w:val="18"/>
              </w:rPr>
              <w:t xml:space="preserve">EBITDA</w:t>
            </w:r>
          </w:p>
        </w:tc>
        <w:tc>
          <w:tcPr>
            <w:tcW w:type="dxa" w:w="18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R62M (41%)</w:t>
            </w:r>
          </w:p>
        </w:tc>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R200M (51%)</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R645M (56%)</w:t>
            </w:r>
          </w:p>
        </w:tc>
      </w:tr>
      <w:tr>
        <w:trPr>
          <w:tblHeader w:val="false"/>
        </w:trPr>
        <w:tc>
          <w:tcPr>
            <w:tcW w:type="dxa" w:w="28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Headcount</w:t>
            </w:r>
          </w:p>
        </w:tc>
        <w:tc>
          <w:tcPr>
            <w:tcW w:type="dxa" w:w="18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180</w:t>
            </w:r>
          </w:p>
        </w:tc>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380</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950</w:t>
            </w:r>
          </w:p>
        </w:tc>
      </w:tr>
    </w:tbl>
    <w:p>
      <w:pPr>
        <w:spacing w:after="120" w:before="0"/>
      </w:pPr>
    </w:p>
    <w:p>
      <w:pPr>
        <w:pStyle w:val="Heading2"/>
        <w:spacing w:after="140" w:before="280"/>
      </w:pPr>
      <w:r>
        <w:rPr>
          <w:rFonts w:ascii="Arial" w:cs="Arial" w:eastAsia="Arial" w:hAnsi="Arial"/>
          <w:b/>
          <w:bCs/>
          <w:color w:val="F5F0E8"/>
          <w:sz w:val="32"/>
          <w:szCs w:val="32"/>
        </w:rPr>
        <w:t xml:space="preserve">25-Year Scenario Projections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520"/>
        <w:gridCol w:w="2520"/>
        <w:gridCol w:w="2520"/>
      </w:tblGrid>
      <w:tr>
        <w:trPr>
          <w:tblHeader/>
        </w:trPr>
        <w:tc>
          <w:tcPr>
            <w:tcW w:type="dxa" w:w="18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Year</w:t>
            </w:r>
          </w:p>
        </w:tc>
        <w:tc>
          <w:tcPr>
            <w:tcW w:type="dxa" w:w="252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Conservative (ZAR)</w:t>
            </w:r>
          </w:p>
        </w:tc>
        <w:tc>
          <w:tcPr>
            <w:tcW w:type="dxa" w:w="252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Base Case (ZAR)</w:t>
            </w:r>
          </w:p>
        </w:tc>
        <w:tc>
          <w:tcPr>
            <w:tcW w:type="dxa" w:w="252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Optimistic (ZAR)</w:t>
            </w:r>
          </w:p>
        </w:tc>
      </w:tr>
      <w:tr>
        <w:trPr>
          <w:tblHeader w:val="false"/>
        </w:trPr>
        <w:tc>
          <w:tcPr>
            <w:tcW w:type="dxa" w:w="18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Year 1</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R7M</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R12M</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R18M</w:t>
            </w:r>
          </w:p>
        </w:tc>
      </w:tr>
      <w:tr>
        <w:trPr>
          <w:tblHeader w:val="false"/>
        </w:trPr>
        <w:tc>
          <w:tcPr>
            <w:tcW w:type="dxa" w:w="18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Year 3</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R55M</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R78M</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R120M</w:t>
            </w:r>
          </w:p>
        </w:tc>
      </w:tr>
      <w:tr>
        <w:trPr>
          <w:tblHeader w:val="false"/>
        </w:trPr>
        <w:tc>
          <w:tcPr>
            <w:tcW w:type="dxa" w:w="18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Year 5</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R280M</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R450M</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R750M</w:t>
            </w:r>
          </w:p>
        </w:tc>
      </w:tr>
      <w:tr>
        <w:trPr>
          <w:tblHeader w:val="false"/>
        </w:trPr>
        <w:tc>
          <w:tcPr>
            <w:tcW w:type="dxa" w:w="18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Year 7</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R850M</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R1.2B</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R2.1B</w:t>
            </w:r>
          </w:p>
        </w:tc>
      </w:tr>
      <w:tr>
        <w:trPr>
          <w:tblHeader w:val="false"/>
        </w:trPr>
        <w:tc>
          <w:tcPr>
            <w:tcW w:type="dxa" w:w="18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Year 10</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R1.8B</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R3.5B</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R6.2B</w:t>
            </w:r>
          </w:p>
        </w:tc>
      </w:tr>
      <w:tr>
        <w:trPr>
          <w:tblHeader w:val="false"/>
        </w:trPr>
        <w:tc>
          <w:tcPr>
            <w:tcW w:type="dxa" w:w="18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Year 15</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R5.2B</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R11B</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R22B</w:t>
            </w:r>
          </w:p>
        </w:tc>
      </w:tr>
      <w:tr>
        <w:trPr>
          <w:tblHeader w:val="false"/>
        </w:trPr>
        <w:tc>
          <w:tcPr>
            <w:tcW w:type="dxa" w:w="18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Year 20</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R12B</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R28B</w:t>
            </w:r>
          </w:p>
        </w:tc>
        <w:tc>
          <w:tcPr>
            <w:tcW w:type="dxa" w:w="25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R58B</w:t>
            </w:r>
          </w:p>
        </w:tc>
      </w:tr>
      <w:tr>
        <w:trPr>
          <w:tblHeader w:val="false"/>
        </w:trPr>
        <w:tc>
          <w:tcPr>
            <w:tcW w:type="dxa" w:w="18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Year 25</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R25B</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R60B</w:t>
            </w:r>
          </w:p>
        </w:tc>
        <w:tc>
          <w:tcPr>
            <w:tcW w:type="dxa" w:w="25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R140B</w:t>
            </w:r>
          </w:p>
        </w:tc>
      </w:tr>
    </w:tbl>
    <w:p>
      <w:pPr>
        <w:spacing w:after="120" w:before="0"/>
      </w:pPr>
    </w:p>
    <w:p>
      <w:pPr>
        <w:pStyle w:val="Heading2"/>
        <w:spacing w:after="140" w:before="280"/>
      </w:pPr>
      <w:r>
        <w:rPr>
          <w:rFonts w:ascii="Arial" w:cs="Arial" w:eastAsia="Arial" w:hAnsi="Arial"/>
          <w:b/>
          <w:bCs/>
          <w:color w:val="F5F0E8"/>
          <w:sz w:val="32"/>
          <w:szCs w:val="32"/>
        </w:rPr>
        <w:t xml:space="preserve">Investor Return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1800"/>
        <w:gridCol w:w="3000"/>
        <w:gridCol w:w="2400"/>
      </w:tblGrid>
      <w:tr>
        <w:trPr>
          <w:tblHeader/>
        </w:trPr>
        <w:tc>
          <w:tcPr>
            <w:tcW w:type="dxa" w:w="21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Investment Class</w:t>
            </w:r>
          </w:p>
        </w:tc>
        <w:tc>
          <w:tcPr>
            <w:tcW w:type="dxa" w:w="18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Target Return Multiple</w:t>
            </w:r>
          </w:p>
        </w:tc>
        <w:tc>
          <w:tcPr>
            <w:tcW w:type="dxa" w:w="30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Return Mechanism</w:t>
            </w:r>
          </w:p>
        </w:tc>
        <w:tc>
          <w:tcPr>
            <w:tcW w:type="dxa" w:w="24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Liquidity Path</w:t>
            </w:r>
          </w:p>
        </w:tc>
      </w:tr>
      <w:tr>
        <w:trPr>
          <w:tblHeader w:val="false"/>
        </w:trPr>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Seed/Grant Capital (DFI)</w:t>
            </w:r>
          </w:p>
        </w:tc>
        <w:tc>
          <w:tcPr>
            <w:tcW w:type="dxa" w:w="18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1.5–2× (concessional)</w:t>
            </w:r>
          </w:p>
        </w:tc>
        <w:tc>
          <w:tcPr>
            <w:tcW w:type="dxa" w:w="3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Impact-adjusted return; government co-funding offsets commercial return requirement</w:t>
            </w:r>
          </w:p>
        </w:tc>
        <w:tc>
          <w:tcPr>
            <w:tcW w:type="dxa" w:w="2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DBSA/IDC standard impact finance exit; G.O.D.S TS Holdings buyback at Phase 3</w:t>
            </w:r>
          </w:p>
        </w:tc>
      </w:tr>
      <w:tr>
        <w:trPr>
          <w:tblHeader w:val="false"/>
        </w:trPr>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Series A — Growth Equity</w:t>
            </w:r>
          </w:p>
        </w:tc>
        <w:tc>
          <w:tcPr>
            <w:tcW w:type="dxa" w:w="18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5–8× over 7 years</w:t>
            </w:r>
          </w:p>
        </w:tc>
        <w:tc>
          <w:tcPr>
            <w:tcW w:type="dxa" w:w="3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Dividend from UDOC + T.S. profitability; partial secondary at Phase 3</w:t>
            </w:r>
          </w:p>
        </w:tc>
        <w:tc>
          <w:tcPr>
            <w:tcW w:type="dxa" w:w="2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Secondary sale to institutional investor at Phase 3 valuation; IPO pathway Phase 5</w:t>
            </w:r>
          </w:p>
        </w:tc>
      </w:tr>
      <w:tr>
        <w:trPr>
          <w:tblHeader w:val="false"/>
        </w:trPr>
        <w:tc>
          <w:tcPr>
            <w:tcW w:type="dxa" w:w="2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Infrastructure Finance (T.S.)</w:t>
            </w:r>
          </w:p>
        </w:tc>
        <w:tc>
          <w:tcPr>
            <w:tcW w:type="dxa" w:w="18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8–12% IRR (project finance)</w:t>
            </w:r>
          </w:p>
        </w:tc>
        <w:tc>
          <w:tcPr>
            <w:tcW w:type="dxa" w:w="3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T.S. SPV distributions; government contract revenue; energy offtake returns</w:t>
            </w:r>
          </w:p>
        </w:tc>
        <w:tc>
          <w:tcPr>
            <w:tcW w:type="dxa" w:w="2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SPV equity buyout at project maturity; refinancing via infrastructure bonds</w:t>
            </w:r>
          </w:p>
        </w:tc>
      </w:tr>
      <w:tr>
        <w:trPr>
          <w:tblHeader w:val="false"/>
        </w:trPr>
        <w:tc>
          <w:tcPr>
            <w:tcW w:type="dxa" w:w="2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Sovereign Fund Capital (M.A.D.I.B.A.)</w:t>
            </w:r>
          </w:p>
        </w:tc>
        <w:tc>
          <w:tcPr>
            <w:tcW w:type="dxa" w:w="18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Market + 2% (sovereign priority)</w:t>
            </w:r>
          </w:p>
        </w:tc>
        <w:tc>
          <w:tcPr>
            <w:tcW w:type="dxa" w:w="3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M.A.D.I.B.A. fund distributions; SPV co-ownership returns; quantum governance premium</w:t>
            </w:r>
          </w:p>
        </w:tc>
        <w:tc>
          <w:tcPr>
            <w:tcW w:type="dxa" w:w="2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Long-term hold aligned with sovereign fund mandates; 20-year investment horizon</w:t>
            </w:r>
          </w:p>
        </w:tc>
      </w:tr>
    </w:tbl>
    <w:p>
      <w:pPr>
        <w:spacing w:after="120" w:before="0"/>
      </w:pPr>
    </w:p>
    <w:p>
      <w:pPr>
        <w:pStyle w:val="Heading2"/>
        <w:spacing w:after="140" w:before="280"/>
      </w:pPr>
      <w:r>
        <w:rPr>
          <w:rFonts w:ascii="Arial" w:cs="Arial" w:eastAsia="Arial" w:hAnsi="Arial"/>
          <w:b/>
          <w:bCs/>
          <w:color w:val="F5F0E8"/>
          <w:sz w:val="32"/>
          <w:szCs w:val="32"/>
        </w:rPr>
        <w:t xml:space="preserve">Capital Raise Architecture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Round</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Details</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Seed Capital (Months 1–3)</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R12–18M. Multi-source: DFI seed grant (DBSA, IDC Social) + NDA/Treasury SEF + impact philanthropic capital. Max 15% equity in G.O.D.S. TS Holdings (preference shares). Trigger: entity registration + COB constituted + S.E.T.H.S. facility ready.</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Series A (Months 18–24)</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R30–60M. Institutional impact investors, IDC, DBSA. Trigger: 100+ S.E.T.H.S. placements with 12-month data; 3+ UDOC paying clients; government LOI; audited accounts. Max 20% equity.</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Infrastructure Fund I (Year 2–3)</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R2B (Stage One). M.A.D.I.B.A. Infrastructure Fund LP interests. Target LPs: PIC, GEPF, AfDB, IFC, selected family offices. T.S. infrastructure project portfolio.</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Series B (Year 3–4)</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R200M–R500M. Strategic investors, sovereign funds, DFIs. Triggers: national S.E.T.H.S. rollout, UDOC government deployment, SADC expansion. G.O.D.S. TS Holdings equity (Class B/C).</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Infrastructure Fund II (Year 5+)</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R10B. SADC multi-country infrastructure portfolio. Continental and international institutional capital.</w:t>
            </w:r>
          </w:p>
        </w:tc>
      </w:tr>
    </w:tbl>
    <w:p>
      <w:r>
        <w:br w:type="page"/>
      </w:r>
    </w:p>
    <w:p>
      <w:pPr>
        <w:pStyle w:val="Heading1"/>
        <w:pBdr>
          <w:bottom w:val="single" w:color="C9A84C" w:sz="8" w:space="4"/>
        </w:pBdr>
        <w:spacing w:after="200" w:before="360"/>
      </w:pPr>
      <w:r>
        <w:rPr>
          <w:rFonts w:ascii="Arial" w:cs="Arial" w:eastAsia="Arial" w:hAnsi="Arial"/>
          <w:b/>
          <w:bCs/>
          <w:caps w:val="false"/>
          <w:color w:val="C9A84C"/>
          <w:sz w:val="44"/>
          <w:szCs w:val="44"/>
        </w:rPr>
        <w:t xml:space="preserve">06  |  EXECUTION PLAN — FIVE PHASES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auto" w:sz="0"/>
              <w:left w:val="single" w:color="C9A84C" w:sz="6"/>
              <w:bottom w:val="none" w:color="auto" w:sz="0"/>
              <w:right w:val="none" w:color="auto" w:sz="0"/>
            </w:tcBorders>
            <w:shd w:fill="0C1A2E" w:val="clear"/>
            <w:tcMar>
              <w:top w:type="dxa" w:w="140"/>
              <w:left w:type="dxa" w:w="200"/>
              <w:bottom w:type="dxa" w:w="140"/>
              <w:right w:type="dxa" w:w="200"/>
            </w:tcMar>
          </w:tcPr>
          <w:p>
            <w:pPr>
              <w:spacing w:after="0" w:before="0"/>
            </w:pPr>
            <w:r>
              <w:rPr>
                <w:rFonts w:ascii="Arial" w:cs="Arial" w:eastAsia="Arial" w:hAnsi="Arial"/>
                <w:i/>
                <w:iCs/>
                <w:color w:val="F5F0E8"/>
                <w:sz w:val="22"/>
                <w:szCs w:val="22"/>
              </w:rPr>
              <w:t xml:space="preserve">Phase 1 generates commercial revenue. Phase 2 activates quantum acceleration. Phase 3 achieves quantum sovereignty. Phase 4 replicates across SADC. Phase 5 positions G.O.D.S. as the global standard for sovereign quantum AI governance.</w:t>
            </w:r>
          </w:p>
        </w:tc>
      </w:tr>
    </w:tbl>
    <w:p>
      <w:pPr>
        <w:spacing w:after="160" w:before="0"/>
      </w:pPr>
    </w:p>
    <w:p>
      <w:pPr>
        <w:pStyle w:val="Heading2"/>
        <w:spacing w:after="140" w:before="280"/>
      </w:pPr>
      <w:r>
        <w:rPr>
          <w:rFonts w:ascii="Arial" w:cs="Arial" w:eastAsia="Arial" w:hAnsi="Arial"/>
          <w:b/>
          <w:bCs/>
          <w:color w:val="F5F0E8"/>
          <w:sz w:val="32"/>
          <w:szCs w:val="32"/>
        </w:rPr>
        <w:t xml:space="preserve">Phase 1 — Proof of Concept (Months 1–18): South Africa, Gauteng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60"/>
        <w:gridCol w:w="2680"/>
        <w:gridCol w:w="2600"/>
        <w:gridCol w:w="2920"/>
      </w:tblGrid>
      <w:tr>
        <w:trPr>
          <w:tblHeader/>
        </w:trPr>
        <w:tc>
          <w:tcPr>
            <w:tcW w:type="dxa" w:w="11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Domain</w:t>
            </w:r>
          </w:p>
        </w:tc>
        <w:tc>
          <w:tcPr>
            <w:tcW w:type="dxa" w:w="268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Deliverable</w:t>
            </w:r>
          </w:p>
        </w:tc>
        <w:tc>
          <w:tcPr>
            <w:tcW w:type="dxa" w:w="26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Success Metric</w:t>
            </w:r>
          </w:p>
        </w:tc>
        <w:tc>
          <w:tcPr>
            <w:tcW w:type="dxa" w:w="292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Constitutional Requirement</w:t>
            </w:r>
          </w:p>
        </w:tc>
      </w:tr>
      <w:tr>
        <w:trPr>
          <w:tblHeader w:val="false"/>
        </w:trPr>
        <w:tc>
          <w:tcPr>
            <w:tcW w:type="dxa" w:w="1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S.E.T.H.S.</w:t>
            </w:r>
          </w:p>
        </w:tc>
        <w:tc>
          <w:tcPr>
            <w:tcW w:type="dxa" w:w="26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50-participant pilot cohort, Gauteng province. Full programme: intake, assessment, training, placement, monitoring.</w:t>
            </w:r>
          </w:p>
        </w:tc>
        <w:tc>
          <w:tcPr>
            <w:tcW w:type="dxa" w:w="26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85%+ placement rate; 12-month retention data; cost-per-outcome benchmark</w:t>
            </w:r>
          </w:p>
        </w:tc>
        <w:tc>
          <w:tcPr>
            <w:tcW w:type="dxa" w:w="29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COB operational before first participant intake. No exceptions.</w:t>
            </w:r>
          </w:p>
        </w:tc>
      </w:tr>
      <w:tr>
        <w:trPr>
          <w:tblHeader w:val="false"/>
        </w:trPr>
        <w:tc>
          <w:tcPr>
            <w:tcW w:type="dxa" w:w="1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T.S.</w:t>
            </w:r>
          </w:p>
        </w:tc>
        <w:tc>
          <w:tcPr>
            <w:tcW w:type="dxa" w:w="26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First T.S. project using Phase 1 S.E.T.H.S. graduates: solar installation or vertical farming pilot.</w:t>
            </w:r>
          </w:p>
        </w:tc>
        <w:tc>
          <w:tcPr>
            <w:tcW w:type="dxa" w:w="26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R5M+ project value; 15+ S.E.T.H.S. graduates employed; documented community impact</w:t>
            </w:r>
          </w:p>
        </w:tc>
        <w:tc>
          <w:tcPr>
            <w:tcW w:type="dxa" w:w="29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Environmental Integrity Pillar compliance certification before project commencement</w:t>
            </w:r>
          </w:p>
        </w:tc>
      </w:tr>
      <w:tr>
        <w:trPr>
          <w:tblHeader w:val="false"/>
        </w:trPr>
        <w:tc>
          <w:tcPr>
            <w:tcW w:type="dxa" w:w="1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w:t>
            </w:r>
          </w:p>
        </w:tc>
        <w:tc>
          <w:tcPr>
            <w:tcW w:type="dxa" w:w="26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Enterprise SaaS Phase 1: 3 enterprise clients + 1 government pilot. Classical HQ-OS stack. Post-quantum crypto migration complete.</w:t>
            </w:r>
          </w:p>
        </w:tc>
        <w:tc>
          <w:tcPr>
            <w:tcW w:type="dxa" w:w="26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R2M+ ARR by Month 18; NIST PQC certification; zero data sovereignty breaches</w:t>
            </w:r>
          </w:p>
        </w:tc>
        <w:tc>
          <w:tcPr>
            <w:tcW w:type="dxa" w:w="29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Zero foreign cloud dependency for government pilot data. Sovereignty verified by COB.</w:t>
            </w:r>
          </w:p>
        </w:tc>
      </w:tr>
      <w:tr>
        <w:trPr>
          <w:tblHeader w:val="false"/>
        </w:trPr>
        <w:tc>
          <w:tcPr>
            <w:tcW w:type="dxa" w:w="1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M.A.D.I.B.A.</w:t>
            </w:r>
          </w:p>
        </w:tc>
        <w:tc>
          <w:tcPr>
            <w:tcW w:type="dxa" w:w="26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R12–18M seed funding secured. First DFI relationship established. SPV structure designed and registered.</w:t>
            </w:r>
          </w:p>
        </w:tc>
        <w:tc>
          <w:tcPr>
            <w:tcW w:type="dxa" w:w="26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Funding secured; first DFI MOU signed; SPV template legally reviewed and filed</w:t>
            </w:r>
          </w:p>
        </w:tc>
        <w:tc>
          <w:tcPr>
            <w:tcW w:type="dxa" w:w="29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Anti-Capture Pillar: no single investor &gt;20% of seed round. Board approval required.</w:t>
            </w:r>
          </w:p>
        </w:tc>
      </w:tr>
      <w:tr>
        <w:trPr>
          <w:tblHeader w:val="false"/>
        </w:trPr>
        <w:tc>
          <w:tcPr>
            <w:tcW w:type="dxa" w:w="11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HQ-OS</w:t>
            </w:r>
          </w:p>
        </w:tc>
        <w:tc>
          <w:tcPr>
            <w:tcW w:type="dxa" w:w="26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Quantum-Ready Classical baseline deployed. Post-quantum cryptography active. QCI middleware dormant.</w:t>
            </w:r>
          </w:p>
        </w:tc>
        <w:tc>
          <w:tcPr>
            <w:tcW w:type="dxa" w:w="26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100% NIST PQC migration; zero legacy encryption on sovereign data; QCI middleware tested</w:t>
            </w:r>
          </w:p>
        </w:tc>
        <w:tc>
          <w:tcPr>
            <w:tcW w:type="dxa" w:w="29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Quantum-ready architecture certified by independent technical auditor before government data onboarding</w:t>
            </w:r>
          </w:p>
        </w:tc>
      </w:tr>
      <w:tr>
        <w:trPr>
          <w:tblHeader w:val="false"/>
        </w:trPr>
        <w:tc>
          <w:tcPr>
            <w:tcW w:type="dxa" w:w="11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Legal</w:t>
            </w:r>
          </w:p>
        </w:tc>
        <w:tc>
          <w:tcPr>
            <w:tcW w:type="dxa" w:w="26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5-entity structure registered. IP Trust constituted. COB appointed (5 initial members).</w:t>
            </w:r>
          </w:p>
        </w:tc>
        <w:tc>
          <w:tcPr>
            <w:tcW w:type="dxa" w:w="26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All entities registered; Trust deed executed; COB operational; IP schedule filed</w:t>
            </w:r>
          </w:p>
        </w:tc>
        <w:tc>
          <w:tcPr>
            <w:tcW w:type="dxa" w:w="29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IP Trust constituted before any external capital accepted. Non-negotiable.</w:t>
            </w:r>
          </w:p>
        </w:tc>
      </w:tr>
    </w:tbl>
    <w:p>
      <w:pPr>
        <w:spacing w:after="120" w:before="0"/>
      </w:pPr>
    </w:p>
    <w:p>
      <w:pPr>
        <w:pStyle w:val="Heading2"/>
        <w:spacing w:after="140" w:before="280"/>
      </w:pPr>
      <w:r>
        <w:rPr>
          <w:rFonts w:ascii="Arial" w:cs="Arial" w:eastAsia="Arial" w:hAnsi="Arial"/>
          <w:b/>
          <w:bCs/>
          <w:color w:val="F5F0E8"/>
          <w:sz w:val="32"/>
          <w:szCs w:val="32"/>
        </w:rPr>
        <w:t xml:space="preserve">12-Month Operating Calendar — Critical Path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960"/>
        <w:gridCol w:w="4400"/>
        <w:gridCol w:w="3360"/>
      </w:tblGrid>
      <w:tr>
        <w:trPr>
          <w:tblHeader/>
        </w:trPr>
        <w:tc>
          <w:tcPr>
            <w:tcW w:type="dxa" w:w="6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Month</w:t>
            </w:r>
          </w:p>
        </w:tc>
        <w:tc>
          <w:tcPr>
            <w:tcW w:type="dxa" w:w="9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Priority</w:t>
            </w:r>
          </w:p>
        </w:tc>
        <w:tc>
          <w:tcPr>
            <w:tcW w:type="dxa" w:w="44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Action Item</w:t>
            </w:r>
          </w:p>
        </w:tc>
        <w:tc>
          <w:tcPr>
            <w:tcW w:type="dxa" w:w="33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Success Criterion</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w:t>
            </w:r>
          </w:p>
        </w:tc>
        <w:tc>
          <w:tcPr>
            <w:tcW w:type="dxa" w:w="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CRITICAL</w:t>
            </w:r>
          </w:p>
        </w:tc>
        <w:tc>
          <w:tcPr>
            <w:tcW w:type="dxa" w:w="4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Register G.O.D.S. IP Trust with Master of the High Court. Appoint founding trustees. File IP schedule.</w:t>
            </w:r>
          </w:p>
        </w:tc>
        <w:tc>
          <w:tcPr>
            <w:tcW w:type="dxa" w:w="3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Trust deed executed and registered. IP schedule filed.</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w:t>
            </w:r>
          </w:p>
        </w:tc>
        <w:tc>
          <w:tcPr>
            <w:tcW w:type="dxa" w:w="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CRITICAL</w:t>
            </w:r>
          </w:p>
        </w:tc>
        <w:tc>
          <w:tcPr>
            <w:tcW w:type="dxa" w:w="4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Register G.O.D.S. Holdings (Pty) Ltd with CIPC. File constitutional MOI.</w:t>
            </w:r>
          </w:p>
        </w:tc>
        <w:tc>
          <w:tcPr>
            <w:tcW w:type="dxa" w:w="3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CIPC registration confirmed. MOI with constitutional constraints filed.</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w:t>
            </w:r>
          </w:p>
        </w:tc>
        <w:tc>
          <w:tcPr>
            <w:tcW w:type="dxa" w:w="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CRITICAL</w:t>
            </w:r>
          </w:p>
        </w:tc>
        <w:tc>
          <w:tcPr>
            <w:tcW w:type="dxa" w:w="4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File trademark applications: G.O.D.S., S.E.T.H.S., UDOC, M.A.D.I.B.A. at CIPC.</w:t>
            </w:r>
          </w:p>
        </w:tc>
        <w:tc>
          <w:tcPr>
            <w:tcW w:type="dxa" w:w="3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All marks filed. Application numbers recorded.</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w:t>
            </w:r>
          </w:p>
        </w:tc>
        <w:tc>
          <w:tcPr>
            <w:tcW w:type="dxa" w:w="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HIGH</w:t>
            </w:r>
          </w:p>
        </w:tc>
        <w:tc>
          <w:tcPr>
            <w:tcW w:type="dxa" w:w="4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Appoint COO. Begin recruitment of CFO. Engage Legal Counsel.</w:t>
            </w:r>
          </w:p>
        </w:tc>
        <w:tc>
          <w:tcPr>
            <w:tcW w:type="dxa" w:w="3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COO signed. CFO shortlist of 3. Legal Counsel engaged.</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2</w:t>
            </w:r>
          </w:p>
        </w:tc>
        <w:tc>
          <w:tcPr>
            <w:tcW w:type="dxa" w:w="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CRITICAL</w:t>
            </w:r>
          </w:p>
        </w:tc>
        <w:tc>
          <w:tcPr>
            <w:tcW w:type="dxa" w:w="4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Appoint Constitutional Oversight Board: first 3 independent members.</w:t>
            </w:r>
          </w:p>
        </w:tc>
        <w:tc>
          <w:tcPr>
            <w:tcW w:type="dxa" w:w="3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3 COB members accepted appointment. First COB meeting held.</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2</w:t>
            </w:r>
          </w:p>
        </w:tc>
        <w:tc>
          <w:tcPr>
            <w:tcW w:type="dxa" w:w="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CRITICAL</w:t>
            </w:r>
          </w:p>
        </w:tc>
        <w:tc>
          <w:tcPr>
            <w:tcW w:type="dxa" w:w="4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Finalise Phase 1 funding applications: DBSA Social, NDA, National Treasury SEF.</w:t>
            </w:r>
          </w:p>
        </w:tc>
        <w:tc>
          <w:tcPr>
            <w:tcW w:type="dxa" w:w="3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Applications submitted. Engagement meetings secured.</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3</w:t>
            </w:r>
          </w:p>
        </w:tc>
        <w:tc>
          <w:tcPr>
            <w:tcW w:type="dxa" w:w="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CRITICAL</w:t>
            </w:r>
          </w:p>
        </w:tc>
        <w:tc>
          <w:tcPr>
            <w:tcW w:type="dxa" w:w="4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First government engagement: DSD, DoL, DPSA meetings. Present S.E.T.H.S. programme.</w:t>
            </w:r>
          </w:p>
        </w:tc>
        <w:tc>
          <w:tcPr>
            <w:tcW w:type="dxa" w:w="3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3 government meetings completed. MOU negotiation initiated.</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3</w:t>
            </w:r>
          </w:p>
        </w:tc>
        <w:tc>
          <w:tcPr>
            <w:tcW w:type="dxa" w:w="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CRITICAL</w:t>
            </w:r>
          </w:p>
        </w:tc>
        <w:tc>
          <w:tcPr>
            <w:tcW w:type="dxa" w:w="4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 Phase 1 product: begin development of AI Decision Audit Log module.</w:t>
            </w:r>
          </w:p>
        </w:tc>
        <w:tc>
          <w:tcPr>
            <w:tcW w:type="dxa" w:w="3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Development sprint 1 complete. Core audit log architecture built.</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4</w:t>
            </w:r>
          </w:p>
        </w:tc>
        <w:tc>
          <w:tcPr>
            <w:tcW w:type="dxa" w:w="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HIGH</w:t>
            </w:r>
          </w:p>
        </w:tc>
        <w:tc>
          <w:tcPr>
            <w:tcW w:type="dxa" w:w="4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First DFI funding decision expected. Adjust Phase 1 plan based on confirmed capital.</w:t>
            </w:r>
          </w:p>
        </w:tc>
        <w:tc>
          <w:tcPr>
            <w:tcW w:type="dxa" w:w="3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Funding decision received. Phase 1 budget confirmed and board-approved.</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6</w:t>
            </w:r>
          </w:p>
        </w:tc>
        <w:tc>
          <w:tcPr>
            <w:tcW w:type="dxa" w:w="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CRITICAL</w:t>
            </w:r>
          </w:p>
        </w:tc>
        <w:tc>
          <w:tcPr>
            <w:tcW w:type="dxa" w:w="4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S.E.T.H.S. pilot cohort begins. First 50 participants in programme.</w:t>
            </w:r>
          </w:p>
        </w:tc>
        <w:tc>
          <w:tcPr>
            <w:tcW w:type="dxa" w:w="3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50 participants enrolled and in Week 1 of programme.</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6</w:t>
            </w:r>
          </w:p>
        </w:tc>
        <w:tc>
          <w:tcPr>
            <w:tcW w:type="dxa" w:w="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HIGH</w:t>
            </w:r>
          </w:p>
        </w:tc>
        <w:tc>
          <w:tcPr>
            <w:tcW w:type="dxa" w:w="4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 Phase 1 product launch: first enterprise client goes live.</w:t>
            </w:r>
          </w:p>
        </w:tc>
        <w:tc>
          <w:tcPr>
            <w:tcW w:type="dxa" w:w="3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Client 1 live. First governance events audited and logged.</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6</w:t>
            </w:r>
          </w:p>
        </w:tc>
        <w:tc>
          <w:tcPr>
            <w:tcW w:type="dxa" w:w="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MILESTONE</w:t>
            </w:r>
          </w:p>
        </w:tc>
        <w:tc>
          <w:tcPr>
            <w:tcW w:type="dxa" w:w="4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COB 6-month review. Board assesses constitutional compliance and milestone achievement.</w:t>
            </w:r>
          </w:p>
        </w:tc>
        <w:tc>
          <w:tcPr>
            <w:tcW w:type="dxa" w:w="3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COB review complete. Assessment documented. No constitutional flags.</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9–10</w:t>
            </w:r>
          </w:p>
        </w:tc>
        <w:tc>
          <w:tcPr>
            <w:tcW w:type="dxa" w:w="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CRITICAL</w:t>
            </w:r>
          </w:p>
        </w:tc>
        <w:tc>
          <w:tcPr>
            <w:tcW w:type="dxa" w:w="4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S.E.T.H.S. first placements: target 40/50 participants placed.</w:t>
            </w:r>
          </w:p>
        </w:tc>
        <w:tc>
          <w:tcPr>
            <w:tcW w:type="dxa" w:w="3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40+ participants placed in employment. Placement data documented.</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11–12</w:t>
            </w:r>
          </w:p>
        </w:tc>
        <w:tc>
          <w:tcPr>
            <w:tcW w:type="dxa" w:w="9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CRITICAL</w:t>
            </w:r>
          </w:p>
        </w:tc>
        <w:tc>
          <w:tcPr>
            <w:tcW w:type="dxa" w:w="4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1 COB annual review. Full constitutional compliance audit. Phase 2 planning approved.</w:t>
            </w:r>
          </w:p>
        </w:tc>
        <w:tc>
          <w:tcPr>
            <w:tcW w:type="dxa" w:w="3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Annual review complete. Constitutional compliance confirmed. Phase 2 plan board-approved.</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12</w:t>
            </w:r>
          </w:p>
        </w:tc>
        <w:tc>
          <w:tcPr>
            <w:tcW w:type="dxa" w:w="9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MILESTONE</w:t>
            </w:r>
          </w:p>
        </w:tc>
        <w:tc>
          <w:tcPr>
            <w:tcW w:type="dxa" w:w="4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Year 1 End: External audit complete. Annual report published. Full data room assembled.</w:t>
            </w:r>
          </w:p>
        </w:tc>
        <w:tc>
          <w:tcPr>
            <w:tcW w:type="dxa" w:w="3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Clean audit opinion. Annual report published. Data room index complete.</w:t>
            </w:r>
          </w:p>
        </w:tc>
      </w:tr>
    </w:tbl>
    <w:p>
      <w:pPr>
        <w:spacing w:after="120" w:before="0"/>
      </w:pPr>
    </w:p>
    <w:p>
      <w:pPr>
        <w:pStyle w:val="Heading2"/>
        <w:spacing w:after="140" w:before="280"/>
      </w:pPr>
      <w:r>
        <w:rPr>
          <w:rFonts w:ascii="Arial" w:cs="Arial" w:eastAsia="Arial" w:hAnsi="Arial"/>
          <w:b/>
          <w:bCs/>
          <w:color w:val="F5F0E8"/>
          <w:sz w:val="32"/>
          <w:szCs w:val="32"/>
        </w:rPr>
        <w:t xml:space="preserve">Phase 2 — Quantum Activation (Months 10–30): National</w:t>
      </w:r>
    </w:p>
    <w:p>
      <w:pPr>
        <w:spacing w:after="140" w:before="0"/>
        <w:jc w:val="left"/>
      </w:pPr>
      <w:r>
        <w:rPr>
          <w:rFonts w:ascii="Arial" w:cs="Arial" w:eastAsia="Arial" w:hAnsi="Arial"/>
          <w:b w:val="false"/>
          <w:bCs w:val="false"/>
          <w:i w:val="false"/>
          <w:iCs w:val="false"/>
          <w:caps w:val="false"/>
          <w:color w:val="D4CEBC"/>
          <w:sz w:val="22"/>
          <w:szCs w:val="22"/>
        </w:rPr>
        <w:t xml:space="preserve">Scale S.E.T.H.S. to 500 participants across 3 provinces. First justice-involved cohort. Activate 5 T.S. operational projects across energy, food, water, housing with SPV co-ownership. Deploy government UDOC pilot (DPSA or SARS). Integrate cloud QPU API. Activate quantum bias detection. Close first DFI investment round R45–80M.</w:t>
      </w:r>
    </w:p>
    <w:p>
      <w:pPr>
        <w:pStyle w:val="Heading2"/>
        <w:spacing w:after="140" w:before="280"/>
      </w:pPr>
      <w:r>
        <w:rPr>
          <w:rFonts w:ascii="Arial" w:cs="Arial" w:eastAsia="Arial" w:hAnsi="Arial"/>
          <w:b/>
          <w:bCs/>
          <w:color w:val="F5F0E8"/>
          <w:sz w:val="32"/>
          <w:szCs w:val="32"/>
        </w:rPr>
        <w:t xml:space="preserve">Phase 3 — Quantum Sovereignty (Months 28–48): Full National</w:t>
      </w:r>
    </w:p>
    <w:p>
      <w:pPr>
        <w:spacing w:after="140" w:before="0"/>
        <w:jc w:val="left"/>
      </w:pPr>
      <w:r>
        <w:rPr>
          <w:rFonts w:ascii="Arial" w:cs="Arial" w:eastAsia="Arial" w:hAnsi="Arial"/>
          <w:b w:val="false"/>
          <w:bCs w:val="false"/>
          <w:i w:val="false"/>
          <w:iCs w:val="false"/>
          <w:caps w:val="false"/>
          <w:color w:val="D4CEBC"/>
          <w:sz w:val="22"/>
          <w:szCs w:val="22"/>
        </w:rPr>
        <w:t xml:space="preserve">5,000 S.E.T.H.S. participants across all 14 sector specialisations. 20+ T.S. operational projects. On-premises QPU deployed (100+ qubits). Full quantum sovereignty achieved. 5+ government UDOC deployments. AI Governance Backbone MOU with national government. Sovereign wealth fund engagement (GEPF, PIC). First SADC sovereign partnership capital.</w:t>
      </w:r>
    </w:p>
    <w:p>
      <w:pPr>
        <w:pStyle w:val="Heading2"/>
        <w:spacing w:after="140" w:before="280"/>
      </w:pPr>
      <w:r>
        <w:rPr>
          <w:rFonts w:ascii="Arial" w:cs="Arial" w:eastAsia="Arial" w:hAnsi="Arial"/>
          <w:b/>
          <w:bCs/>
          <w:color w:val="F5F0E8"/>
          <w:sz w:val="32"/>
          <w:szCs w:val="32"/>
        </w:rPr>
        <w:t xml:space="preserve">Phase 4 — SADC Replication (Months 44–72): 5+ SADC Nations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rPr>
          <w:tblHeader/>
        </w:trPr>
        <w:tc>
          <w:tcPr>
            <w:tcW w:type="dxa" w:w="200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Division</w:t>
            </w:r>
          </w:p>
        </w:tc>
        <w:tc>
          <w:tcPr>
            <w:tcW w:type="dxa" w:w="736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SADC Deliverable</w:t>
            </w:r>
          </w:p>
        </w:tc>
      </w:tr>
      <w:tr>
        <w:trPr>
          <w:tblHeader w:val="false"/>
        </w:trPr>
        <w:tc>
          <w:tcPr>
            <w:tcW w:type="dxa" w:w="20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S.E.T.H.S.</w:t>
            </w:r>
          </w:p>
        </w:tc>
        <w:tc>
          <w:tcPr>
            <w:tcW w:type="dxa" w:w="73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Programme replication framework. Host-country training partner network. Regional skills certification. Priority: Zimbabwe, Zambia, Mozambique, Botswana, Namibia.</w:t>
            </w:r>
          </w:p>
        </w:tc>
      </w:tr>
      <w:tr>
        <w:trPr>
          <w:tblHeader w:val="false"/>
        </w:trPr>
        <w:tc>
          <w:tcPr>
            <w:tcW w:type="dxa" w:w="20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T.S.</w:t>
            </w:r>
          </w:p>
        </w:tc>
        <w:tc>
          <w:tcPr>
            <w:tcW w:type="dxa" w:w="73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Infrastructure pipeline across SADC. Regional SPV architecture. Cross-border green infrastructure corridor. SADC energy interconnector states.</w:t>
            </w:r>
          </w:p>
        </w:tc>
      </w:tr>
      <w:tr>
        <w:trPr>
          <w:tblHeader w:val="false"/>
        </w:trPr>
        <w:tc>
          <w:tcPr>
            <w:tcW w:type="dxa" w:w="20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UDOC</w:t>
            </w:r>
          </w:p>
        </w:tc>
        <w:tc>
          <w:tcPr>
            <w:tcW w:type="dxa" w:w="73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African Quantum Governance Network (AQGN) activated. 10+ sovereign deployments. AU Digital Transformation alignment. Nigeria, Kenya, Rwanda as gateway markets.</w:t>
            </w:r>
          </w:p>
        </w:tc>
      </w:tr>
      <w:tr>
        <w:trPr>
          <w:tblHeader w:val="false"/>
        </w:trPr>
        <w:tc>
          <w:tcPr>
            <w:tcW w:type="dxa" w:w="20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M.A.D.I.B.A.</w:t>
            </w:r>
          </w:p>
        </w:tc>
        <w:tc>
          <w:tcPr>
            <w:tcW w:type="dxa" w:w="73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AfDB and Afreximbank capital. SADC sovereign capital. Pan-African infrastructure fund launch. Fund management fees + carried interest + SPV co-ownership returns.</w:t>
            </w:r>
          </w:p>
        </w:tc>
      </w:tr>
      <w:tr>
        <w:trPr>
          <w:tblHeader w:val="false"/>
        </w:trPr>
        <w:tc>
          <w:tcPr>
            <w:tcW w:type="dxa" w:w="20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HQ-OS</w:t>
            </w:r>
          </w:p>
        </w:tc>
        <w:tc>
          <w:tcPr>
            <w:tcW w:type="dxa" w:w="73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Continental quantum backbone. QKD network across 5+ sovereign nodes. Photonic interconnect pilot.</w:t>
            </w:r>
          </w:p>
        </w:tc>
      </w:tr>
    </w:tbl>
    <w:p>
      <w:pPr>
        <w:spacing w:after="120" w:before="0"/>
      </w:pPr>
    </w:p>
    <w:p>
      <w:pPr>
        <w:pStyle w:val="Heading2"/>
        <w:spacing w:after="140" w:before="280"/>
      </w:pPr>
      <w:r>
        <w:rPr>
          <w:rFonts w:ascii="Arial" w:cs="Arial" w:eastAsia="Arial" w:hAnsi="Arial"/>
          <w:b/>
          <w:bCs/>
          <w:color w:val="F5F0E8"/>
          <w:sz w:val="32"/>
          <w:szCs w:val="32"/>
        </w:rPr>
        <w:t xml:space="preserve">Phase 5 — Global Standard (Months 68–120): Continental + Global</w:t>
      </w:r>
    </w:p>
    <w:p>
      <w:pPr>
        <w:spacing w:after="140" w:before="0"/>
        <w:jc w:val="left"/>
      </w:pPr>
      <w:r>
        <w:rPr>
          <w:rFonts w:ascii="Arial" w:cs="Arial" w:eastAsia="Arial" w:hAnsi="Arial"/>
          <w:b w:val="false"/>
          <w:bCs w:val="false"/>
          <w:i w:val="false"/>
          <w:iCs w:val="false"/>
          <w:caps w:val="false"/>
          <w:color w:val="D4CEBC"/>
          <w:sz w:val="22"/>
          <w:szCs w:val="22"/>
        </w:rPr>
        <w:t xml:space="preserve">Phase 5 is the compound result of Phases 1 through 4 working as designed. G.O.D.S. becomes the global reference architecture for sovereign quantum AI governance — licensed to institutional and government partners across Asia, the Middle East, Latin America, and Europe. UDOC HQ-OS as global standard. M.A.D.I.B.A. as international emerging market infrastructure capital platform. S.E.T.H.S. as certified university-level human capital programme. G.O.D.S. as ISO/IEC standards body contributor for AI governance.</w:t>
      </w:r>
    </w:p>
    <w:p>
      <w:r>
        <w:br w:type="page"/>
      </w:r>
    </w:p>
    <w:p>
      <w:pPr>
        <w:pStyle w:val="Heading1"/>
        <w:pBdr>
          <w:bottom w:val="single" w:color="C9A84C" w:sz="8" w:space="4"/>
        </w:pBdr>
        <w:spacing w:after="200" w:before="360"/>
      </w:pPr>
      <w:r>
        <w:rPr>
          <w:rFonts w:ascii="Arial" w:cs="Arial" w:eastAsia="Arial" w:hAnsi="Arial"/>
          <w:b/>
          <w:bCs/>
          <w:caps w:val="false"/>
          <w:color w:val="C9A84C"/>
          <w:sz w:val="44"/>
          <w:szCs w:val="44"/>
        </w:rPr>
        <w:t xml:space="preserve">07  |  COMPETITIVE LANDSCAPE &amp; STRATEGIC MOAT</w:t>
      </w:r>
    </w:p>
    <w:p>
      <w:pPr>
        <w:pStyle w:val="Heading2"/>
        <w:spacing w:after="140" w:before="280"/>
      </w:pPr>
      <w:r>
        <w:rPr>
          <w:rFonts w:ascii="Arial" w:cs="Arial" w:eastAsia="Arial" w:hAnsi="Arial"/>
          <w:b/>
          <w:bCs/>
          <w:color w:val="F5F0E8"/>
          <w:sz w:val="32"/>
          <w:szCs w:val="32"/>
        </w:rPr>
        <w:t xml:space="preserve">The Correct Competitive Frame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auto" w:sz="0"/>
              <w:left w:val="single" w:color="C9A84C" w:sz="6"/>
              <w:bottom w:val="none" w:color="auto" w:sz="0"/>
              <w:right w:val="none" w:color="auto" w:sz="0"/>
            </w:tcBorders>
            <w:shd w:fill="0C1A2E" w:val="clear"/>
            <w:tcMar>
              <w:top w:type="dxa" w:w="140"/>
              <w:left w:type="dxa" w:w="200"/>
              <w:bottom w:type="dxa" w:w="140"/>
              <w:right w:type="dxa" w:w="200"/>
            </w:tcMar>
          </w:tcPr>
          <w:p>
            <w:pPr>
              <w:spacing w:after="0" w:before="0"/>
            </w:pPr>
            <w:r>
              <w:rPr>
                <w:rFonts w:ascii="Arial" w:cs="Arial" w:eastAsia="Arial" w:hAnsi="Arial"/>
                <w:i w:val="false"/>
                <w:iCs w:val="false"/>
                <w:color w:val="F5F0E8"/>
                <w:sz w:val="22"/>
                <w:szCs w:val="22"/>
              </w:rPr>
              <w:t xml:space="preserve">G.O.D.S. does not compete with any single entity. It competes with the combination of entities that would need to work together to replicate what G.O.D.S. does. And that combination cannot coordinate the way G.O.D.S. can — because they are separate organisations with separate incentives, separate governance frameworks, and no compounding architecture connecting them.</w:t>
            </w:r>
          </w:p>
        </w:tc>
      </w:tr>
    </w:tbl>
    <w:p>
      <w:pPr>
        <w:spacing w:after="160" w:before="0"/>
      </w:pPr>
    </w:p>
    <w:p>
      <w:pPr>
        <w:pStyle w:val="Heading2"/>
        <w:spacing w:after="140" w:before="280"/>
      </w:pPr>
      <w:r>
        <w:rPr>
          <w:rFonts w:ascii="Arial" w:cs="Arial" w:eastAsia="Arial" w:hAnsi="Arial"/>
          <w:b/>
          <w:bCs/>
          <w:color w:val="F5F0E8"/>
          <w:sz w:val="32"/>
          <w:szCs w:val="32"/>
        </w:rPr>
        <w:t xml:space="preserve">Division-by-Division Competitive Analysis</w:t>
      </w:r>
    </w:p>
    <w:p>
      <w:pPr>
        <w:pStyle w:val="Heading3"/>
        <w:spacing w:after="100" w:before="200"/>
      </w:pPr>
      <w:r>
        <w:rPr>
          <w:rFonts w:ascii="Arial" w:cs="Arial" w:eastAsia="Arial" w:hAnsi="Arial"/>
          <w:b/>
          <w:bCs/>
          <w:color w:val="E8C97A"/>
          <w:sz w:val="26"/>
          <w:szCs w:val="26"/>
        </w:rPr>
        <w:t xml:space="preserve">S.E.T.H.S. vs Alternatives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Competitor Type</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Weakness vs S.E.T.H.S.</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Government training programmes (LGSETA, MerSETA, EPWP)</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Single-domain. No employer network. No post-placement monitoring. No UDOC data integration.</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NGO rehabilitation organisations (SANCA, Lifeline, NICRO)</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Not commercially structured. No technical skills training. No employer placement capability.</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Private skills development companies (Capaciti, Harambee)</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No reintegration specialisation. No addiction/incarceration pathway. Not connected to infrastructure employment.</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Corporate CSI programmes (Absa Foundation, Naspers Foundation)</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Not systematic. Not scalable. No governance accountability structure.</w:t>
            </w:r>
          </w:p>
        </w:tc>
      </w:tr>
    </w:tbl>
    <w:p>
      <w:pPr>
        <w:spacing w:after="120" w:before="0"/>
      </w:pPr>
    </w:p>
    <w:p>
      <w:pPr>
        <w:pStyle w:val="Heading3"/>
        <w:spacing w:after="100" w:before="200"/>
      </w:pPr>
      <w:r>
        <w:rPr>
          <w:rFonts w:ascii="Arial" w:cs="Arial" w:eastAsia="Arial" w:hAnsi="Arial"/>
          <w:b/>
          <w:bCs/>
          <w:color w:val="E8C97A"/>
          <w:sz w:val="26"/>
          <w:szCs w:val="26"/>
        </w:rPr>
        <w:t xml:space="preserve">UDOC vs Alternatives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Competitor</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Why UDOC Wins</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Palantir (Gotham/Apollo)</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US-domiciled. Foreign jurisdiction risk. Not focused on governance/audit layer. No African sovereign focus.</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IBM Watson AI Governance</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US company. Expensive. Not Africa-focused. Not sovereign-infrastructure native.</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Microsoft Azure AI Governance</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Locks client to Azure. Not sovereign. Foreign data residency by default.</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AWS AI compliance tools</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Same as Microsoft — cloud lock-in, foreign residency, US jurisdiction.</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Local compliance consultancies</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Manual. Not systematic. Not scalable. No real-time monitoring.</w:t>
            </w:r>
          </w:p>
        </w:tc>
      </w:tr>
    </w:tbl>
    <w:p>
      <w:pPr>
        <w:spacing w:after="120" w:before="0"/>
      </w:pPr>
    </w:p>
    <w:p>
      <w:pPr>
        <w:pStyle w:val="Heading2"/>
        <w:spacing w:after="140" w:before="280"/>
      </w:pPr>
      <w:r>
        <w:rPr>
          <w:rFonts w:ascii="Arial" w:cs="Arial" w:eastAsia="Arial" w:hAnsi="Arial"/>
          <w:b/>
          <w:bCs/>
          <w:color w:val="F5F0E8"/>
          <w:sz w:val="32"/>
          <w:szCs w:val="32"/>
        </w:rPr>
        <w:t xml:space="preserve">The Structural Moat — Replication Test</w:t>
      </w:r>
    </w:p>
    <w:p>
      <w:pPr>
        <w:spacing w:after="140" w:before="0"/>
        <w:jc w:val="left"/>
      </w:pPr>
      <w:r>
        <w:rPr>
          <w:rFonts w:ascii="Arial" w:cs="Arial" w:eastAsia="Arial" w:hAnsi="Arial"/>
          <w:b w:val="false"/>
          <w:bCs w:val="false"/>
          <w:i w:val="false"/>
          <w:iCs w:val="false"/>
          <w:caps w:val="false"/>
          <w:color w:val="D4CEBC"/>
          <w:sz w:val="22"/>
          <w:szCs w:val="22"/>
        </w:rPr>
        <w:t xml:space="preserve">To replicate G.O.D.S., a competitor would need to simultaneously build all of the following — estimated minimum 8–12 years: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40"/>
        <w:gridCol w:w="4320"/>
      </w:tblGrid>
      <w:tr>
        <w:trPr>
          <w:tblHeader/>
        </w:trPr>
        <w:tc>
          <w:tcPr>
            <w:tcW w:type="dxa" w:w="50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What They Would Need to Build</w:t>
            </w:r>
          </w:p>
        </w:tc>
        <w:tc>
          <w:tcPr>
            <w:tcW w:type="dxa" w:w="43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Time to Credibility</w:t>
            </w:r>
          </w:p>
        </w:tc>
      </w:tr>
      <w:tr>
        <w:trPr>
          <w:tblHeader w:val="false"/>
        </w:trPr>
        <w:tc>
          <w:tcPr>
            <w:tcW w:type="dxa" w:w="50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Workforce reintegration system with clinical, documentation, skills, placement, and monitoring capability (S.E.T.H.S.)</w:t>
            </w:r>
          </w:p>
        </w:tc>
        <w:tc>
          <w:tcPr>
            <w:tcW w:type="dxa" w:w="43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3–5 years to operational credibility</w:t>
            </w:r>
          </w:p>
        </w:tc>
      </w:tr>
      <w:tr>
        <w:trPr>
          <w:tblHeader w:val="false"/>
        </w:trPr>
        <w:tc>
          <w:tcPr>
            <w:tcW w:type="dxa" w:w="50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Multi-sector infrastructure production company with direct employment pathway from that workforce system (T.S.)</w:t>
            </w:r>
          </w:p>
        </w:tc>
        <w:tc>
          <w:tcPr>
            <w:tcW w:type="dxa" w:w="43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Requires S.E.T.H.S. first — cannot be built independently</w:t>
            </w:r>
          </w:p>
        </w:tc>
      </w:tr>
      <w:tr>
        <w:trPr>
          <w:tblHeader w:val="false"/>
        </w:trPr>
        <w:tc>
          <w:tcPr>
            <w:tcW w:type="dxa" w:w="50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AI governance SaaS platform with sovereign infrastructure capability AND constitutional governance constraints (UDOC)</w:t>
            </w:r>
          </w:p>
        </w:tc>
        <w:tc>
          <w:tcPr>
            <w:tcW w:type="dxa" w:w="43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2–4 years to enterprise credibility</w:t>
            </w:r>
          </w:p>
        </w:tc>
      </w:tr>
      <w:tr>
        <w:trPr>
          <w:tblHeader w:val="false"/>
        </w:trPr>
        <w:tc>
          <w:tcPr>
            <w:tcW w:type="dxa" w:w="50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Capital architecture vehicle using combined credibility of all three (M.A.D.I.B.A.)</w:t>
            </w:r>
          </w:p>
        </w:tc>
        <w:tc>
          <w:tcPr>
            <w:tcW w:type="dxa" w:w="43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Requires all three others operational first</w:t>
            </w:r>
          </w:p>
        </w:tc>
      </w:tr>
      <w:tr>
        <w:trPr>
          <w:tblHeader w:val="false"/>
        </w:trPr>
        <w:tc>
          <w:tcPr>
            <w:tcW w:type="dxa" w:w="50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Constitutional governance framework with 12 inviolable pillars, IP Trust, COB structure, and 250-year mandate</w:t>
            </w:r>
          </w:p>
        </w:tc>
        <w:tc>
          <w:tcPr>
            <w:tcW w:type="dxa" w:w="43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Cannot be copied at all — must be originated from inception</w:t>
            </w:r>
          </w:p>
        </w:tc>
      </w:tr>
    </w:tbl>
    <w:p>
      <w:pPr>
        <w:spacing w:after="12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auto" w:sz="0"/>
              <w:left w:val="single" w:color="C9A84C" w:sz="6"/>
              <w:bottom w:val="none" w:color="auto" w:sz="0"/>
              <w:right w:val="none" w:color="auto" w:sz="0"/>
            </w:tcBorders>
            <w:shd w:fill="0C1A2E" w:val="clear"/>
            <w:tcMar>
              <w:top w:type="dxa" w:w="140"/>
              <w:left w:type="dxa" w:w="200"/>
              <w:bottom w:type="dxa" w:w="140"/>
              <w:right w:type="dxa" w:w="200"/>
            </w:tcMar>
          </w:tcPr>
          <w:p>
            <w:pPr>
              <w:spacing w:after="0" w:before="0"/>
            </w:pPr>
            <w:r>
              <w:rPr>
                <w:rFonts w:ascii="Arial" w:cs="Arial" w:eastAsia="Arial" w:hAnsi="Arial"/>
                <w:i/>
                <w:iCs/>
                <w:color w:val="F5F0E8"/>
                <w:sz w:val="22"/>
                <w:szCs w:val="22"/>
              </w:rPr>
              <w:t xml:space="preserve">By the time any competitor could attempt this, G.O.D.S. would have 5–10 years of operational proof, government relationships, and institutional credibility that cannot be manufactured. The lead is the architecture. The proof is South Africa.</w:t>
            </w:r>
          </w:p>
        </w:tc>
      </w:tr>
    </w:tbl>
    <w:p>
      <w:pPr>
        <w:spacing w:after="160" w:before="0"/>
      </w:pPr>
    </w:p>
    <w:p>
      <w:pPr>
        <w:pStyle w:val="Heading2"/>
        <w:spacing w:after="140" w:before="280"/>
      </w:pPr>
      <w:r>
        <w:rPr>
          <w:rFonts w:ascii="Arial" w:cs="Arial" w:eastAsia="Arial" w:hAnsi="Arial"/>
          <w:b/>
          <w:bCs/>
          <w:color w:val="F5F0E8"/>
          <w:sz w:val="32"/>
          <w:szCs w:val="32"/>
        </w:rPr>
        <w:t xml:space="preserve">UDOC HQ-OS vs Global Quantum Governance Competitors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2760"/>
        <w:gridCol w:w="2600"/>
      </w:tblGrid>
      <w:tr>
        <w:trPr>
          <w:tblHeader/>
        </w:trPr>
        <w:tc>
          <w:tcPr>
            <w:tcW w:type="dxa" w:w="20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Competitor</w:t>
            </w:r>
          </w:p>
        </w:tc>
        <w:tc>
          <w:tcPr>
            <w:tcW w:type="dxa" w:w="20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Quantum Capability</w:t>
            </w:r>
          </w:p>
        </w:tc>
        <w:tc>
          <w:tcPr>
            <w:tcW w:type="dxa" w:w="27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Sovereign/African Focus</w:t>
            </w:r>
          </w:p>
        </w:tc>
        <w:tc>
          <w:tcPr>
            <w:tcW w:type="dxa" w:w="26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UDOC HQ-OS Position</w:t>
            </w:r>
          </w:p>
        </w:tc>
      </w:tr>
      <w:tr>
        <w:trPr>
          <w:tblHeader w:val="false"/>
        </w:trPr>
        <w:tc>
          <w:tcPr>
            <w:tcW w:type="dxa" w:w="2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IBM Quantum</w:t>
            </w:r>
          </w:p>
        </w:tc>
        <w:tc>
          <w:tcPr>
            <w:tcW w:type="dxa" w:w="2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World-leading QPU hardware</w:t>
            </w:r>
          </w:p>
        </w:tc>
        <w:tc>
          <w:tcPr>
            <w:tcW w:type="dxa" w:w="27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None — hardware only. No sovereign specialisation.</w:t>
            </w:r>
          </w:p>
        </w:tc>
        <w:tc>
          <w:tcPr>
            <w:tcW w:type="dxa" w:w="26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Partner for QPU hardware; UDOC owns governance layer above it</w:t>
            </w:r>
          </w:p>
        </w:tc>
      </w:tr>
      <w:tr>
        <w:trPr>
          <w:tblHeader w:val="false"/>
        </w:trPr>
        <w:tc>
          <w:tcPr>
            <w:tcW w:type="dxa" w:w="2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Palantir</w:t>
            </w:r>
          </w:p>
        </w:tc>
        <w:tc>
          <w:tcPr>
            <w:tcW w:type="dxa" w:w="2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None (classical only)</w:t>
            </w:r>
          </w:p>
        </w:tc>
        <w:tc>
          <w:tcPr>
            <w:tcW w:type="dxa" w:w="27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Government contracts (Western govts)</w:t>
            </w:r>
          </w:p>
        </w:tc>
        <w:tc>
          <w:tcPr>
            <w:tcW w:type="dxa" w:w="26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 is the sovereign, constitutional, African alternative</w:t>
            </w:r>
          </w:p>
        </w:tc>
      </w:tr>
      <w:tr>
        <w:trPr>
          <w:tblHeader w:val="false"/>
        </w:trPr>
        <w:tc>
          <w:tcPr>
            <w:tcW w:type="dxa" w:w="2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Microsoft Azure Quantum</w:t>
            </w:r>
          </w:p>
        </w:tc>
        <w:tc>
          <w:tcPr>
            <w:tcW w:type="dxa" w:w="2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Hybrid cloud quantum</w:t>
            </w:r>
          </w:p>
        </w:tc>
        <w:tc>
          <w:tcPr>
            <w:tcW w:type="dxa" w:w="27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US-centric; foreign jurisdiction</w:t>
            </w:r>
          </w:p>
        </w:tc>
        <w:tc>
          <w:tcPr>
            <w:tcW w:type="dxa" w:w="26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Foreign dependency; UDOC provides local sovereignty Microsoft cannot</w:t>
            </w:r>
          </w:p>
        </w:tc>
      </w:tr>
      <w:tr>
        <w:trPr>
          <w:tblHeader w:val="false"/>
        </w:trPr>
        <w:tc>
          <w:tcPr>
            <w:tcW w:type="dxa" w:w="2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Google Quantum AI</w:t>
            </w:r>
          </w:p>
        </w:tc>
        <w:tc>
          <w:tcPr>
            <w:tcW w:type="dxa" w:w="2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Superconducting QPU research</w:t>
            </w:r>
          </w:p>
        </w:tc>
        <w:tc>
          <w:tcPr>
            <w:tcW w:type="dxa" w:w="27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US-jurisdiction; AU partnership (governance only)</w:t>
            </w:r>
          </w:p>
        </w:tc>
        <w:tc>
          <w:tcPr>
            <w:tcW w:type="dxa" w:w="26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 alongside AU–Google partnership as African-built execution layer</w:t>
            </w:r>
          </w:p>
        </w:tc>
      </w:tr>
    </w:tbl>
    <w:p>
      <w:r>
        <w:br w:type="page"/>
      </w:r>
    </w:p>
    <w:p>
      <w:pPr>
        <w:pStyle w:val="Heading1"/>
        <w:pBdr>
          <w:bottom w:val="single" w:color="C9A84C" w:sz="8" w:space="4"/>
        </w:pBdr>
        <w:spacing w:after="200" w:before="360"/>
      </w:pPr>
      <w:r>
        <w:rPr>
          <w:rFonts w:ascii="Arial" w:cs="Arial" w:eastAsia="Arial" w:hAnsi="Arial"/>
          <w:b/>
          <w:bCs/>
          <w:caps w:val="false"/>
          <w:color w:val="C9A84C"/>
          <w:sz w:val="44"/>
          <w:szCs w:val="44"/>
        </w:rPr>
        <w:t xml:space="preserve">08  |  GOVERNANCE, LEGAL &amp; IP ARCHITECTURE</w:t>
      </w:r>
    </w:p>
    <w:p>
      <w:pPr>
        <w:pStyle w:val="Heading2"/>
        <w:spacing w:after="140" w:before="280"/>
      </w:pPr>
      <w:r>
        <w:rPr>
          <w:rFonts w:ascii="Arial" w:cs="Arial" w:eastAsia="Arial" w:hAnsi="Arial"/>
          <w:b/>
          <w:bCs/>
          <w:color w:val="F5F0E8"/>
          <w:sz w:val="32"/>
          <w:szCs w:val="32"/>
        </w:rPr>
        <w:t xml:space="preserve">The Five-Layer Override Hierarchy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Override Level</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Authority &amp; Actions Available</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Level 1: Automated System Response</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HQ-OS automated response. Task re-route to classical; human review flag; audit log entry.</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Level 2: Operational Override</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UDOC Operations Team + Division Head. System pause; investigation activation; client notification; COB alert.</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Level 3: Executive Override</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CEO + COB Chair (joint). Division pause; investor communication; independent audit activation; regulatory notification if required.</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Level 4: Constitutional Override</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Constitutional Oversight Board (supermajority). Full system shutdown; investor removal; regulatory referral; public disclosure; independent investigation.</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Level 5: IP Trust Override</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IP Trust Trustees (unanimous). Dissolution of G.O.D.S. Holdings as configured; reconstitution under new entity with identical constitutional constraints; founder doctrine preserved.</w:t>
            </w:r>
          </w:p>
        </w:tc>
      </w:tr>
    </w:tbl>
    <w:p>
      <w:pPr>
        <w:spacing w:after="160" w:before="0"/>
      </w:pPr>
    </w:p>
    <w:p>
      <w:pPr>
        <w:pStyle w:val="Heading2"/>
        <w:spacing w:after="140" w:before="280"/>
      </w:pPr>
      <w:r>
        <w:rPr>
          <w:rFonts w:ascii="Arial" w:cs="Arial" w:eastAsia="Arial" w:hAnsi="Arial"/>
          <w:b/>
          <w:bCs/>
          <w:color w:val="F5F0E8"/>
          <w:sz w:val="32"/>
          <w:szCs w:val="32"/>
        </w:rPr>
        <w:t xml:space="preserve">IP Architecture — Patent Portfolio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Patent Reference</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Innovation &amp; Commercial Value</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GODS-P001 (Priority 1 — Month 6)</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Quantum-Classical Governance Task Classification Algorithm. Core HQ-OS patent — licenceable to any quantum governance infrastructure vendor globally.</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GODS-P002 (Priority 1 — Month 6)</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Intersectional Quantum Bias Detection Method. Highest commercial value patent — intersectional bias detection is the primary UDOC quantum differentiation.</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GODS-P003 (Priority 2 — Month 12)</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Sovereign Quantum Key Distribution Governance Integration. Enables premium sovereign security tier; differentiates from all classical governance competitors.</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GODS-P004 (Priority 2 — Month 18)</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Constitutional Governance Compliance Verification via Quantum Constraint Satisfaction. Unique to G.O.D.S. constitutional model.</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GODS-P005 (Priority 3 — Month 24)</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Workforce-to-Infrastructure Outcome Data Loop. Protects the compounding loop data architecture — makes it harder for competitors to replicate even with similar components.</w:t>
            </w:r>
          </w:p>
        </w:tc>
      </w:tr>
    </w:tbl>
    <w:p>
      <w:pPr>
        <w:spacing w:after="160" w:before="0"/>
      </w:pPr>
    </w:p>
    <w:p>
      <w:pPr>
        <w:pStyle w:val="Heading2"/>
        <w:spacing w:after="140" w:before="280"/>
      </w:pPr>
      <w:r>
        <w:rPr>
          <w:rFonts w:ascii="Arial" w:cs="Arial" w:eastAsia="Arial" w:hAnsi="Arial"/>
          <w:b/>
          <w:bCs/>
          <w:color w:val="F5F0E8"/>
          <w:sz w:val="32"/>
          <w:szCs w:val="32"/>
        </w:rPr>
        <w:t xml:space="preserve">IP Trust — Deed Summary</w:t>
      </w:r>
    </w:p>
    <w:p>
      <w:pPr>
        <w:spacing w:after="140" w:before="0"/>
        <w:jc w:val="left"/>
      </w:pPr>
      <w:r>
        <w:rPr>
          <w:rFonts w:ascii="Arial" w:cs="Arial" w:eastAsia="Arial" w:hAnsi="Arial"/>
          <w:b w:val="false"/>
          <w:bCs w:val="false"/>
          <w:i w:val="false"/>
          <w:iCs w:val="false"/>
          <w:caps w:val="false"/>
          <w:color w:val="D4CEBC"/>
          <w:sz w:val="22"/>
          <w:szCs w:val="22"/>
        </w:rPr>
        <w:t xml:space="preserve">The G.O.D.S. IP Trust is constituted under South African trust law (Trust Property Control Act 57 of 1988) as an inter vivos trust. Its sole objective is the permanent protection of the G.O.D.S. constitutional architecture, intellectual property, and system design against commercial capture, dissolution, or mission drift.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Trust Element</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Structure</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Trustees</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Minimum 3 trustees. Founder serves as initial trustee. Two independent co-trustees appointed by public interest process. No single trustee can act alone on Class A matters.</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Trust Property</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IP schedule (all registered and unregistered IP); Class A shares in G.O.D.S. Holdings (Pty) Ltd; constitutional mandate documents; founder doctrine; succession continuity charter.</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Trustee Powers</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Enforce Class A governance rights. Exercise veto on constitutional amendment. Approve/reject trustee succession. Hold and protect IP schedule. Cannot sell Trust property commercially.</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Dissolution Protection</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Trust cannot be wound up by any commercial process, creditor claim, or shareholder resolution. Dissolution requires unanimous trustee consent + Master of the High Court approval + 12-month wind-down period.</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Founder Succession</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On founder's death, incapacity, or resignation: independent trustee takes temporary Class A custodianship. Founder doctrine governs selection of successor. COB participates in successor identification.</w:t>
            </w:r>
          </w:p>
        </w:tc>
      </w:tr>
    </w:tbl>
    <w:p>
      <w:pPr>
        <w:spacing w:after="160" w:before="0"/>
      </w:pPr>
    </w:p>
    <w:p>
      <w:pPr>
        <w:pStyle w:val="Heading2"/>
        <w:spacing w:after="140" w:before="280"/>
      </w:pPr>
      <w:r>
        <w:rPr>
          <w:rFonts w:ascii="Arial" w:cs="Arial" w:eastAsia="Arial" w:hAnsi="Arial"/>
          <w:b/>
          <w:bCs/>
          <w:color w:val="F5F0E8"/>
          <w:sz w:val="32"/>
          <w:szCs w:val="32"/>
        </w:rPr>
        <w:t xml:space="preserve">Trademark &amp; IP Protection Strategy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IP Category</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Protection Mechanism &amp; Jurisdiction</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Constitutional Architecture (12 Pillars, governance framework)</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Copyright + Trade secret + IP Trust custody. Not patentable — protected by combination of registration, Trust deed, and public disclosure of authorship. Not licensed commercially.</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S.E.T.H.S. Programme Methodology</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Copyright + Trade secret + Trademark (S.E.T.H.S. name and mark). CIPC filing Month 1. ARIPO for SADC. Certification curriculum submitted to QCTO.</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UDOC Governance Platform (Software)</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Copyright (source code); Trade secrets (algorithms); Patents (novel technical implementations). PCT application for international priority. SaaS licence + Sovereign licence + AQGN member licence.</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HQ-OS Quantum Architecture</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Trade secret (algorithm design); Patents (novel QCI implementations); Copyright (code). PCT priority filing. Premium quantum tier licensing. AQGN infrastructure licence.</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Brand &amp; Marks</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G.O.D.S., S.E.T.H.S., UDOC, M.A.D.I.B.A., HQ-OS, Transition Systems. CIPC (filed Month 1); ARIPO (Phase 2); EUIPO + USPTO for key marks (Phase 3).</w:t>
            </w:r>
          </w:p>
        </w:tc>
      </w:tr>
    </w:tbl>
    <w:p>
      <w:pPr>
        <w:spacing w:after="160" w:before="0"/>
      </w:pPr>
    </w:p>
    <w:p>
      <w:pPr>
        <w:pStyle w:val="Heading2"/>
        <w:spacing w:after="140" w:before="280"/>
      </w:pPr>
      <w:r>
        <w:rPr>
          <w:rFonts w:ascii="Arial" w:cs="Arial" w:eastAsia="Arial" w:hAnsi="Arial"/>
          <w:b/>
          <w:bCs/>
          <w:color w:val="F5F0E8"/>
          <w:sz w:val="32"/>
          <w:szCs w:val="32"/>
        </w:rPr>
        <w:t xml:space="preserve">Succession &amp; Continuity Architecture</w:t>
      </w:r>
    </w:p>
    <w:p>
      <w:pPr>
        <w:spacing w:after="140" w:before="0"/>
        <w:jc w:val="left"/>
      </w:pPr>
      <w:r>
        <w:rPr>
          <w:rFonts w:ascii="Arial" w:cs="Arial" w:eastAsia="Arial" w:hAnsi="Arial"/>
          <w:b w:val="false"/>
          <w:bCs w:val="false"/>
          <w:i w:val="false"/>
          <w:iCs w:val="false"/>
          <w:caps w:val="false"/>
          <w:color w:val="D4CEBC"/>
          <w:sz w:val="22"/>
          <w:szCs w:val="22"/>
        </w:rPr>
        <w:t xml:space="preserve">G.O.D.S. is designed with institutional continuity as a primary architectural requirement. The 250-year mandate requires that no single individual — including the Founder — can become a single point of failure.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Succession Stage</w:t>
            </w:r>
          </w:p>
        </w:tc>
        <w:tc>
          <w:tcPr>
            <w:tcW w:type="dxa" w:w="636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Mechanism</w:t>
            </w:r>
          </w:p>
        </w:tc>
      </w:tr>
      <w:tr>
        <w:trPr>
          <w:tblHeader w:val="false"/>
        </w:trPr>
        <w:tc>
          <w:tcPr>
            <w:tcW w:type="dxa" w:w="30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Stage 1: Founder Active</w:t>
            </w:r>
          </w:p>
        </w:tc>
        <w:tc>
          <w:tcPr>
            <w:tcW w:type="dxa" w:w="63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Founder holds Class A via IP Trust. Executive Chairman role. COB operates as constitutional check. Division CEOs have operational autonomy within constitutional bounds.</w:t>
            </w:r>
          </w:p>
        </w:tc>
      </w:tr>
      <w:tr>
        <w:trPr>
          <w:tblHeader w:val="false"/>
        </w:trPr>
        <w:tc>
          <w:tcPr>
            <w:tcW w:type="dxa" w:w="30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Stage 2: Founder Transitions (Voluntary or Incapacity)</w:t>
            </w:r>
          </w:p>
        </w:tc>
        <w:tc>
          <w:tcPr>
            <w:tcW w:type="dxa" w:w="63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IP Trust Trustees meet within 72 hours. COO assumes interim authority (max 90 days). COB initiates independent CEO succession process. Incoming CEO presents constitutional alignment statement to COB.</w:t>
            </w:r>
          </w:p>
        </w:tc>
      </w:tr>
      <w:tr>
        <w:trPr>
          <w:tblHeader w:val="false"/>
        </w:trPr>
        <w:tc>
          <w:tcPr>
            <w:tcW w:type="dxa" w:w="30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Stage 3: Founder's Death</w:t>
            </w:r>
          </w:p>
        </w:tc>
        <w:tc>
          <w:tcPr>
            <w:tcW w:type="dxa" w:w="63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Class A shares remain in Trust — not part of personal estate. Family Successor Trustee becomes co-trustee (fiduciary duties, not beneficial owner). Holdings CEO filled through COB-supervised process. All four divisions continue under respective CEOs.</w:t>
            </w:r>
          </w:p>
        </w:tc>
      </w:tr>
      <w:tr>
        <w:trPr>
          <w:tblHeader w:val="false"/>
        </w:trPr>
        <w:tc>
          <w:tcPr>
            <w:tcW w:type="dxa" w:w="30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Generation 2–3 (Years 25–100)</w:t>
            </w:r>
          </w:p>
        </w:tc>
        <w:tc>
          <w:tcPr>
            <w:tcW w:type="dxa" w:w="63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Family Successor Trustee + Independent Trustees exercise Class A votes collectively. G.O.D.S. operates as institutionally structured conglomerate with no required family role in operations.</w:t>
            </w:r>
          </w:p>
        </w:tc>
      </w:tr>
      <w:tr>
        <w:trPr>
          <w:tblHeader w:val="false"/>
        </w:trPr>
        <w:tc>
          <w:tcPr>
            <w:tcW w:type="dxa" w:w="30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Generation 4+ (Year 100+)</w:t>
            </w:r>
          </w:p>
        </w:tc>
        <w:tc>
          <w:tcPr>
            <w:tcW w:type="dxa" w:w="63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Institution fully self-governing. COB and fully independent trustees exercise all governance authority. Family connection to IP Trust remains optional, not required.</w:t>
            </w:r>
          </w:p>
        </w:tc>
      </w:tr>
    </w:tbl>
    <w:p>
      <w:r>
        <w:br w:type="page"/>
      </w:r>
    </w:p>
    <w:p>
      <w:pPr>
        <w:pStyle w:val="Heading1"/>
        <w:pBdr>
          <w:bottom w:val="single" w:color="C9A84C" w:sz="8" w:space="4"/>
        </w:pBdr>
        <w:spacing w:after="200" w:before="360"/>
      </w:pPr>
      <w:r>
        <w:rPr>
          <w:rFonts w:ascii="Arial" w:cs="Arial" w:eastAsia="Arial" w:hAnsi="Arial"/>
          <w:b/>
          <w:bCs/>
          <w:caps w:val="false"/>
          <w:color w:val="C9A84C"/>
          <w:sz w:val="44"/>
          <w:szCs w:val="44"/>
        </w:rPr>
        <w:t xml:space="preserve">09  |  RISK REGISTER — BOARD GRADE ASSESSMENT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auto" w:sz="0"/>
              <w:left w:val="single" w:color="1A3050" w:sz="2"/>
              <w:bottom w:val="none" w:color="auto" w:sz="0"/>
              <w:right w:val="none" w:color="auto" w:sz="0"/>
            </w:tcBorders>
            <w:shd w:fill="0C1A2E" w:val="clear"/>
            <w:tcMar>
              <w:top w:type="dxa" w:w="140"/>
              <w:left w:type="dxa" w:w="200"/>
              <w:bottom w:type="dxa" w:w="140"/>
              <w:right w:type="dxa" w:w="200"/>
            </w:tcMar>
          </w:tcPr>
          <w:p>
            <w:pPr>
              <w:spacing w:after="0" w:before="0"/>
            </w:pPr>
            <w:r>
              <w:rPr>
                <w:rFonts w:ascii="Arial" w:cs="Arial" w:eastAsia="Arial" w:hAnsi="Arial"/>
                <w:i w:val="false"/>
                <w:iCs w:val="false"/>
                <w:color w:val="8A8A9A"/>
                <w:sz w:val="22"/>
                <w:szCs w:val="22"/>
              </w:rPr>
              <w:t xml:space="preserve">Risk scores use a 5×5 matrix: Probability (1=Rare, 5=Almost Certain) × Impact (1=Negligible, 5=Catastrophic). Scores 15–25: Board Action Required (Red). Scores 8–14: Escalate (Amber). Scores 1–7: Monitor (Green). This Risk Register is reviewed quarterly by the Constitutional Oversight Board.</w:t>
            </w:r>
          </w:p>
        </w:tc>
      </w:tr>
    </w:tbl>
    <w:p>
      <w:pPr>
        <w:spacing w:after="160" w:before="0"/>
      </w:pPr>
    </w:p>
    <w:p>
      <w:pPr>
        <w:pStyle w:val="Heading2"/>
        <w:spacing w:after="140" w:before="280"/>
      </w:pPr>
      <w:r>
        <w:rPr>
          <w:rFonts w:ascii="Arial" w:cs="Arial" w:eastAsia="Arial" w:hAnsi="Arial"/>
          <w:b/>
          <w:bCs/>
          <w:color w:val="F5F0E8"/>
          <w:sz w:val="32"/>
          <w:szCs w:val="32"/>
        </w:rPr>
        <w:t xml:space="preserve">Strategic &amp; Existential Risks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3600"/>
        <w:gridCol w:w="1200"/>
        <w:gridCol w:w="3920"/>
      </w:tblGrid>
      <w:tr>
        <w:trPr>
          <w:tblHeader/>
        </w:trPr>
        <w:tc>
          <w:tcPr>
            <w:tcW w:type="dxa" w:w="6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ID</w:t>
            </w:r>
          </w:p>
        </w:tc>
        <w:tc>
          <w:tcPr>
            <w:tcW w:type="dxa" w:w="36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Risk Description</w:t>
            </w:r>
          </w:p>
        </w:tc>
        <w:tc>
          <w:tcPr>
            <w:tcW w:type="dxa" w:w="12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Score</w:t>
            </w:r>
          </w:p>
        </w:tc>
        <w:tc>
          <w:tcPr>
            <w:tcW w:type="dxa" w:w="392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Mitigation Strategy</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SR-01</w:t>
            </w:r>
          </w:p>
        </w:tc>
        <w:tc>
          <w:tcPr>
            <w:tcW w:type="dxa" w:w="36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Founder incapacity, death, or disengagement before institutional handover is complete.</w:t>
            </w:r>
          </w:p>
        </w:tc>
        <w:tc>
          <w:tcPr>
            <w:tcW w:type="dxa" w:w="1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bCs/>
                <w:color w:val="FF6B6B"/>
                <w:sz w:val="18"/>
                <w:szCs w:val="18"/>
              </w:rPr>
              <w:t xml:space="preserve">15 (RED)</w:t>
            </w:r>
          </w:p>
        </w:tc>
        <w:tc>
          <w:tcPr>
            <w:tcW w:type="dxa" w:w="39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Succession Continuity Charter executed. Deputy CEO appointed by Month 6. Founder Doctrine institutionalised. IP Trust independent of Founder from Day 1.</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SR-02</w:t>
            </w:r>
          </w:p>
        </w:tc>
        <w:tc>
          <w:tcPr>
            <w:tcW w:type="dxa" w:w="36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Mission drift under commercial or investor pressure. Constitutional Pillars compromised to close deals.</w:t>
            </w:r>
          </w:p>
        </w:tc>
        <w:tc>
          <w:tcPr>
            <w:tcW w:type="dxa" w:w="12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FF6B6B"/>
                <w:sz w:val="18"/>
                <w:szCs w:val="18"/>
              </w:rPr>
              <w:t xml:space="preserve">15 (RED)</w:t>
            </w:r>
          </w:p>
        </w:tc>
        <w:tc>
          <w:tcPr>
            <w:tcW w:type="dxa" w:w="39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COB veto on all Pillar-relevant decisions. Anti-capture provisions in MOI. Reserved matters schedule. Investor onboarding includes constitutional briefing.</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SR-03</w:t>
            </w:r>
          </w:p>
        </w:tc>
        <w:tc>
          <w:tcPr>
            <w:tcW w:type="dxa" w:w="36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Political change in South Africa renders government partnership model non-viable.</w:t>
            </w:r>
          </w:p>
        </w:tc>
        <w:tc>
          <w:tcPr>
            <w:tcW w:type="dxa" w:w="1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12 (AMBER)</w:t>
            </w:r>
          </w:p>
        </w:tc>
        <w:tc>
          <w:tcPr>
            <w:tcW w:type="dxa" w:w="392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SPV co-ownership gives government intrinsic interest in continuation. SADC diversification reduces SA dependency. Constitutional design is politically neutral.</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SR-04</w:t>
            </w:r>
          </w:p>
        </w:tc>
        <w:tc>
          <w:tcPr>
            <w:tcW w:type="dxa" w:w="36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 politically targeted as surveillance infrastructure by opposition or civil society.</w:t>
            </w:r>
          </w:p>
        </w:tc>
        <w:tc>
          <w:tcPr>
            <w:tcW w:type="dxa" w:w="12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8 (AMBER)</w:t>
            </w:r>
          </w:p>
        </w:tc>
        <w:tc>
          <w:tcPr>
            <w:tcW w:type="dxa" w:w="392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COB independence is public and documented. Open governance architecture. Transparency as marketing, not compliance. Pre-emptive civil society engagement.</w:t>
            </w:r>
          </w:p>
        </w:tc>
      </w:tr>
    </w:tbl>
    <w:p>
      <w:pPr>
        <w:spacing w:after="120" w:before="0"/>
      </w:pPr>
    </w:p>
    <w:p>
      <w:pPr>
        <w:pStyle w:val="Heading2"/>
        <w:spacing w:after="140" w:before="280"/>
      </w:pPr>
      <w:r>
        <w:rPr>
          <w:rFonts w:ascii="Arial" w:cs="Arial" w:eastAsia="Arial" w:hAnsi="Arial"/>
          <w:b/>
          <w:bCs/>
          <w:color w:val="F5F0E8"/>
          <w:sz w:val="32"/>
          <w:szCs w:val="32"/>
        </w:rPr>
        <w:t xml:space="preserve">Operational Risks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3280"/>
        <w:gridCol w:w="1200"/>
        <w:gridCol w:w="4240"/>
      </w:tblGrid>
      <w:tr>
        <w:trPr>
          <w:tblHeader/>
        </w:trPr>
        <w:tc>
          <w:tcPr>
            <w:tcW w:type="dxa" w:w="6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ID</w:t>
            </w:r>
          </w:p>
        </w:tc>
        <w:tc>
          <w:tcPr>
            <w:tcW w:type="dxa" w:w="328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Risk Description</w:t>
            </w:r>
          </w:p>
        </w:tc>
        <w:tc>
          <w:tcPr>
            <w:tcW w:type="dxa" w:w="12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Score</w:t>
            </w:r>
          </w:p>
        </w:tc>
        <w:tc>
          <w:tcPr>
            <w:tcW w:type="dxa" w:w="42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Mitigation Strategy</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OR-01</w:t>
            </w:r>
          </w:p>
        </w:tc>
        <w:tc>
          <w:tcPr>
            <w:tcW w:type="dxa" w:w="32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S.E.T.H.S. pilot placement rate below 70%. Programme fails to demonstrate core value proposition.</w:t>
            </w:r>
          </w:p>
        </w:tc>
        <w:tc>
          <w:tcPr>
            <w:tcW w:type="dxa" w:w="1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bCs/>
                <w:color w:val="FF6B6B"/>
                <w:sz w:val="18"/>
                <w:szCs w:val="18"/>
              </w:rPr>
              <w:t xml:space="preserve">15 (RED)</w:t>
            </w:r>
          </w:p>
        </w:tc>
        <w:tc>
          <w:tcPr>
            <w:tcW w:type="dxa" w:w="42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Employer partnerships secured before participant intake. 3-month employer engagement lead time. COB review at 25 participants. Fallback: extend pilot timeline, not cohort size.</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OR-02</w:t>
            </w:r>
          </w:p>
        </w:tc>
        <w:tc>
          <w:tcPr>
            <w:tcW w:type="dxa" w:w="32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Key hires fail to materialise. COO or CFO cannot be recruited at budgeted compensation.</w:t>
            </w:r>
          </w:p>
        </w:tc>
        <w:tc>
          <w:tcPr>
            <w:tcW w:type="dxa" w:w="12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12 (AMBER)</w:t>
            </w:r>
          </w:p>
        </w:tc>
        <w:tc>
          <w:tcPr>
            <w:tcW w:type="dxa" w:w="42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Equity compensation package designed. Network pre-engagement before funding close. Interim fractional executive model as backup.</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OR-03</w:t>
            </w:r>
          </w:p>
        </w:tc>
        <w:tc>
          <w:tcPr>
            <w:tcW w:type="dxa" w:w="32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T.S. first project delayed by procurement, regulatory, or supply chain issues.</w:t>
            </w:r>
          </w:p>
        </w:tc>
        <w:tc>
          <w:tcPr>
            <w:tcW w:type="dxa" w:w="1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9 (AMBER)</w:t>
            </w:r>
          </w:p>
        </w:tc>
        <w:tc>
          <w:tcPr>
            <w:tcW w:type="dxa" w:w="42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T.S. project pipeline pre-identified in Phase 1. Government MOU includes project readiness clause. Supply chain pre-qualification done before project commencement.</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OR-04</w:t>
            </w:r>
          </w:p>
        </w:tc>
        <w:tc>
          <w:tcPr>
            <w:tcW w:type="dxa" w:w="32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 enterprise client churn in Phase 1. First 3 clients cancel before reference case is established.</w:t>
            </w:r>
          </w:p>
        </w:tc>
        <w:tc>
          <w:tcPr>
            <w:tcW w:type="dxa" w:w="12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8 (AMBER)</w:t>
            </w:r>
          </w:p>
        </w:tc>
        <w:tc>
          <w:tcPr>
            <w:tcW w:type="dxa" w:w="42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12-month minimum contract terms. Client success function active from onboarding. COB oversight of client governance outcomes.</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OR-05</w:t>
            </w:r>
          </w:p>
        </w:tc>
        <w:tc>
          <w:tcPr>
            <w:tcW w:type="dxa" w:w="32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Constitutional Oversight Board fails to recruit credible independent members. COB becomes rubber stamp.</w:t>
            </w:r>
          </w:p>
        </w:tc>
        <w:tc>
          <w:tcPr>
            <w:tcW w:type="dxa" w:w="1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10 (AMBER)</w:t>
            </w:r>
          </w:p>
        </w:tc>
        <w:tc>
          <w:tcPr>
            <w:tcW w:type="dxa" w:w="42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COB recruitment begins before external capital is accepted. Independent search process. No Founder veto on COB appointments. Public disclosure of COB composition.</w:t>
            </w:r>
          </w:p>
        </w:tc>
      </w:tr>
    </w:tbl>
    <w:p>
      <w:pPr>
        <w:spacing w:after="120" w:before="0"/>
      </w:pPr>
    </w:p>
    <w:p>
      <w:pPr>
        <w:pStyle w:val="Heading2"/>
        <w:spacing w:after="140" w:before="280"/>
      </w:pPr>
      <w:r>
        <w:rPr>
          <w:rFonts w:ascii="Arial" w:cs="Arial" w:eastAsia="Arial" w:hAnsi="Arial"/>
          <w:b/>
          <w:bCs/>
          <w:color w:val="F5F0E8"/>
          <w:sz w:val="32"/>
          <w:szCs w:val="32"/>
        </w:rPr>
        <w:t xml:space="preserve">Financial Risks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3280"/>
        <w:gridCol w:w="1200"/>
        <w:gridCol w:w="4240"/>
      </w:tblGrid>
      <w:tr>
        <w:trPr>
          <w:tblHeader/>
        </w:trPr>
        <w:tc>
          <w:tcPr>
            <w:tcW w:type="dxa" w:w="6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ID</w:t>
            </w:r>
          </w:p>
        </w:tc>
        <w:tc>
          <w:tcPr>
            <w:tcW w:type="dxa" w:w="328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Risk Description</w:t>
            </w:r>
          </w:p>
        </w:tc>
        <w:tc>
          <w:tcPr>
            <w:tcW w:type="dxa" w:w="12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Score</w:t>
            </w:r>
          </w:p>
        </w:tc>
        <w:tc>
          <w:tcPr>
            <w:tcW w:type="dxa" w:w="42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Mitigation Strategy</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FR-01</w:t>
            </w:r>
          </w:p>
        </w:tc>
        <w:tc>
          <w:tcPr>
            <w:tcW w:type="dxa" w:w="32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1 funding not secured within 6 months. Cash runway below 3 months.</w:t>
            </w:r>
          </w:p>
        </w:tc>
        <w:tc>
          <w:tcPr>
            <w:tcW w:type="dxa" w:w="1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bCs/>
                <w:color w:val="FF6B6B"/>
                <w:sz w:val="18"/>
                <w:szCs w:val="18"/>
              </w:rPr>
              <w:t xml:space="preserve">15 (RED)</w:t>
            </w:r>
          </w:p>
        </w:tc>
        <w:tc>
          <w:tcPr>
            <w:tcW w:type="dxa" w:w="42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Multi-source funding strategy: DFI + grant + CSI + angel. No single-source dependency. DBSA, IDC Social, NDA all in parallel pipeline. Minimum viable Phase 1 designed to R8M.</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FR-02</w:t>
            </w:r>
          </w:p>
        </w:tc>
        <w:tc>
          <w:tcPr>
            <w:tcW w:type="dxa" w:w="32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DFI funding conditionality unacceptable. DBSA or IDC impose conditions inconsistent with constitutional mandate.</w:t>
            </w:r>
          </w:p>
        </w:tc>
        <w:tc>
          <w:tcPr>
            <w:tcW w:type="dxa" w:w="12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8 (AMBER)</w:t>
            </w:r>
          </w:p>
        </w:tc>
        <w:tc>
          <w:tcPr>
            <w:tcW w:type="dxa" w:w="42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Constitutional mandate briefed at first DFI meeting. Reserved matters schedule protects Pillars. Rejection of incompatible conditions is acceptable.</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FR-03</w:t>
            </w:r>
          </w:p>
        </w:tc>
        <w:tc>
          <w:tcPr>
            <w:tcW w:type="dxa" w:w="32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M.A.D.I.B.A. capital raise delayed beyond Phase 3.</w:t>
            </w:r>
          </w:p>
        </w:tc>
        <w:tc>
          <w:tcPr>
            <w:tcW w:type="dxa" w:w="1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bCs/>
                <w:color w:val="50C878"/>
                <w:sz w:val="18"/>
                <w:szCs w:val="18"/>
              </w:rPr>
              <w:t xml:space="preserve">6 (GREEN)</w:t>
            </w:r>
          </w:p>
        </w:tc>
        <w:tc>
          <w:tcPr>
            <w:tcW w:type="dxa" w:w="42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M.A.D.I.B.A. is Phase 4 — depends on Phase 1–3 proof. Delay acceptable if proof is solid. Phase 3 generates sufficient UDOC government revenue to partially self-fund.</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FR-04</w:t>
            </w:r>
          </w:p>
        </w:tc>
        <w:tc>
          <w:tcPr>
            <w:tcW w:type="dxa" w:w="32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Audit failure or qualified opinion. Financial irregularity detected in Phase 1.</w:t>
            </w:r>
          </w:p>
        </w:tc>
        <w:tc>
          <w:tcPr>
            <w:tcW w:type="dxa" w:w="12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50C878"/>
                <w:sz w:val="18"/>
                <w:szCs w:val="18"/>
              </w:rPr>
              <w:t xml:space="preserve">5 (GREEN)</w:t>
            </w:r>
          </w:p>
        </w:tc>
        <w:tc>
          <w:tcPr>
            <w:tcW w:type="dxa" w:w="42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Big 4 audit firm engaged from Day 1. Immutable financial audit trail via UDOC. COB financial oversight quarterly. CFO to be CA(SA) qualified.</w:t>
            </w:r>
          </w:p>
        </w:tc>
      </w:tr>
    </w:tbl>
    <w:p>
      <w:pPr>
        <w:spacing w:after="120" w:before="0"/>
      </w:pPr>
    </w:p>
    <w:p>
      <w:pPr>
        <w:pStyle w:val="Heading2"/>
        <w:spacing w:after="140" w:before="280"/>
      </w:pPr>
      <w:r>
        <w:rPr>
          <w:rFonts w:ascii="Arial" w:cs="Arial" w:eastAsia="Arial" w:hAnsi="Arial"/>
          <w:b/>
          <w:bCs/>
          <w:color w:val="F5F0E8"/>
          <w:sz w:val="32"/>
          <w:szCs w:val="32"/>
        </w:rPr>
        <w:t xml:space="preserve">Technology &amp; Quantum Risks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3280"/>
        <w:gridCol w:w="1200"/>
        <w:gridCol w:w="4240"/>
      </w:tblGrid>
      <w:tr>
        <w:trPr>
          <w:tblHeader/>
        </w:trPr>
        <w:tc>
          <w:tcPr>
            <w:tcW w:type="dxa" w:w="6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ID</w:t>
            </w:r>
          </w:p>
        </w:tc>
        <w:tc>
          <w:tcPr>
            <w:tcW w:type="dxa" w:w="328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Risk Description</w:t>
            </w:r>
          </w:p>
        </w:tc>
        <w:tc>
          <w:tcPr>
            <w:tcW w:type="dxa" w:w="12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Score</w:t>
            </w:r>
          </w:p>
        </w:tc>
        <w:tc>
          <w:tcPr>
            <w:tcW w:type="dxa" w:w="424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Mitigation Strategy</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TR-01</w:t>
            </w:r>
          </w:p>
        </w:tc>
        <w:tc>
          <w:tcPr>
            <w:tcW w:type="dxa" w:w="32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 data breach. Government sovereign data compromised. Sovereignty promise broken.</w:t>
            </w:r>
          </w:p>
        </w:tc>
        <w:tc>
          <w:tcPr>
            <w:tcW w:type="dxa" w:w="1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10 (AMBER)</w:t>
            </w:r>
          </w:p>
        </w:tc>
        <w:tc>
          <w:tcPr>
            <w:tcW w:type="dxa" w:w="42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Zero foreign cloud dependency for government data. QKD sovereign key custody. Post-quantum crypto active Phase 1. Independent security audit before government onboarding.</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TR-02</w:t>
            </w:r>
          </w:p>
        </w:tc>
        <w:tc>
          <w:tcPr>
            <w:tcW w:type="dxa" w:w="32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Quantum hardware timeline slips. On-premises QPU not commercially available at Phase 3 target.</w:t>
            </w:r>
          </w:p>
        </w:tc>
        <w:tc>
          <w:tcPr>
            <w:tcW w:type="dxa" w:w="12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50C878"/>
                <w:sz w:val="18"/>
                <w:szCs w:val="18"/>
              </w:rPr>
              <w:t xml:space="preserve">6 (GREEN)</w:t>
            </w:r>
          </w:p>
        </w:tc>
        <w:tc>
          <w:tcPr>
            <w:tcW w:type="dxa" w:w="42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Phase 3 can operate with quantum cloud API if on-prem QPU delayed. HQ-OS designed for graceful degradation. Commercial value delivered in classical mode without QPU.</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TR-03</w:t>
            </w:r>
          </w:p>
        </w:tc>
        <w:tc>
          <w:tcPr>
            <w:tcW w:type="dxa" w:w="32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NIST post-quantum cryptographic standards revised or broken.</w:t>
            </w:r>
          </w:p>
        </w:tc>
        <w:tc>
          <w:tcPr>
            <w:tcW w:type="dxa" w:w="1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bCs/>
                <w:color w:val="50C878"/>
                <w:sz w:val="18"/>
                <w:szCs w:val="18"/>
              </w:rPr>
              <w:t xml:space="preserve">4 (GREEN)</w:t>
            </w:r>
          </w:p>
        </w:tc>
        <w:tc>
          <w:tcPr>
            <w:tcW w:type="dxa" w:w="42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Algorithm agility built into HQ-OS crypto layer. Modular design enables algorithm substitution. Monitoring of NIST and international standards bodies ongoing.</w:t>
            </w:r>
          </w:p>
        </w:tc>
      </w:tr>
      <w:tr>
        <w:trPr>
          <w:tblHeader w:val="false"/>
        </w:trPr>
        <w:tc>
          <w:tcPr>
            <w:tcW w:type="dxa" w:w="6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TR-04</w:t>
            </w:r>
          </w:p>
        </w:tc>
        <w:tc>
          <w:tcPr>
            <w:tcW w:type="dxa" w:w="328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AI bias detection false positive creates wrongful governance intervention.</w:t>
            </w:r>
          </w:p>
        </w:tc>
        <w:tc>
          <w:tcPr>
            <w:tcW w:type="dxa" w:w="12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8 (AMBER)</w:t>
            </w:r>
          </w:p>
        </w:tc>
        <w:tc>
          <w:tcPr>
            <w:tcW w:type="dxa" w:w="424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Human confirmation required for all flagged outcomes above threshold. False positive review process. Client appeal mechanism. Confidence threshold configurable per deployment.</w:t>
            </w:r>
          </w:p>
        </w:tc>
      </w:tr>
      <w:tr>
        <w:trPr>
          <w:tblHeader w:val="false"/>
        </w:trPr>
        <w:tc>
          <w:tcPr>
            <w:tcW w:type="dxa" w:w="6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TR-05</w:t>
            </w:r>
          </w:p>
        </w:tc>
        <w:tc>
          <w:tcPr>
            <w:tcW w:type="dxa" w:w="328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Cybersecurity attack on UDOC infrastructure. Ransomware, DDoS, or state-actor intrusion.</w:t>
            </w:r>
          </w:p>
        </w:tc>
        <w:tc>
          <w:tcPr>
            <w:tcW w:type="dxa" w:w="12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12 (AMBER)</w:t>
            </w:r>
          </w:p>
        </w:tc>
        <w:tc>
          <w:tcPr>
            <w:tcW w:type="dxa" w:w="424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Defence-in-depth security architecture. Air-gapped backup systems. Incident response team. Cyber insurance. Regular penetration testing. QKD adds physical security layer.</w:t>
            </w:r>
          </w:p>
        </w:tc>
      </w:tr>
    </w:tbl>
    <w:p>
      <w:r>
        <w:br w:type="page"/>
      </w:r>
    </w:p>
    <w:p>
      <w:pPr>
        <w:pStyle w:val="Heading1"/>
        <w:pBdr>
          <w:bottom w:val="single" w:color="C9A84C" w:sz="8" w:space="4"/>
        </w:pBdr>
        <w:spacing w:after="200" w:before="360"/>
      </w:pPr>
      <w:r>
        <w:rPr>
          <w:rFonts w:ascii="Arial" w:cs="Arial" w:eastAsia="Arial" w:hAnsi="Arial"/>
          <w:b/>
          <w:bCs/>
          <w:caps w:val="false"/>
          <w:color w:val="C9A84C"/>
          <w:sz w:val="44"/>
          <w:szCs w:val="44"/>
        </w:rPr>
        <w:t xml:space="preserve">10  |  TEAM, STAFFING &amp; ORGANISATIONAL STRUCTURE</w:t>
      </w:r>
    </w:p>
    <w:p>
      <w:pPr>
        <w:pStyle w:val="Heading2"/>
        <w:spacing w:after="140" w:before="280"/>
      </w:pPr>
      <w:r>
        <w:rPr>
          <w:rFonts w:ascii="Arial" w:cs="Arial" w:eastAsia="Arial" w:hAnsi="Arial"/>
          <w:b/>
          <w:bCs/>
          <w:color w:val="F5F0E8"/>
          <w:sz w:val="32"/>
          <w:szCs w:val="32"/>
        </w:rPr>
        <w:t xml:space="preserve">Founding Leadership — Phase 1 Hires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Role</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Priority, Compensation &amp; Critical Requirements</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Founder / CEO — Sashin J. Singh</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P0 — Equity + Stipend. Systems architect, all 4 divisions. Institutional relationship management. Constitutional governance design.</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Chief Operating Officer</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P1 — Hire Month 1. R600K–R900K CTC. 10+ years operations leadership. Startup experience. Institutional relationship management.</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Chief Financial Officer</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P1 — Hire Month 2. R600K–R840K CTC. DFI funding, grant management, startup finance, SPV structuring experience.</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Legal Counsel / Company Secretary</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P1 — Engage Month 1. R480K–R720K. Corporate law, IP, government contracts, trust law, constitutional structures.</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S.E.T.H.S. Programme Head</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P1 — Hire Month 2. R480K–R720K CTC. Workforce development, social programmes, government liaison, team leadership.</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UDOC Engineering Lead / CTO</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P1 — Hire Month 2. R960K–R1.44M CTC. Distributed systems, PQC encryption, cloud architecture, B2B SaaS, security-first design.</w:t>
            </w:r>
          </w:p>
        </w:tc>
      </w:tr>
    </w:tbl>
    <w:p>
      <w:pPr>
        <w:spacing w:after="160" w:before="0"/>
      </w:pPr>
    </w:p>
    <w:p>
      <w:pPr>
        <w:pStyle w:val="Heading2"/>
        <w:spacing w:after="140" w:before="280"/>
      </w:pPr>
      <w:r>
        <w:rPr>
          <w:rFonts w:ascii="Arial" w:cs="Arial" w:eastAsia="Arial" w:hAnsi="Arial"/>
          <w:b/>
          <w:bCs/>
          <w:color w:val="F5F0E8"/>
          <w:sz w:val="32"/>
          <w:szCs w:val="32"/>
        </w:rPr>
        <w:t xml:space="preserve">Headcount Evolution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1500"/>
        <w:gridCol w:w="1500"/>
        <w:gridCol w:w="1500"/>
        <w:gridCol w:w="1500"/>
      </w:tblGrid>
      <w:tr>
        <w:trPr>
          <w:tblHeader/>
        </w:trPr>
        <w:tc>
          <w:tcPr>
            <w:tcW w:type="dxa" w:w="33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Function</w:t>
            </w:r>
          </w:p>
        </w:tc>
        <w:tc>
          <w:tcPr>
            <w:tcW w:type="dxa" w:w="15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Year 1</w:t>
            </w:r>
          </w:p>
        </w:tc>
        <w:tc>
          <w:tcPr>
            <w:tcW w:type="dxa" w:w="15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Year 3</w:t>
            </w:r>
          </w:p>
        </w:tc>
        <w:tc>
          <w:tcPr>
            <w:tcW w:type="dxa" w:w="15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Year 5</w:t>
            </w:r>
          </w:p>
        </w:tc>
        <w:tc>
          <w:tcPr>
            <w:tcW w:type="dxa" w:w="15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Year 10</w:t>
            </w:r>
          </w:p>
        </w:tc>
      </w:tr>
      <w:tr>
        <w:trPr>
          <w:tblHeader w:val="false"/>
        </w:trPr>
        <w:tc>
          <w:tcPr>
            <w:tcW w:type="dxa" w:w="3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Group Executive (CEO, COO, CFO, Legal, CTO)</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4</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6</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7</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9</w:t>
            </w:r>
          </w:p>
        </w:tc>
      </w:tr>
      <w:tr>
        <w:trPr>
          <w:tblHeader w:val="false"/>
        </w:trPr>
        <w:tc>
          <w:tcPr>
            <w:tcW w:type="dxa" w:w="3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S.E.T.H.S. (Programme + AI Literacy)</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8</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60</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160</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450</w:t>
            </w:r>
          </w:p>
        </w:tc>
      </w:tr>
      <w:tr>
        <w:trPr>
          <w:tblHeader w:val="false"/>
        </w:trPr>
        <w:tc>
          <w:tcPr>
            <w:tcW w:type="dxa" w:w="3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UDOC (Engineering + Product + Client Success)</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4</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28</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75</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220</w:t>
            </w:r>
          </w:p>
        </w:tc>
      </w:tr>
      <w:tr>
        <w:trPr>
          <w:tblHeader w:val="false"/>
        </w:trPr>
        <w:tc>
          <w:tcPr>
            <w:tcW w:type="dxa" w:w="3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T.S. (Project + Engineering + O&amp;M)</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0</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45</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120</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380</w:t>
            </w:r>
          </w:p>
        </w:tc>
      </w:tr>
      <w:tr>
        <w:trPr>
          <w:tblHeader w:val="false"/>
        </w:trPr>
        <w:tc>
          <w:tcPr>
            <w:tcW w:type="dxa" w:w="3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M.A.D.I.B.A. (Capital + Advisory)</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0</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8</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20</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55</w:t>
            </w:r>
          </w:p>
        </w:tc>
      </w:tr>
      <w:tr>
        <w:trPr>
          <w:tblHeader w:val="false"/>
        </w:trPr>
        <w:tc>
          <w:tcPr>
            <w:tcW w:type="dxa" w:w="3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Group Support (HR, Finance, Legal, Admin)</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2</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10</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20</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40</w:t>
            </w:r>
          </w:p>
        </w:tc>
      </w:tr>
      <w:tr>
        <w:trPr>
          <w:tblHeader w:val="false"/>
        </w:trPr>
        <w:tc>
          <w:tcPr>
            <w:tcW w:type="dxa" w:w="3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Constitutional Oversight Board (non-exec)</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3</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5</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7</w:t>
            </w:r>
          </w:p>
        </w:tc>
        <w:tc>
          <w:tcPr>
            <w:tcW w:type="dxa" w:w="15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9</w:t>
            </w:r>
          </w:p>
        </w:tc>
      </w:tr>
      <w:tr>
        <w:trPr>
          <w:tblHeader w:val="false"/>
        </w:trPr>
        <w:tc>
          <w:tcPr>
            <w:tcW w:type="dxa" w:w="3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TOTAL HEADCOUNT</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21</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162</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409</w:t>
            </w:r>
          </w:p>
        </w:tc>
        <w:tc>
          <w:tcPr>
            <w:tcW w:type="dxa" w:w="15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1,163</w:t>
            </w:r>
          </w:p>
        </w:tc>
      </w:tr>
    </w:tbl>
    <w:p>
      <w:pPr>
        <w:spacing w:after="160" w:before="0"/>
      </w:pPr>
    </w:p>
    <w:p>
      <w:pPr>
        <w:pStyle w:val="Heading2"/>
        <w:spacing w:after="140" w:before="280"/>
      </w:pPr>
      <w:r>
        <w:rPr>
          <w:rFonts w:ascii="Arial" w:cs="Arial" w:eastAsia="Arial" w:hAnsi="Arial"/>
          <w:b/>
          <w:bCs/>
          <w:color w:val="F5F0E8"/>
          <w:sz w:val="32"/>
          <w:szCs w:val="32"/>
        </w:rPr>
        <w:t xml:space="preserve">Hiring Philosophy</w:t>
      </w:r>
    </w:p>
    <w:p>
      <w:pPr>
        <w:spacing w:after="140" w:before="0"/>
        <w:jc w:val="left"/>
      </w:pPr>
      <w:r>
        <w:rPr>
          <w:rFonts w:ascii="Arial" w:cs="Arial" w:eastAsia="Arial" w:hAnsi="Arial"/>
          <w:b w:val="false"/>
          <w:bCs w:val="false"/>
          <w:i w:val="false"/>
          <w:iCs w:val="false"/>
          <w:caps w:val="false"/>
          <w:color w:val="D4CEBC"/>
          <w:sz w:val="22"/>
          <w:szCs w:val="22"/>
        </w:rPr>
        <w:t xml:space="preserve">G.O.D.S. builds its team with the same philosophy it applies to its programmes: potential over credentials, mission alignment over market rate, and the capacity to grow with a system rather than fit into a static role. We are building an organisation that has not existed before. We need people capable of operating in territory that has not been mapped.</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Mission Alignment:</w:t>
      </w:r>
      <w:r>
        <w:rPr>
          <w:rFonts w:ascii="Arial" w:cs="Arial" w:eastAsia="Arial" w:hAnsi="Arial"/>
          <w:b w:val="false"/>
          <w:bCs w:val="false"/>
          <w:i w:val="false"/>
          <w:iCs w:val="false"/>
          <w:caps w:val="false"/>
          <w:color w:val="D4CEBC"/>
          <w:sz w:val="22"/>
          <w:szCs w:val="22"/>
        </w:rPr>
        <w:t xml:space="preserve"> Non-negotiable. Every hire must understand and commit to the G.O.D.S. constitutional mandate.</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Capability over Experience:</w:t>
      </w:r>
      <w:r>
        <w:rPr>
          <w:rFonts w:ascii="Arial" w:cs="Arial" w:eastAsia="Arial" w:hAnsi="Arial"/>
          <w:b w:val="false"/>
          <w:bCs w:val="false"/>
          <w:i w:val="false"/>
          <w:iCs w:val="false"/>
          <w:caps w:val="false"/>
          <w:color w:val="D4CEBC"/>
          <w:sz w:val="22"/>
          <w:szCs w:val="22"/>
        </w:rPr>
        <w:t xml:space="preserve"> Demonstrated ability and coachability over credential lists.</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South African Talent First:</w:t>
      </w:r>
      <w:r>
        <w:rPr>
          <w:rFonts w:ascii="Arial" w:cs="Arial" w:eastAsia="Arial" w:hAnsi="Arial"/>
          <w:b w:val="false"/>
          <w:bCs w:val="false"/>
          <w:i w:val="false"/>
          <w:iCs w:val="false"/>
          <w:caps w:val="false"/>
          <w:color w:val="D4CEBC"/>
          <w:sz w:val="22"/>
          <w:szCs w:val="22"/>
        </w:rPr>
        <w:t xml:space="preserve"> All roles filled by South African-based individuals in the pilot phase.</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Diversity by Design:</w:t>
      </w:r>
      <w:r>
        <w:rPr>
          <w:rFonts w:ascii="Arial" w:cs="Arial" w:eastAsia="Arial" w:hAnsi="Arial"/>
          <w:b w:val="false"/>
          <w:bCs w:val="false"/>
          <w:i w:val="false"/>
          <w:iCs w:val="false"/>
          <w:caps w:val="false"/>
          <w:color w:val="D4CEBC"/>
          <w:sz w:val="22"/>
          <w:szCs w:val="22"/>
        </w:rPr>
        <w:t xml:space="preserve"> The organisation reflects the communities it serves — not as a compliance exercise but as a structural requirement for programme relevance.</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Competitive but Honest:</w:t>
      </w:r>
      <w:r>
        <w:rPr>
          <w:rFonts w:ascii="Arial" w:cs="Arial" w:eastAsia="Arial" w:hAnsi="Arial"/>
          <w:b w:val="false"/>
          <w:bCs w:val="false"/>
          <w:i w:val="false"/>
          <w:iCs w:val="false"/>
          <w:caps w:val="false"/>
          <w:color w:val="D4CEBC"/>
          <w:sz w:val="22"/>
          <w:szCs w:val="22"/>
        </w:rPr>
        <w:t xml:space="preserve"> Market-competitive rates, significant long-horizon equity (5–7 year vest), performance-linked bonus. G.O.D.S. cannot compete on immediate compensation with large institutions — and does not try to. It attracts candidates motivated by long-horizon contribution.</w:t>
      </w:r>
    </w:p>
    <w:p>
      <w:r>
        <w:br w:type="page"/>
      </w:r>
    </w:p>
    <w:p>
      <w:pPr>
        <w:pStyle w:val="Heading1"/>
        <w:pBdr>
          <w:bottom w:val="single" w:color="C9A84C" w:sz="8" w:space="4"/>
        </w:pBdr>
        <w:spacing w:after="200" w:before="360"/>
      </w:pPr>
      <w:r>
        <w:rPr>
          <w:rFonts w:ascii="Arial" w:cs="Arial" w:eastAsia="Arial" w:hAnsi="Arial"/>
          <w:b/>
          <w:bCs/>
          <w:caps w:val="false"/>
          <w:color w:val="C9A84C"/>
          <w:sz w:val="44"/>
          <w:szCs w:val="44"/>
        </w:rPr>
        <w:t xml:space="preserve">11  |  GOVERNMENT PROCUREMENT &amp; SPV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auto" w:sz="0"/>
              <w:left w:val="single" w:color="C9A84C" w:sz="6"/>
              <w:bottom w:val="none" w:color="auto" w:sz="0"/>
              <w:right w:val="none" w:color="auto" w:sz="0"/>
            </w:tcBorders>
            <w:shd w:fill="0C1A2E" w:val="clear"/>
            <w:tcMar>
              <w:top w:type="dxa" w:w="140"/>
              <w:left w:type="dxa" w:w="200"/>
              <w:bottom w:type="dxa" w:w="140"/>
              <w:right w:type="dxa" w:w="200"/>
            </w:tcMar>
          </w:tcPr>
          <w:p>
            <w:pPr>
              <w:spacing w:after="0" w:before="0"/>
            </w:pPr>
            <w:r>
              <w:rPr>
                <w:rFonts w:ascii="Arial" w:cs="Arial" w:eastAsia="Arial" w:hAnsi="Arial"/>
                <w:i w:val="false"/>
                <w:iCs w:val="false"/>
                <w:color w:val="F5F0E8"/>
                <w:sz w:val="22"/>
                <w:szCs w:val="22"/>
              </w:rPr>
              <w:t xml:space="preserve">G.O.D.S. engages government not as a supplicant seeking funding, but as a delivery partner offering outcomes. The procurement framework is designed to route through existing government mechanisms — not around them. Every engagement pathway is PFMA/MFMA compliant, Treasury-aligned, and auditable from first contact to final payment.</w:t>
            </w:r>
          </w:p>
        </w:tc>
      </w:tr>
    </w:tbl>
    <w:p>
      <w:pPr>
        <w:spacing w:after="160" w:before="0"/>
      </w:pPr>
    </w:p>
    <w:p>
      <w:pPr>
        <w:pStyle w:val="Heading2"/>
        <w:spacing w:after="140" w:before="280"/>
      </w:pPr>
      <w:r>
        <w:rPr>
          <w:rFonts w:ascii="Arial" w:cs="Arial" w:eastAsia="Arial" w:hAnsi="Arial"/>
          <w:b/>
          <w:bCs/>
          <w:color w:val="F5F0E8"/>
          <w:sz w:val="32"/>
          <w:szCs w:val="32"/>
        </w:rPr>
        <w:t xml:space="preserve">S.E.T.H.S. Government Procurement Pathways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Mechanism</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Department, Contract Type &amp; Typical Value</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Social Employment Fund (SEF)</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National Treasury; Dept of Public Works. Outcome-based service delivery contract. R5M–R50M per cycle.</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Expanded Public Works Programme (EPWP)</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Dept of Public Works and Infrastructure; provincial DSD. Phase 2 programme delivery contract; per-FTE employment subsidy. R2M–R15M per year.</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Sector Education and Training Authority (SETA)</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MerSETA, Services SETA, W&amp;RSETA (sector-dependent). Discretionary grant + mandatory grant. R500K–R5M per programme.</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Victim Empowerment Programme</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Dept of Social Development. Direct service delivery contract; outcome-payment structure. R2M–R12M.</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Correctional Services Rehabilitation</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Dept of Correctional Services. PPP delivery agreement; outcome-based remuneration. R5M–R25M per facility programme.</w:t>
            </w:r>
          </w:p>
        </w:tc>
      </w:tr>
    </w:tbl>
    <w:p>
      <w:pPr>
        <w:spacing w:after="120" w:before="0"/>
      </w:pPr>
    </w:p>
    <w:p>
      <w:pPr>
        <w:pStyle w:val="Heading2"/>
        <w:spacing w:after="140" w:before="280"/>
      </w:pPr>
      <w:r>
        <w:rPr>
          <w:rFonts w:ascii="Arial" w:cs="Arial" w:eastAsia="Arial" w:hAnsi="Arial"/>
          <w:b/>
          <w:bCs/>
          <w:color w:val="F5F0E8"/>
          <w:sz w:val="32"/>
          <w:szCs w:val="32"/>
        </w:rPr>
        <w:t xml:space="preserve">UDOC Government Procurement Pathways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Mechanism</w:t>
            </w:r>
          </w:p>
        </w:tc>
        <w:tc>
          <w:tcPr>
            <w:tcW w:type="dxa" w:w="624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Contract Type &amp; Typical Value</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DPSA ICT Procurement Framework</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DPSA; SITA; line departments. Transversal contract; G-Cloud registration; direct contract. R5M–R200M per annum.</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SITA Transversal Contract</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SITA (lead agency); line departments (adopters). Transversal SaaS contract — all departments can adopt without separate tender. R10M–R500M aggregate.</w:t>
            </w:r>
          </w:p>
        </w:tc>
      </w:tr>
      <w:tr>
        <w:trPr>
          <w:tblHeader w:val="false"/>
        </w:trPr>
        <w:tc>
          <w:tcPr>
            <w:tcW w:type="dxa" w:w="312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Presidential Commission on 4IR</w:t>
            </w:r>
          </w:p>
        </w:tc>
        <w:tc>
          <w:tcPr>
            <w:tcW w:type="dxa" w:w="624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DCDT; The Presidency; GSAB. Strategic partner agreement; pilot funding; co-development. R1M–R20M.</w:t>
            </w:r>
          </w:p>
        </w:tc>
      </w:tr>
      <w:tr>
        <w:trPr>
          <w:tblHeader w:val="false"/>
        </w:trPr>
        <w:tc>
          <w:tcPr>
            <w:tcW w:type="dxa" w:w="312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Local Government AI Governance</w:t>
            </w:r>
          </w:p>
        </w:tc>
        <w:tc>
          <w:tcPr>
            <w:tcW w:type="dxa" w:w="624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Municipalities; SALGA. Municipal procurement (3 quotes or tender); SaaS subscription. R500K–R5M per municipality.</w:t>
            </w:r>
          </w:p>
        </w:tc>
      </w:tr>
    </w:tbl>
    <w:p>
      <w:pPr>
        <w:spacing w:after="120" w:before="0"/>
      </w:pPr>
    </w:p>
    <w:p>
      <w:pPr>
        <w:pStyle w:val="Heading2"/>
        <w:spacing w:after="140" w:before="280"/>
      </w:pPr>
      <w:r>
        <w:rPr>
          <w:rFonts w:ascii="Arial" w:cs="Arial" w:eastAsia="Arial" w:hAnsi="Arial"/>
          <w:b/>
          <w:bCs/>
          <w:color w:val="F5F0E8"/>
          <w:sz w:val="32"/>
          <w:szCs w:val="32"/>
        </w:rPr>
        <w:t xml:space="preserve">PPP/SPV Process — National Treasury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360"/>
        <w:gridCol w:w="2600"/>
        <w:gridCol w:w="2400"/>
      </w:tblGrid>
      <w:tr>
        <w:trPr>
          <w:tblHeader/>
        </w:trPr>
        <w:tc>
          <w:tcPr>
            <w:tcW w:type="dxa" w:w="20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PPP Stage</w:t>
            </w:r>
          </w:p>
        </w:tc>
        <w:tc>
          <w:tcPr>
            <w:tcW w:type="dxa" w:w="236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Process</w:t>
            </w:r>
          </w:p>
        </w:tc>
        <w:tc>
          <w:tcPr>
            <w:tcW w:type="dxa" w:w="26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G.O.D.S. Action</w:t>
            </w:r>
          </w:p>
        </w:tc>
        <w:tc>
          <w:tcPr>
            <w:tcW w:type="dxa" w:w="2400"/>
            <w:tcBorders>
              <w:top w:val="single" w:color="1A3050" w:sz="2"/>
              <w:left w:val="single" w:color="1A3050" w:sz="2"/>
              <w:bottom w:val="single" w:color="1A3050" w:sz="2"/>
              <w:right w:val="single" w:color="1A3050" w:sz="2"/>
            </w:tcBorders>
            <w:shd w:fill="0C1A2E" w:val="clear"/>
            <w:tcMar>
              <w:top w:type="dxa" w:w="80"/>
              <w:left w:type="dxa" w:w="120"/>
              <w:bottom w:type="dxa" w:w="80"/>
              <w:right w:type="dxa" w:w="120"/>
            </w:tcMar>
          </w:tcPr>
          <w:p>
            <w:pPr>
              <w:spacing w:after="0" w:before="0"/>
            </w:pPr>
            <w:r>
              <w:rPr>
                <w:rFonts w:ascii="Arial" w:cs="Arial" w:eastAsia="Arial" w:hAnsi="Arial"/>
                <w:b/>
                <w:bCs/>
                <w:color w:val="C9A84C"/>
                <w:sz w:val="18"/>
                <w:szCs w:val="18"/>
              </w:rPr>
              <w:t xml:space="preserve">Timeline</w:t>
            </w:r>
          </w:p>
        </w:tc>
      </w:tr>
      <w:tr>
        <w:trPr>
          <w:tblHeader w:val="false"/>
        </w:trPr>
        <w:tc>
          <w:tcPr>
            <w:tcW w:type="dxa" w:w="2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1. Feasibility Study</w:t>
            </w:r>
          </w:p>
        </w:tc>
        <w:tc>
          <w:tcPr>
            <w:tcW w:type="dxa" w:w="2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Government accounting officer approves feasibility study</w:t>
            </w:r>
          </w:p>
        </w:tc>
        <w:tc>
          <w:tcPr>
            <w:tcW w:type="dxa" w:w="26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G.O.D.S. submits unsolicited proposal with feasibility data</w:t>
            </w:r>
          </w:p>
        </w:tc>
        <w:tc>
          <w:tcPr>
            <w:tcW w:type="dxa" w:w="2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Month 1–3</w:t>
            </w:r>
          </w:p>
        </w:tc>
      </w:tr>
      <w:tr>
        <w:trPr>
          <w:tblHeader w:val="false"/>
        </w:trPr>
        <w:tc>
          <w:tcPr>
            <w:tcW w:type="dxa" w:w="2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2. PPP Agreement</w:t>
            </w:r>
          </w:p>
        </w:tc>
        <w:tc>
          <w:tcPr>
            <w:tcW w:type="dxa" w:w="2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National Treasury PPP Unit reviews and approves</w:t>
            </w:r>
          </w:p>
        </w:tc>
        <w:tc>
          <w:tcPr>
            <w:tcW w:type="dxa" w:w="26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G.O.D.S. works with government legal team on PPP agreement structure</w:t>
            </w:r>
          </w:p>
        </w:tc>
        <w:tc>
          <w:tcPr>
            <w:tcW w:type="dxa" w:w="2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Month 3–8</w:t>
            </w:r>
          </w:p>
        </w:tc>
      </w:tr>
      <w:tr>
        <w:trPr>
          <w:tblHeader w:val="false"/>
        </w:trPr>
        <w:tc>
          <w:tcPr>
            <w:tcW w:type="dxa" w:w="2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3. Competitive Tender (if required)</w:t>
            </w:r>
          </w:p>
        </w:tc>
        <w:tc>
          <w:tcPr>
            <w:tcW w:type="dxa" w:w="2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Treasury may require competitive tender for major PPPs</w:t>
            </w:r>
          </w:p>
        </w:tc>
        <w:tc>
          <w:tcPr>
            <w:tcW w:type="dxa" w:w="26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G.O.D.S. responds to competitive tender; price-quality basis</w:t>
            </w:r>
          </w:p>
        </w:tc>
        <w:tc>
          <w:tcPr>
            <w:tcW w:type="dxa" w:w="2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Month 6–12</w:t>
            </w:r>
          </w:p>
        </w:tc>
      </w:tr>
      <w:tr>
        <w:trPr>
          <w:tblHeader w:val="false"/>
        </w:trPr>
        <w:tc>
          <w:tcPr>
            <w:tcW w:type="dxa" w:w="2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4. SPV Registration</w:t>
            </w:r>
          </w:p>
        </w:tc>
        <w:tc>
          <w:tcPr>
            <w:tcW w:type="dxa" w:w="2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Project SPV registered with government as co-shareholder</w:t>
            </w:r>
          </w:p>
        </w:tc>
        <w:tc>
          <w:tcPr>
            <w:tcW w:type="dxa" w:w="26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G.O.D.S. registers SPV; government equity contribution via land, cash, or in-kind</w:t>
            </w:r>
          </w:p>
        </w:tc>
        <w:tc>
          <w:tcPr>
            <w:tcW w:type="dxa" w:w="2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Month 8–14</w:t>
            </w:r>
          </w:p>
        </w:tc>
      </w:tr>
      <w:tr>
        <w:trPr>
          <w:tblHeader w:val="false"/>
        </w:trPr>
        <w:tc>
          <w:tcPr>
            <w:tcW w:type="dxa" w:w="20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5. Financial Close</w:t>
            </w:r>
          </w:p>
        </w:tc>
        <w:tc>
          <w:tcPr>
            <w:tcW w:type="dxa" w:w="236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DFI and private capital committed to SPV</w:t>
            </w:r>
          </w:p>
        </w:tc>
        <w:tc>
          <w:tcPr>
            <w:tcW w:type="dxa" w:w="26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M.A.D.I.B.A. structures blended finance; DFI closing</w:t>
            </w:r>
          </w:p>
        </w:tc>
        <w:tc>
          <w:tcPr>
            <w:tcW w:type="dxa" w:w="2400"/>
            <w:tcBorders>
              <w:top w:val="single" w:color="1A3050" w:sz="2"/>
              <w:left w:val="single" w:color="1A3050" w:sz="2"/>
              <w:bottom w:val="single" w:color="1A3050" w:sz="2"/>
              <w:right w:val="single" w:color="1A3050" w:sz="2"/>
            </w:tcBorders>
            <w:shd w:fill="0A1525"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Month 10–18</w:t>
            </w:r>
          </w:p>
        </w:tc>
      </w:tr>
      <w:tr>
        <w:trPr>
          <w:tblHeader w:val="false"/>
        </w:trPr>
        <w:tc>
          <w:tcPr>
            <w:tcW w:type="dxa" w:w="20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6. Construction &amp; Operations</w:t>
            </w:r>
          </w:p>
        </w:tc>
        <w:tc>
          <w:tcPr>
            <w:tcW w:type="dxa" w:w="236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T.S. executes using S.E.T.H.S. workforce; government oversight via SPV board</w:t>
            </w:r>
          </w:p>
        </w:tc>
        <w:tc>
          <w:tcPr>
            <w:tcW w:type="dxa" w:w="26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Monthly reporting to SPV board; UDOC governs project AI systems</w:t>
            </w:r>
          </w:p>
        </w:tc>
        <w:tc>
          <w:tcPr>
            <w:tcW w:type="dxa" w:w="2400"/>
            <w:tcBorders>
              <w:top w:val="single" w:color="1A3050" w:sz="2"/>
              <w:left w:val="single" w:color="1A3050" w:sz="2"/>
              <w:bottom w:val="single" w:color="1A3050" w:sz="2"/>
              <w:right w:val="single" w:color="1A3050" w:sz="2"/>
            </w:tcBorders>
            <w:shd w:fill="060E1C" w:val="clear"/>
            <w:tcMar>
              <w:top w:type="dxa" w:w="80"/>
              <w:left w:type="dxa" w:w="120"/>
              <w:bottom w:type="dxa" w:w="80"/>
              <w:right w:type="dxa" w:w="120"/>
            </w:tcMar>
          </w:tcPr>
          <w:p>
            <w:pPr>
              <w:spacing w:after="0" w:before="0"/>
            </w:pPr>
            <w:r>
              <w:rPr>
                <w:rFonts w:ascii="Arial" w:cs="Arial" w:eastAsia="Arial" w:hAnsi="Arial"/>
                <w:b w:val="function bold() { [native code] }"/>
                <w:bCs w:val="function bold() { [native code] }"/>
                <w:color w:val="D4CEBC"/>
                <w:sz w:val="18"/>
                <w:szCs w:val="18"/>
              </w:rPr>
              <w:t xml:space="preserve">Month 14+</w:t>
            </w:r>
          </w:p>
        </w:tc>
      </w:tr>
    </w:tbl>
    <w:p>
      <w:pPr>
        <w:spacing w:after="120" w:before="0"/>
      </w:pPr>
    </w:p>
    <w:p>
      <w:pPr>
        <w:pStyle w:val="Heading2"/>
        <w:spacing w:after="140" w:before="280"/>
      </w:pPr>
      <w:r>
        <w:rPr>
          <w:rFonts w:ascii="Arial" w:cs="Arial" w:eastAsia="Arial" w:hAnsi="Arial"/>
          <w:b/>
          <w:bCs/>
          <w:color w:val="F5F0E8"/>
          <w:sz w:val="32"/>
          <w:szCs w:val="32"/>
        </w:rPr>
        <w:t xml:space="preserve">Operational AI Governance Charter — 10 Commitments</w:t>
      </w:r>
    </w:p>
    <w:p>
      <w:pPr>
        <w:spacing w:after="140" w:before="0"/>
        <w:jc w:val="left"/>
      </w:pPr>
      <w:r>
        <w:rPr>
          <w:rFonts w:ascii="Arial" w:cs="Arial" w:eastAsia="Arial" w:hAnsi="Arial"/>
          <w:b w:val="false"/>
          <w:bCs w:val="false"/>
          <w:i w:val="false"/>
          <w:iCs w:val="false"/>
          <w:caps w:val="false"/>
          <w:color w:val="D4CEBC"/>
          <w:sz w:val="22"/>
          <w:szCs w:val="22"/>
        </w:rPr>
        <w:t xml:space="preserve">All G.O.D.S. AI systems deployed under UDOC governance are subject to the following binding operational commitments — enforced by the Constitutional Oversight Board, IP Trust structure, and technical architecture of the UDOC HQ-OS platform: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Commitment</w:t>
            </w:r>
          </w:p>
        </w:tc>
        <w:tc>
          <w:tcPr>
            <w:tcW w:type="dxa" w:w="696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Operational Requirement</w:t>
            </w:r>
          </w:p>
        </w:tc>
      </w:tr>
      <w:tr>
        <w:trPr>
          <w:tblHeader w:val="false"/>
        </w:trPr>
        <w:tc>
          <w:tcPr>
            <w:tcW w:type="dxa" w:w="24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1. Human Primacy</w:t>
            </w:r>
          </w:p>
        </w:tc>
        <w:tc>
          <w:tcPr>
            <w:tcW w:type="dxa" w:w="69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No AI system makes final decisions on consequential matters without human review and confirmation. UDOC audit trail records every human confirmation event.</w:t>
            </w:r>
          </w:p>
        </w:tc>
      </w:tr>
      <w:tr>
        <w:trPr>
          <w:tblHeader w:val="false"/>
        </w:trPr>
        <w:tc>
          <w:tcPr>
            <w:tcW w:type="dxa" w:w="24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2. Auditability</w:t>
            </w:r>
          </w:p>
        </w:tc>
        <w:tc>
          <w:tcPr>
            <w:tcW w:type="dxa" w:w="69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Every AI decision event produces a human-readable audit record including input parameters, model version, output, confidence score, and decision pathway.</w:t>
            </w:r>
          </w:p>
        </w:tc>
      </w:tr>
      <w:tr>
        <w:trPr>
          <w:tblHeader w:val="false"/>
        </w:trPr>
        <w:tc>
          <w:tcPr>
            <w:tcW w:type="dxa" w:w="24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3. Explainability</w:t>
            </w:r>
          </w:p>
        </w:tc>
        <w:tc>
          <w:tcPr>
            <w:tcW w:type="dxa" w:w="69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All AI systems under UDOC governance must produce output explainable in plain language to a non-technical audit reviewer. No black-box exceptions.</w:t>
            </w:r>
          </w:p>
        </w:tc>
      </w:tr>
      <w:tr>
        <w:trPr>
          <w:tblHeader w:val="false"/>
        </w:trPr>
        <w:tc>
          <w:tcPr>
            <w:tcW w:type="dxa" w:w="24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4. Bias Monitoring</w:t>
            </w:r>
          </w:p>
        </w:tc>
        <w:tc>
          <w:tcPr>
            <w:tcW w:type="dxa" w:w="69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Continuous automated monitoring of AI decision outcomes across all protected characteristic groups. 24-hour cycle. Real-time alert for threshold breach.</w:t>
            </w:r>
          </w:p>
        </w:tc>
      </w:tr>
      <w:tr>
        <w:trPr>
          <w:tblHeader w:val="false"/>
        </w:trPr>
        <w:tc>
          <w:tcPr>
            <w:tcW w:type="dxa" w:w="24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5. Sovereign Data Control</w:t>
            </w:r>
          </w:p>
        </w:tc>
        <w:tc>
          <w:tcPr>
            <w:tcW w:type="dxa" w:w="69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All client data remains within the client's lawful jurisdiction at all times. QKD key custody with client. Network audit verifies zero foreign data transit.</w:t>
            </w:r>
          </w:p>
        </w:tc>
      </w:tr>
      <w:tr>
        <w:trPr>
          <w:tblHeader w:val="false"/>
        </w:trPr>
        <w:tc>
          <w:tcPr>
            <w:tcW w:type="dxa" w:w="24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6. Human Override</w:t>
            </w:r>
          </w:p>
        </w:tc>
        <w:tc>
          <w:tcPr>
            <w:tcW w:type="dxa" w:w="69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Every AI system includes human override architecture: capacity to pause, reverse, or terminate AI system actions without vendor involvement.</w:t>
            </w:r>
          </w:p>
        </w:tc>
      </w:tr>
      <w:tr>
        <w:trPr>
          <w:tblHeader w:val="false"/>
        </w:trPr>
        <w:tc>
          <w:tcPr>
            <w:tcW w:type="dxa" w:w="24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7. Incident Response</w:t>
            </w:r>
          </w:p>
        </w:tc>
        <w:tc>
          <w:tcPr>
            <w:tcW w:type="dxa" w:w="69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Any AI governance failure triggers documented incident response within defined timeframes. COB notification for all incidents.</w:t>
            </w:r>
          </w:p>
        </w:tc>
      </w:tr>
      <w:tr>
        <w:trPr>
          <w:tblHeader w:val="false"/>
        </w:trPr>
        <w:tc>
          <w:tcPr>
            <w:tcW w:type="dxa" w:w="24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8. No Weaponisation</w:t>
            </w:r>
          </w:p>
        </w:tc>
        <w:tc>
          <w:tcPr>
            <w:tcW w:type="dxa" w:w="69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G.O.D.S. systems may not be deployed for military purposes, mass surveillance, political suppression, or any use contradicting Constitutional Pillars.</w:t>
            </w:r>
          </w:p>
        </w:tc>
      </w:tr>
      <w:tr>
        <w:trPr>
          <w:tblHeader w:val="false"/>
        </w:trPr>
        <w:tc>
          <w:tcPr>
            <w:tcW w:type="dxa" w:w="24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9. Constitutional Compliance</w:t>
            </w:r>
          </w:p>
        </w:tc>
        <w:tc>
          <w:tcPr>
            <w:tcW w:type="dxa" w:w="69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All AI deployments must comply with the G.O.D.S. 12 Constitutional Pillars. Quarterly COB audit. Annual independent external audit.</w:t>
            </w:r>
          </w:p>
        </w:tc>
      </w:tr>
      <w:tr>
        <w:trPr>
          <w:tblHeader w:val="false"/>
        </w:trPr>
        <w:tc>
          <w:tcPr>
            <w:tcW w:type="dxa" w:w="24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10. Transparency to Public</w:t>
            </w:r>
          </w:p>
        </w:tc>
        <w:tc>
          <w:tcPr>
            <w:tcW w:type="dxa" w:w="69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Where G.O.D.S. AI systems affect public services, summary governance reports are published annually. Available to parliamentary committees on request.</w:t>
            </w:r>
          </w:p>
        </w:tc>
      </w:tr>
    </w:tbl>
    <w:p>
      <w:r>
        <w:br w:type="page"/>
      </w:r>
    </w:p>
    <w:p>
      <w:pPr>
        <w:pStyle w:val="Heading1"/>
        <w:pBdr>
          <w:bottom w:val="single" w:color="C9A84C" w:sz="8" w:space="4"/>
        </w:pBdr>
        <w:spacing w:after="200" w:before="360"/>
      </w:pPr>
      <w:r>
        <w:rPr>
          <w:rFonts w:ascii="Arial" w:cs="Arial" w:eastAsia="Arial" w:hAnsi="Arial"/>
          <w:b/>
          <w:bCs/>
          <w:caps w:val="false"/>
          <w:color w:val="C9A84C"/>
          <w:sz w:val="44"/>
          <w:szCs w:val="44"/>
        </w:rPr>
        <w:t xml:space="preserve">12  |  THE STRATEGIC CASE — CLOSING DECLARATION</w:t>
      </w:r>
    </w:p>
    <w:p>
      <w:pPr>
        <w:spacing w:after="16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6"/>
              <w:left w:val="none" w:color="auto" w:sz="0"/>
              <w:bottom w:val="single" w:color="C9A84C" w:sz="6"/>
              <w:right w:val="none" w:color="auto" w:sz="0"/>
            </w:tcBorders>
            <w:shd w:fill="0C1A2E" w:val="clear"/>
            <w:tcMar>
              <w:top w:type="dxa" w:w="400"/>
              <w:left w:type="dxa" w:w="480"/>
              <w:bottom w:type="dxa" w:w="400"/>
              <w:right w:type="dxa" w:w="480"/>
            </w:tcMar>
          </w:tcPr>
          <w:p>
            <w:pPr>
              <w:spacing w:after="120" w:before="0"/>
              <w:jc w:val="center"/>
            </w:pPr>
            <w:r>
              <w:rPr>
                <w:rFonts w:ascii="Arial" w:cs="Arial" w:eastAsia="Arial" w:hAnsi="Arial"/>
                <w:b/>
                <w:bCs/>
                <w:color w:val="C9A84C"/>
                <w:sz w:val="64"/>
                <w:szCs w:val="64"/>
              </w:rPr>
              <w:t xml:space="preserve">G.O.D.S.</w:t>
            </w:r>
          </w:p>
          <w:p>
            <w:pPr>
              <w:spacing w:after="120" w:before="0"/>
              <w:jc w:val="center"/>
            </w:pPr>
            <w:r>
              <w:rPr>
                <w:rFonts w:ascii="Arial" w:cs="Arial" w:eastAsia="Arial" w:hAnsi="Arial"/>
                <w:i/>
                <w:iCs/>
                <w:color w:val="C9A84C"/>
                <w:sz w:val="32"/>
                <w:szCs w:val="32"/>
              </w:rPr>
              <w:t xml:space="preserve">"</w:t>
            </w:r>
            <w:r>
              <w:rPr>
                <w:rFonts w:ascii="Arial" w:cs="Arial" w:eastAsia="Arial" w:hAnsi="Arial"/>
                <w:i/>
                <w:iCs/>
                <w:color w:val="F5F0E8"/>
                <w:sz w:val="28"/>
                <w:szCs w:val="28"/>
              </w:rPr>
              <w:t xml:space="preserve">The world does not lack technology. It lacks systems that integrate technology with human society. It does not lack intelligence. It lacks governance sufficient to keep intelligence in its proper place. And it does not lack ambition. It lacks the discipline, the structure, and the institutional courage to build ambition into something that endures.</w:t>
            </w:r>
            <w:r>
              <w:rPr>
                <w:rFonts w:ascii="Arial" w:cs="Arial" w:eastAsia="Arial" w:hAnsi="Arial"/>
                <w:i/>
                <w:iCs/>
                <w:color w:val="C9A84C"/>
                <w:sz w:val="32"/>
                <w:szCs w:val="32"/>
              </w:rPr>
              <w:t xml:space="preserve">"</w:t>
            </w:r>
          </w:p>
          <w:p>
            <w:pPr>
              <w:spacing w:after="0" w:before="80"/>
              <w:jc w:val="center"/>
            </w:pPr>
            <w:r>
              <w:rPr>
                <w:rFonts w:ascii="Arial" w:cs="Arial" w:eastAsia="Arial" w:hAnsi="Arial"/>
                <w:i/>
                <w:iCs/>
                <w:color w:val="8A8A9A"/>
                <w:sz w:val="22"/>
                <w:szCs w:val="22"/>
              </w:rPr>
              <w:t xml:space="preserve">— Sashin J. Singh, Founder, G.O.D.S.</w:t>
            </w:r>
          </w:p>
        </w:tc>
      </w:tr>
    </w:tbl>
    <w:p>
      <w:pPr>
        <w:spacing w:after="240" w:before="0"/>
      </w:pPr>
    </w:p>
    <w:p>
      <w:pPr>
        <w:pStyle w:val="Heading2"/>
        <w:spacing w:after="140" w:before="280"/>
      </w:pPr>
      <w:r>
        <w:rPr>
          <w:rFonts w:ascii="Arial" w:cs="Arial" w:eastAsia="Arial" w:hAnsi="Arial"/>
          <w:b/>
          <w:bCs/>
          <w:color w:val="F5F0E8"/>
          <w:sz w:val="32"/>
          <w:szCs w:val="32"/>
        </w:rPr>
        <w:t xml:space="preserve">Why G.O.D.S. Cannot Be Replicated</w:t>
      </w:r>
    </w:p>
    <w:p>
      <w:pPr>
        <w:spacing w:after="140" w:before="0"/>
        <w:jc w:val="left"/>
      </w:pPr>
      <w:r>
        <w:rPr>
          <w:rFonts w:ascii="Arial" w:cs="Arial" w:eastAsia="Arial" w:hAnsi="Arial"/>
          <w:b w:val="false"/>
          <w:bCs w:val="false"/>
          <w:i w:val="false"/>
          <w:iCs w:val="false"/>
          <w:caps w:val="false"/>
          <w:color w:val="D4CEBC"/>
          <w:sz w:val="22"/>
          <w:szCs w:val="22"/>
        </w:rPr>
        <w:t xml:space="preserve">The G.O.D.S. compounding loop creates a structural competitive moat that has nothing to do with technology patents, market share, or brand. The moat is the integration itself. No competitor can replicate the compounding value of the loop without building all four divisions simultaneously, because the value of each division depends on the others:</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A workforce training programme without infrastructure deployment:</w:t>
      </w:r>
      <w:r>
        <w:rPr>
          <w:rFonts w:ascii="Arial" w:cs="Arial" w:eastAsia="Arial" w:hAnsi="Arial"/>
          <w:b w:val="false"/>
          <w:bCs w:val="false"/>
          <w:i w:val="false"/>
          <w:iCs w:val="false"/>
          <w:caps w:val="false"/>
          <w:color w:val="D4CEBC"/>
          <w:sz w:val="22"/>
          <w:szCs w:val="22"/>
        </w:rPr>
        <w:t xml:space="preserve"> just a training programme.</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An infrastructure company without trained workforce:</w:t>
      </w:r>
      <w:r>
        <w:rPr>
          <w:rFonts w:ascii="Arial" w:cs="Arial" w:eastAsia="Arial" w:hAnsi="Arial"/>
          <w:b w:val="false"/>
          <w:bCs w:val="false"/>
          <w:i w:val="false"/>
          <w:iCs w:val="false"/>
          <w:caps w:val="false"/>
          <w:color w:val="D4CEBC"/>
          <w:sz w:val="22"/>
          <w:szCs w:val="22"/>
        </w:rPr>
        <w:t xml:space="preserve"> just a contractor.</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A governance platform without operational proof data:</w:t>
      </w:r>
      <w:r>
        <w:rPr>
          <w:rFonts w:ascii="Arial" w:cs="Arial" w:eastAsia="Arial" w:hAnsi="Arial"/>
          <w:b w:val="false"/>
          <w:bCs w:val="false"/>
          <w:i w:val="false"/>
          <w:iCs w:val="false"/>
          <w:caps w:val="false"/>
          <w:color w:val="D4CEBC"/>
          <w:sz w:val="22"/>
          <w:szCs w:val="22"/>
        </w:rPr>
        <w:t xml:space="preserve"> just software.</w:t>
      </w:r>
    </w:p>
    <w:p>
      <w:pPr>
        <w:pStyle w:val="ListParagraph"/>
        <w:numPr>
          <w:ilvl w:val="0"/>
          <w:numId w:val="2"/>
        </w:numPr>
        <w:spacing w:after="80" w:before="40"/>
      </w:pPr>
      <w:r>
        <w:rPr>
          <w:rFonts w:ascii="Arial" w:cs="Arial" w:eastAsia="Arial" w:hAnsi="Arial"/>
          <w:b/>
          <w:bCs/>
          <w:i w:val="false"/>
          <w:iCs w:val="false"/>
          <w:caps w:val="false"/>
          <w:color w:val="E8C97A"/>
          <w:sz w:val="22"/>
          <w:szCs w:val="22"/>
        </w:rPr>
        <w:t xml:space="preserve">A capital platform without proven deployment vehicles:</w:t>
      </w:r>
      <w:r>
        <w:rPr>
          <w:rFonts w:ascii="Arial" w:cs="Arial" w:eastAsia="Arial" w:hAnsi="Arial"/>
          <w:b w:val="false"/>
          <w:bCs w:val="false"/>
          <w:i w:val="false"/>
          <w:iCs w:val="false"/>
          <w:caps w:val="false"/>
          <w:color w:val="D4CEBC"/>
          <w:sz w:val="22"/>
          <w:szCs w:val="22"/>
        </w:rPr>
        <w:t xml:space="preserve"> just an advisory firm.</w:t>
      </w:r>
    </w:p>
    <w:p>
      <w:pPr>
        <w:spacing w:after="140" w:before="0"/>
        <w:jc w:val="left"/>
      </w:pPr>
      <w:r>
        <w:rPr>
          <w:rFonts w:ascii="Arial" w:cs="Arial" w:eastAsia="Arial" w:hAnsi="Arial"/>
          <w:b w:val="false"/>
          <w:bCs w:val="false"/>
          <w:i w:val="false"/>
          <w:iCs w:val="false"/>
          <w:caps w:val="false"/>
          <w:color w:val="D4CEBC"/>
          <w:sz w:val="22"/>
          <w:szCs w:val="22"/>
        </w:rPr>
        <w:t xml:space="preserve">G.O.D.S. is all four — simultaneously, integrated, compounding. And the quantum layer adds a second moat that is even harder to replicate: quantum-ready sovereign governance infrastructure requires post-quantum cryptographic architecture, constitutional governance framework, sovereign government trust, technical quantum engineering capability, and African sovereign market understanding — all simultaneously.</w:t>
      </w:r>
    </w:p>
    <w:p>
      <w:pPr>
        <w:spacing w:after="160" w:before="0"/>
      </w:pPr>
    </w:p>
    <w:p>
      <w:pPr>
        <w:pStyle w:val="Heading2"/>
        <w:spacing w:after="140" w:before="280"/>
      </w:pPr>
      <w:r>
        <w:rPr>
          <w:rFonts w:ascii="Arial" w:cs="Arial" w:eastAsia="Arial" w:hAnsi="Arial"/>
          <w:b/>
          <w:bCs/>
          <w:color w:val="F5F0E8"/>
          <w:sz w:val="32"/>
          <w:szCs w:val="32"/>
        </w:rPr>
        <w:t xml:space="preserve">The Invitation</w:t>
      </w:r>
    </w:p>
    <w:p>
      <w:pPr>
        <w:spacing w:after="140" w:before="0"/>
        <w:jc w:val="left"/>
      </w:pPr>
      <w:r>
        <w:rPr>
          <w:rFonts w:ascii="Arial" w:cs="Arial" w:eastAsia="Arial" w:hAnsi="Arial"/>
          <w:b w:val="false"/>
          <w:bCs w:val="false"/>
          <w:i w:val="false"/>
          <w:iCs w:val="false"/>
          <w:caps w:val="false"/>
          <w:color w:val="D4CEBC"/>
          <w:sz w:val="22"/>
          <w:szCs w:val="22"/>
        </w:rPr>
        <w:t xml:space="preserve">G.O.D.S. does not seek followers. It seeks contributors. The distinction matters.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Stakeholder</w:t>
            </w:r>
          </w:p>
        </w:tc>
        <w:tc>
          <w:tcPr>
            <w:tcW w:type="dxa" w:w="6960"/>
            <w:tcBorders>
              <w:top w:val="single" w:color="C9A84C" w:sz="4"/>
              <w:left w:val="single" w:color="C9A84C" w:sz="4"/>
              <w:bottom w:val="single" w:color="C9A84C" w:sz="4"/>
              <w:right w:val="single" w:color="C9A84C" w:sz="4"/>
            </w:tcBorders>
            <w:shd w:fill="0C1A2E" w:val="clear"/>
            <w:tcMar>
              <w:top w:type="dxa" w:w="100"/>
              <w:left w:type="dxa" w:w="140"/>
              <w:bottom w:type="dxa" w:w="100"/>
              <w:right w:type="dxa" w:w="140"/>
            </w:tcMar>
            <w:vAlign w:val="center"/>
          </w:tcPr>
          <w:p>
            <w:pPr>
              <w:spacing w:after="0" w:before="0"/>
            </w:pPr>
            <w:r>
              <w:rPr>
                <w:rFonts w:ascii="Arial" w:cs="Arial" w:eastAsia="Arial" w:hAnsi="Arial"/>
                <w:b/>
                <w:bCs/>
                <w:color w:val="C9A84C"/>
                <w:sz w:val="20"/>
                <w:szCs w:val="20"/>
              </w:rPr>
              <w:t xml:space="preserve">What G.O.D.S. Offers &amp; Requires</w:t>
            </w:r>
          </w:p>
        </w:tc>
      </w:tr>
      <w:tr>
        <w:trPr>
          <w:tblHeader w:val="false"/>
        </w:trPr>
        <w:tc>
          <w:tcPr>
            <w:tcW w:type="dxa" w:w="24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Government Partners</w:t>
            </w:r>
          </w:p>
        </w:tc>
        <w:tc>
          <w:tcPr>
            <w:tcW w:type="dxa" w:w="69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A delivery partner architecture built for transparency and performance. Sovereign data custody guaranteed. Majority control in all SPV structures. Measurable outcomes independently audited. The partnership is designed to survive electoral cycles because its value is demonstrated rather than rhetorical.</w:t>
            </w:r>
          </w:p>
        </w:tc>
      </w:tr>
      <w:tr>
        <w:trPr>
          <w:tblHeader w:val="false"/>
        </w:trPr>
        <w:tc>
          <w:tcPr>
            <w:tcW w:type="dxa" w:w="24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Institutional Investors</w:t>
            </w:r>
          </w:p>
        </w:tc>
        <w:tc>
          <w:tcPr>
            <w:tcW w:type="dxa" w:w="69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Significant commercial returns across 8 revenue divisions, within a constitutional framework that protects both the mission and the value of the investment. The requirement: patience measured in years, not quarters, and alignment with the constitutional commitments that protect long-term value.</w:t>
            </w:r>
          </w:p>
        </w:tc>
      </w:tr>
      <w:tr>
        <w:trPr>
          <w:tblHeader w:val="false"/>
        </w:trPr>
        <w:tc>
          <w:tcPr>
            <w:tcW w:type="dxa" w:w="240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Strategic Partners</w:t>
            </w:r>
          </w:p>
        </w:tc>
        <w:tc>
          <w:tcPr>
            <w:tcW w:type="dxa" w:w="6960"/>
            <w:tcBorders>
              <w:top w:val="single" w:color="1A3050" w:sz="2"/>
              <w:left w:val="single" w:color="1A3050" w:sz="2"/>
              <w:bottom w:val="single" w:color="1A3050" w:sz="2"/>
              <w:right w:val="single" w:color="1A3050" w:sz="2"/>
            </w:tcBorders>
            <w:shd w:fill="0A1525"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Preferred access to UDOC platform; co-investment rights; revenue sharing. Partners must demonstrate alignment with the 12 Constitutional Pillars. No partner may acquire controlling influence over G.O.D.S. system architecture.</w:t>
            </w:r>
          </w:p>
        </w:tc>
      </w:tr>
      <w:tr>
        <w:trPr>
          <w:tblHeader w:val="false"/>
        </w:trPr>
        <w:tc>
          <w:tcPr>
            <w:tcW w:type="dxa" w:w="240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Communities &amp; Participants</w:t>
            </w:r>
          </w:p>
        </w:tc>
        <w:tc>
          <w:tcPr>
            <w:tcW w:type="dxa" w:w="6960"/>
            <w:tcBorders>
              <w:top w:val="single" w:color="1A3050" w:sz="2"/>
              <w:left w:val="single" w:color="1A3050" w:sz="2"/>
              <w:bottom w:val="single" w:color="1A3050" w:sz="2"/>
              <w:right w:val="single" w:color="1A3050" w:sz="2"/>
            </w:tcBorders>
            <w:shd w:fill="060E1C" w:val="clear"/>
            <w:tcMar>
              <w:top w:type="dxa" w:w="100"/>
              <w:left w:type="dxa" w:w="140"/>
              <w:bottom w:type="dxa" w:w="100"/>
              <w:right w:type="dxa" w:w="140"/>
            </w:tcMar>
            <w:vAlign w:val="center"/>
          </w:tcPr>
          <w:p>
            <w:pPr>
              <w:spacing w:after="0" w:before="0"/>
            </w:pPr>
            <w:r>
              <w:rPr>
                <w:rFonts w:ascii="Arial" w:cs="Arial" w:eastAsia="Arial" w:hAnsi="Arial"/>
                <w:b w:val="function bold() { [native code] }"/>
                <w:bCs w:val="function bold() { [native code] }"/>
                <w:color w:val="D4CEBC"/>
                <w:sz w:val="20"/>
                <w:szCs w:val="20"/>
              </w:rPr>
              <w:t xml:space="preserve">G.O.D.S. is, at its most fundamental level, built for the people its systems serve — not to manage or process them, but to build the infrastructure that makes their contribution possible and their dignity non-negotiable.</w:t>
            </w:r>
          </w:p>
        </w:tc>
      </w:tr>
    </w:tbl>
    <w:p>
      <w:pPr>
        <w:spacing w:after="160" w:before="0"/>
      </w:pPr>
    </w:p>
    <w:p>
      <w:pPr>
        <w:pBdr>
          <w:bottom w:val="single" w:color="C9A84C" w:sz="12" w:space="1"/>
        </w:pBdr>
        <w:spacing w:after="120" w:before="120"/>
      </w:pPr>
    </w:p>
    <w:p>
      <w:pPr>
        <w:spacing w:after="160" w:before="0"/>
      </w:pPr>
    </w:p>
    <w:p>
      <w:pPr>
        <w:spacing w:after="80" w:before="0"/>
        <w:jc w:val="center"/>
      </w:pPr>
      <w:r>
        <w:rPr>
          <w:rFonts w:ascii="Arial" w:cs="Arial" w:eastAsia="Arial" w:hAnsi="Arial"/>
          <w:b/>
          <w:bCs/>
          <w:color w:val="F5F0E8"/>
          <w:sz w:val="36"/>
          <w:szCs w:val="36"/>
        </w:rPr>
        <w:t xml:space="preserve">It begins with 50 people in Gauteng.</w:t>
      </w:r>
    </w:p>
    <w:p>
      <w:pPr>
        <w:spacing w:after="80" w:before="0"/>
        <w:jc w:val="center"/>
      </w:pPr>
      <w:r>
        <w:rPr>
          <w:rFonts w:ascii="Arial" w:cs="Arial" w:eastAsia="Arial" w:hAnsi="Arial"/>
          <w:i/>
          <w:iCs/>
          <w:color w:val="8A8A9A"/>
          <w:sz w:val="28"/>
          <w:szCs w:val="28"/>
        </w:rPr>
        <w:t xml:space="preserve">It ends with 1 billion people under constitutionally governed,</w:t>
      </w:r>
    </w:p>
    <w:p>
      <w:pPr>
        <w:spacing w:after="80" w:before="0"/>
        <w:jc w:val="center"/>
      </w:pPr>
      <w:r>
        <w:rPr>
          <w:rFonts w:ascii="Arial" w:cs="Arial" w:eastAsia="Arial" w:hAnsi="Arial"/>
          <w:i/>
          <w:iCs/>
          <w:color w:val="C9A84C"/>
          <w:sz w:val="28"/>
          <w:szCs w:val="28"/>
        </w:rPr>
        <w:t xml:space="preserve">quantum-secured, sovereign AI governance.</w:t>
      </w:r>
    </w:p>
    <w:p>
      <w:pPr>
        <w:spacing w:after="160" w:before="0"/>
      </w:pPr>
    </w:p>
    <w:p>
      <w:pPr>
        <w:pBdr>
          <w:bottom w:val="single" w:color="C9A84C" w:sz="12" w:space="1"/>
        </w:pBdr>
        <w:spacing w:after="120" w:before="120"/>
      </w:pPr>
    </w:p>
    <w:p>
      <w:pPr>
        <w:spacing w:after="160" w:before="0"/>
      </w:pPr>
    </w:p>
    <w:p>
      <w:pPr>
        <w:spacing w:after="40" w:before="0"/>
        <w:jc w:val="center"/>
      </w:pPr>
      <w:r>
        <w:rPr>
          <w:rFonts w:ascii="Arial" w:cs="Arial" w:eastAsia="Arial" w:hAnsi="Arial"/>
          <w:b/>
          <w:bCs/>
          <w:color w:val="F5F0E8"/>
          <w:sz w:val="24"/>
          <w:szCs w:val="24"/>
        </w:rPr>
        <w:t xml:space="preserve">Sashin J. Singh  |  Founder &amp; Systems Architect</w:t>
      </w:r>
    </w:p>
    <w:p>
      <w:pPr>
        <w:spacing w:after="40" w:before="0"/>
        <w:jc w:val="center"/>
      </w:pPr>
      <w:r>
        <w:rPr>
          <w:rFonts w:ascii="Arial" w:cs="Arial" w:eastAsia="Arial" w:hAnsi="Arial"/>
          <w:color w:val="8A8A9A"/>
          <w:sz w:val="20"/>
          <w:szCs w:val="20"/>
        </w:rPr>
        <w:t xml:space="preserve">G.O.D.S. Holdings (Pty) Ltd  |  Johannesburg, South Africa  |  March 2026</w:t>
      </w:r>
    </w:p>
    <w:p>
      <w:pPr>
        <w:spacing w:after="40" w:before="0"/>
        <w:jc w:val="center"/>
      </w:pPr>
      <w:r>
        <w:rPr>
          <w:rFonts w:ascii="Arial" w:cs="Arial" w:eastAsia="Arial" w:hAnsi="Arial"/>
          <w:color w:val="C9A84C"/>
          <w:sz w:val="20"/>
          <w:szCs w:val="20"/>
        </w:rPr>
        <w:t xml:space="preserve">info@gods.systems  |  www.gods.systems</w:t>
      </w:r>
    </w:p>
    <w:p>
      <w:pPr>
        <w:spacing w:after="160" w:before="0"/>
      </w:pPr>
    </w:p>
    <w:p>
      <w:pPr>
        <w:spacing w:after="0" w:before="0"/>
        <w:jc w:val="center"/>
      </w:pPr>
      <w:r>
        <w:rPr>
          <w:rFonts w:ascii="Arial" w:cs="Arial" w:eastAsia="Arial" w:hAnsi="Arial"/>
          <w:b/>
          <w:bCs/>
          <w:color w:val="8A8A9A"/>
          <w:sz w:val="18"/>
          <w:szCs w:val="18"/>
        </w:rPr>
        <w:t xml:space="preserve">CLASSIFICATION: CONFIDENTIAL — INSTITUTIONAL &amp; SOVEREIGN DISTRIBUTION ONLY</w:t>
      </w:r>
    </w:p>
    <w:p>
      <w:pPr>
        <w:spacing w:after="0" w:before="40"/>
        <w:jc w:val="center"/>
      </w:pPr>
      <w:r>
        <w:rPr>
          <w:rFonts w:ascii="Arial" w:cs="Arial" w:eastAsia="Arial" w:hAnsi="Arial"/>
          <w:color w:val="8A8A9A"/>
          <w:sz w:val="16"/>
          <w:szCs w:val="16"/>
        </w:rPr>
        <w:t xml:space="preserve">© 2026 G.O.D.S. Holdings (Pty) Ltd. All rights reserved. IP held in G.O.D.S. IP Trust.</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6" w:space="2"/>
      </w:pBdr>
      <w:tabs>
        <w:tab w:val="right" w:pos="9026"/>
      </w:tabs>
      <w:spacing w:after="0" w:before="0"/>
    </w:pPr>
    <w:r>
      <w:rPr>
        <w:rFonts w:ascii="Arial" w:cs="Arial" w:eastAsia="Arial" w:hAnsi="Arial"/>
        <w:color w:val="8A8A9A"/>
        <w:sz w:val="16"/>
        <w:szCs w:val="16"/>
      </w:rPr>
      <w:t xml:space="preserve">CONFIDENTIAL  |  G.O.D.S Holdings (Pty) Ltd  |  Johannesburg, South Africa</w:t>
    </w:r>
    <w:r>
      <w:rPr>
        <w:rFonts w:ascii="Arial" w:cs="Arial" w:eastAsia="Arial" w:hAnsi="Arial"/>
        <w:color w:val="8A8A9A"/>
        <w:sz w:val="16"/>
        <w:szCs w:val="16"/>
      </w:rPr>
      <w:t xml:space="preserve">	Page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space="2"/>
      </w:pBdr>
      <w:tabs>
        <w:tab w:val="right" w:pos="9026"/>
      </w:tabs>
      <w:spacing w:after="0" w:before="0"/>
    </w:pPr>
    <w:r>
      <w:rPr>
        <w:rFonts w:ascii="Arial" w:cs="Arial" w:eastAsia="Arial" w:hAnsi="Arial"/>
        <w:b/>
        <w:bCs/>
        <w:color w:val="C9A84C"/>
        <w:sz w:val="22"/>
        <w:szCs w:val="22"/>
      </w:rPr>
      <w:t xml:space="preserve">G.O.D.S</w:t>
    </w:r>
    <w:r>
      <w:rPr>
        <w:rFonts w:ascii="Arial" w:cs="Arial" w:eastAsia="Arial" w:hAnsi="Arial"/>
        <w:color w:val="8A8A9A"/>
        <w:sz w:val="18"/>
        <w:szCs w:val="18"/>
      </w:rPr>
      <w:t xml:space="preserve">  |  GOOD ORDERLY DIRECTIONAL SYSTEMS</w:t>
    </w:r>
    <w:r>
      <w:rPr>
        <w:rFonts w:ascii="Arial" w:cs="Arial" w:eastAsia="Arial" w:hAnsi="Arial"/>
        <w:color w:val="8A8A9A"/>
        <w:sz w:val="18"/>
        <w:szCs w:val="18"/>
      </w:rPr>
      <w:t xml:space="preserve">	COMPREHENSIVE BUSINESS PLAN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color w:val="C9A84C"/>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D4CEB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C9A84C"/>
      <w:sz w:val="44"/>
      <w:szCs w:val="44"/>
    </w:rPr>
  </w:style>
  <w:style w:type="paragraph" w:styleId="Heading2">
    <w:name w:val="Heading 2"/>
    <w:basedOn w:val="Normal"/>
    <w:next w:val="Normal"/>
    <w:qFormat/>
    <w:pPr>
      <w:spacing w:after="140" w:before="280"/>
      <w:outlineLvl w:val="1"/>
    </w:pPr>
    <w:rPr>
      <w:rFonts w:ascii="Arial" w:cs="Arial" w:eastAsia="Arial" w:hAnsi="Arial"/>
      <w:b/>
      <w:bCs/>
      <w:color w:val="F5F0E8"/>
      <w:sz w:val="32"/>
      <w:szCs w:val="32"/>
    </w:rPr>
  </w:style>
  <w:style w:type="paragraph" w:styleId="Heading3">
    <w:name w:val="Heading 3"/>
    <w:basedOn w:val="Normal"/>
    <w:next w:val="Normal"/>
    <w:qFormat/>
    <w:pPr>
      <w:spacing w:after="100" w:before="200"/>
      <w:outlineLvl w:val="2"/>
    </w:pPr>
    <w:rPr>
      <w:rFonts w:ascii="Arial" w:cs="Arial" w:eastAsia="Arial" w:hAnsi="Arial"/>
      <w:b/>
      <w:bCs/>
      <w:color w:val="E8C97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G.O.D.S. Comprehensive Business Plan 2026</dc:title>
  <dc:creator>Sashin J. Singh — G.O.D.S. Holdings (Pty) Ltd</dc:creator>
  <dc:description>Full institutional business plan for G.O.D.S. Holdings — Confidential</dc:description>
  <cp:lastModifiedBy>Un-named</cp:lastModifiedBy>
  <cp:revision>1</cp:revision>
  <dcterms:created xsi:type="dcterms:W3CDTF">2026-04-29T04:57:01.927Z</dcterms:created>
  <dcterms:modified xsi:type="dcterms:W3CDTF">2026-04-29T04:57:01.928Z</dcterms:modified>
</cp:coreProperties>
</file>

<file path=docProps/custom.xml><?xml version="1.0" encoding="utf-8"?>
<Properties xmlns="http://schemas.openxmlformats.org/officeDocument/2006/custom-properties" xmlns:vt="http://schemas.openxmlformats.org/officeDocument/2006/docPropsVTypes"/>
</file>