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120" w:line="276"/>
        <w:jc w:val="left"/>
      </w:pPr>
      <w:r>
        <w:rPr>
          <w:rFonts w:ascii="Arial" w:cs="Arial" w:eastAsia="Arial" w:hAnsi="Arial"/>
          <w:b w:val="false"/>
          <w:bCs w:val="false"/>
          <w:i w:val="false"/>
          <w:iCs w:val="false"/>
          <w:color w:val="000000"/>
          <w:sz w:val="20"/>
          <w:szCs w:val="20"/>
        </w:rPr>
        <w:t xml:space="preserve"/>
      </w:r>
    </w:p>
    <w:p>
      <w:pPr>
        <w:spacing w:before="0" w:after="80" w:line="276"/>
        <w:jc w:val="center"/>
      </w:pPr>
      <w:r>
        <w:rPr>
          <w:rFonts w:ascii="Arial" w:cs="Arial" w:eastAsia="Arial" w:hAnsi="Arial"/>
          <w:b/>
          <w:bCs/>
          <w:i w:val="false"/>
          <w:iCs w:val="false"/>
          <w:color w:val="8A9BB0"/>
          <w:sz w:val="18"/>
          <w:szCs w:val="18"/>
        </w:rPr>
        <w:t xml:space="preserve">G.O.D.S HOLDINGS (PTY) LTD</w:t>
      </w:r>
    </w:p>
    <w:p>
      <w:pPr>
        <w:spacing w:before="0" w:after="120" w:line="276"/>
        <w:jc w:val="center"/>
      </w:pPr>
      <w:r>
        <w:rPr>
          <w:rFonts w:ascii="Arial" w:cs="Arial" w:eastAsia="Arial" w:hAnsi="Arial"/>
          <w:b/>
          <w:bCs/>
          <w:i w:val="false"/>
          <w:iCs w:val="false"/>
          <w:color w:val="0A1628"/>
          <w:sz w:val="44"/>
          <w:szCs w:val="44"/>
        </w:rPr>
        <w:t xml:space="preserve">Data Room Index</w:t>
      </w:r>
    </w:p>
    <w:p>
      <w:pPr>
        <w:spacing w:before="0" w:after="80" w:line="276"/>
        <w:jc w:val="center"/>
      </w:pPr>
      <w:r>
        <w:rPr>
          <w:rFonts w:ascii="Arial" w:cs="Arial" w:eastAsia="Arial" w:hAnsi="Arial"/>
          <w:b w:val="false"/>
          <w:bCs w:val="false"/>
          <w:i w:val="false"/>
          <w:iCs w:val="false"/>
          <w:color w:val="1A3A5C"/>
          <w:sz w:val="24"/>
          <w:szCs w:val="24"/>
        </w:rPr>
        <w:t xml:space="preserve">Complete Investor &amp; Partner Due Diligence Archive</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80" w:after="120" w:line="276"/>
        <w:jc w:val="left"/>
      </w:pPr>
      <w:r>
        <w:rPr>
          <w:rFonts w:ascii="Arial" w:cs="Arial" w:eastAsia="Arial" w:hAnsi="Arial"/>
          <w:b w:val="false"/>
          <w:bCs w:val="false"/>
          <w:i w:val="false"/>
          <w:iCs w:val="false"/>
          <w:color w:val="000000"/>
          <w:sz w:val="20"/>
          <w:szCs w:val="20"/>
        </w:rPr>
        <w:t xml:space="preserve"/>
      </w:r>
    </w:p>
    <w:p>
      <w:pPr>
        <w:spacing w:before="0" w:after="60" w:line="276"/>
        <w:jc w:val="center"/>
      </w:pPr>
      <w:r>
        <w:rPr>
          <w:rFonts w:ascii="Arial" w:cs="Arial" w:eastAsia="Arial" w:hAnsi="Arial"/>
          <w:b w:val="false"/>
          <w:bCs w:val="false"/>
          <w:i/>
          <w:iCs/>
          <w:color w:val="8A9BB0"/>
          <w:sz w:val="18"/>
          <w:szCs w:val="18"/>
        </w:rPr>
        <w:t xml:space="preserve">GODS-DR-INDEX-2026-001  |  Version 1.0  |  March 2026  |  Assembled by: Founder Office</w:t>
      </w:r>
    </w:p>
    <w:p>
      <w:pPr>
        <w:spacing w:before="0" w:after="60" w:line="276"/>
        <w:jc w:val="center"/>
      </w:pPr>
      <w:r>
        <w:rPr>
          <w:rFonts w:ascii="Arial" w:cs="Arial" w:eastAsia="Arial" w:hAnsi="Arial"/>
          <w:b w:val="false"/>
          <w:bCs w:val="false"/>
          <w:i w:val="false"/>
          <w:iCs w:val="false"/>
          <w:color w:val="0A1628"/>
          <w:sz w:val="18"/>
          <w:szCs w:val="18"/>
        </w:rPr>
        <w:t xml:space="preserve">Sashin J. Singh — Founder &amp; Systems Architect</w:t>
      </w:r>
    </w:p>
    <w:p>
      <w:pPr>
        <w:spacing w:before="0" w:after="120" w:line="276"/>
        <w:jc w:val="center"/>
      </w:pPr>
      <w:r>
        <w:rPr>
          <w:rFonts w:ascii="Arial" w:cs="Arial" w:eastAsia="Arial" w:hAnsi="Arial"/>
          <w:b w:val="false"/>
          <w:bCs w:val="false"/>
          <w:i w:val="false"/>
          <w:iCs w:val="false"/>
          <w:color w:val="8A9BB0"/>
          <w:sz w:val="18"/>
          <w:szCs w:val="18"/>
        </w:rPr>
        <w:t xml:space="preserve">Johannesburg, South Africa  |  March 2026</w:t>
      </w:r>
    </w:p>
    <w:p>
      <w:pPr>
        <w:spacing w:before="0" w:after="120" w:line="276"/>
        <w:jc w:val="center"/>
      </w:pPr>
      <w:r>
        <w:rPr>
          <w:rFonts w:ascii="Arial" w:cs="Arial" w:eastAsia="Arial" w:hAnsi="Arial"/>
          <w:b/>
          <w:bCs/>
          <w:i w:val="false"/>
          <w:iCs w:val="false"/>
          <w:color w:val="F59E0B"/>
          <w:sz w:val="18"/>
          <w:szCs w:val="18"/>
        </w:rPr>
        <w:t xml:space="preserve">CLASSIFICATION: CONFIDENTIAL — INVESTOR NDA REQUIRED FOR ACCESS LEVELS 3 AND 4</w:t>
      </w:r>
    </w:p>
    <w:p>
      <w:pPr>
        <w:pageBreakBefore/>
        <w:spacing w:before="0" w:after="12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INSTRUCTION</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How to Use This Index</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This Data Room Index is the master document registry for G.O.D.S Holdings (Pty) Ltd institutional due diligence. Every document referenced in this index either exists in final form, is in active production, or has a defined completion timeline. No document is listed that is not either complete or committed.</w:t>
      </w:r>
    </w:p>
    <w:p>
      <w:pPr>
        <w:spacing w:before="60" w:after="100" w:line="288"/>
        <w:jc w:val="both"/>
      </w:pPr>
      <w:r>
        <w:rPr>
          <w:rFonts w:ascii="Arial" w:cs="Arial" w:eastAsia="Arial" w:hAnsi="Arial"/>
          <w:b w:val="false"/>
          <w:bCs w:val="false"/>
          <w:i w:val="false"/>
          <w:iCs w:val="false"/>
          <w:color w:val="000000"/>
          <w:sz w:val="20"/>
          <w:szCs w:val="20"/>
        </w:rPr>
        <w:t xml:space="preserve">Access is tiered by classification. All access requests are logged. Physical and digital copies of Restricted documents require Founder sign-off. Digital transmission of Confidential and Restricted documents requires encrypted delivery.</w:t>
      </w:r>
    </w:p>
    <w:p>
      <w:pPr>
        <w:spacing w:before="0" w:after="40" w:line="276"/>
        <w:jc w:val="left"/>
      </w:pPr>
      <w:r>
        <w:rPr>
          <w:rFonts w:ascii="Arial" w:cs="Arial" w:eastAsia="Arial" w:hAnsi="Arial"/>
          <w:b w:val="false"/>
          <w:bCs w:val="false"/>
          <w:i w:val="false"/>
          <w:iCs w:val="false"/>
          <w:color w:val="00000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1400"/>
        <w:gridCol w:w="3960"/>
        <w:gridCol w:w="3400"/>
      </w:tblGrid>
      <w:tr>
        <w:trPr>
          <w:tblHeader/>
        </w:trPr>
        <w:tc>
          <w:tcPr>
            <w:tcW w:type="dxa" w:w="6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ACCESS LEVEL</w:t>
            </w:r>
          </w:p>
        </w:tc>
        <w:tc>
          <w:tcPr>
            <w:tcW w:type="dxa" w:w="14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LABEL</w:t>
            </w:r>
          </w:p>
        </w:tc>
        <w:tc>
          <w:tcPr>
            <w:tcW w:type="dxa" w:w="396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ELIGIBLE PARTIES</w:t>
            </w:r>
          </w:p>
        </w:tc>
        <w:tc>
          <w:tcPr>
            <w:tcW w:type="dxa" w:w="34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DELIVERY METHOD</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w:t>
            </w:r>
          </w:p>
        </w:tc>
        <w:tc>
          <w:tcPr>
            <w:tcW w:type="dxa" w:w="14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OPEN</w:t>
            </w:r>
          </w:p>
        </w:tc>
        <w:tc>
          <w:tcPr>
            <w:tcW w:type="dxa" w:w="39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Any party — no NDA required</w:t>
            </w:r>
          </w:p>
        </w:tc>
        <w:tc>
          <w:tcPr>
            <w:tcW w:type="dxa" w:w="34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Email, web, in-person</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w:t>
            </w:r>
          </w:p>
        </w:tc>
        <w:tc>
          <w:tcPr>
            <w:tcW w:type="dxa" w:w="14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INSTITUTIONAL</w:t>
            </w:r>
          </w:p>
        </w:tc>
        <w:tc>
          <w:tcPr>
            <w:tcW w:type="dxa" w:w="39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Government partners, accredited institutions — cover letter required</w:t>
            </w:r>
          </w:p>
        </w:tc>
        <w:tc>
          <w:tcPr>
            <w:tcW w:type="dxa" w:w="34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Email with cover letter</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14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INVESTOR NDA</w:t>
            </w:r>
          </w:p>
        </w:tc>
        <w:tc>
          <w:tcPr>
            <w:tcW w:type="dxa" w:w="39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Investors and financial partners — signed NDA required before access</w:t>
            </w:r>
          </w:p>
        </w:tc>
        <w:tc>
          <w:tcPr>
            <w:tcW w:type="dxa" w:w="34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Encrypted data room portal or encrypted email</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4</w:t>
            </w:r>
          </w:p>
        </w:tc>
        <w:tc>
          <w:tcPr>
            <w:tcW w:type="dxa" w:w="14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RESTRICTED</w:t>
            </w:r>
          </w:p>
        </w:tc>
        <w:tc>
          <w:tcPr>
            <w:tcW w:type="dxa" w:w="39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Legal counsel, trustees, COB members only — named recipient list</w:t>
            </w:r>
          </w:p>
        </w:tc>
        <w:tc>
          <w:tcPr>
            <w:tcW w:type="dxa" w:w="34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Encrypted transmission or physical copy only</w:t>
            </w:r>
          </w:p>
        </w:tc>
      </w:tr>
    </w:tbl>
    <w:p>
      <w:pPr>
        <w:spacing w:before="0" w:after="80" w:line="276"/>
        <w:jc w:val="left"/>
      </w:pPr>
      <w:r>
        <w:rPr>
          <w:rFonts w:ascii="Arial" w:cs="Arial" w:eastAsia="Arial" w:hAnsi="Arial"/>
          <w:b w:val="false"/>
          <w:bCs w:val="false"/>
          <w:i w:val="false"/>
          <w:iCs w:val="false"/>
          <w:color w:val="000000"/>
          <w:sz w:val="20"/>
          <w:szCs w:val="20"/>
        </w:rPr>
        <w:t xml:space="preserve"/>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SECTION A</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Constitutional &amp; Governance Documents</w:t>
      </w:r>
    </w:p>
    <w:p>
      <w:pPr>
        <w:spacing w:before="0" w:after="80" w:line="276"/>
        <w:jc w:val="left"/>
      </w:pPr>
      <w:r>
        <w:rPr>
          <w:rFonts w:ascii="Arial" w:cs="Arial" w:eastAsia="Arial" w:hAnsi="Arial"/>
          <w:b w:val="false"/>
          <w:bCs w:val="false"/>
          <w:i w:val="false"/>
          <w:iCs w:val="false"/>
          <w:color w:val="00000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000"/>
        <w:gridCol w:w="3000"/>
        <w:gridCol w:w="1000"/>
        <w:gridCol w:w="600"/>
        <w:gridCol w:w="2160"/>
      </w:tblGrid>
      <w:tr>
        <w:trPr>
          <w:tblHeader/>
        </w:trPr>
        <w:tc>
          <w:tcPr>
            <w:tcW w:type="dxa" w:w="6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REF</w:t>
            </w:r>
          </w:p>
        </w:tc>
        <w:tc>
          <w:tcPr>
            <w:tcW w:type="dxa" w:w="2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DOCUMENT TITLE</w:t>
            </w:r>
          </w:p>
        </w:tc>
        <w:tc>
          <w:tcPr>
            <w:tcW w:type="dxa" w:w="3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DESCRIPTION</w:t>
            </w:r>
          </w:p>
        </w:tc>
        <w:tc>
          <w:tcPr>
            <w:tcW w:type="dxa" w:w="1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STATUS</w:t>
            </w:r>
          </w:p>
        </w:tc>
        <w:tc>
          <w:tcPr>
            <w:tcW w:type="dxa" w:w="6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ACCESS</w:t>
            </w:r>
          </w:p>
        </w:tc>
        <w:tc>
          <w:tcPr>
            <w:tcW w:type="dxa" w:w="216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LOCATION</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A.01</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 Unified Constitutional Doctrine (March 2026)</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8-Part, 16-Article constitutional architecture. Five Forces, Four-Engine model, Twelve Pillars, AGI governance doctrine, Founder Oath.</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GODS_Unified_Constitutional_Doctrine_March2026.docx</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A.02</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 Founder Doctrine</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Personal philosophical and strategic declaration of intent. Frames the Founder's role, obligations, and succession.</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GODS_Founder_Doctrine.docx</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A.03</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Doctrine on Human Primacy, AI Governance &amp; Sovereign Control</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Position paper on the G.O.D.S approach to AGI risk, human primacy, and constitutional AI governance.</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Doctrine_On_Human_Primacy_Ai_Governance_And_Sovereign_Control.docx</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A.04</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AGI vs Singularity Position Paper</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Academic-grade position paper distinguishing AGI from the technological singularity. Establishes G.O.D.S theoretical foundation.</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Agi_Vs_Singularity_Position_Paper.docx</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A.05</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 Constitutional Governance Charter</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Governance charter for the Constitutional Oversight Board. Powers, composition, decision rights, and constitutional constraints.</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GODS_Constitutional_Governance_Charter.docx</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A.06</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 Succession &amp; Continuity Charter</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Full succession protocol for all key positions. Founder succession, COB succession, IP Trust succession.</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GODS_Succession_Continuity_Charter.docx</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A.07</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 Oversight Board Charter</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COB operational charter. Quorum, voting, reserved matter powers, meeting cadence.</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GODS_Oversight_Board_Charter.docx</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A.08</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AI Governance Charter (Annexure J)</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10-Commitment binding AI governance charter. Operational requirements and verification mechanisms.</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GODS_Complete_Institutional_Package_v1.docx / Annexure J</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A.09</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Memorandum of Incorporation (MOI)</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Companies Act 71 of 2008 MOI. Share structure, board composition, reserved matters, mission protection clauses.</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 — TEMPLATE
For CIPC filing</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4</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GODS_MOI_2026.docx (NEW)</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A.10</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CIPC Company Registration Certificate</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Proof of incorporation as G.O.D.S Holdings (Pty) Ltd.</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PLANNED
Month 1 action</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To be filed — CIPC</w:t>
            </w:r>
          </w:p>
        </w:tc>
      </w:tr>
    </w:tbl>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SECTION B</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Legal &amp; IP Documents</w:t>
      </w:r>
    </w:p>
    <w:p>
      <w:pPr>
        <w:spacing w:before="0" w:after="80" w:line="276"/>
        <w:jc w:val="left"/>
      </w:pPr>
      <w:r>
        <w:rPr>
          <w:rFonts w:ascii="Arial" w:cs="Arial" w:eastAsia="Arial" w:hAnsi="Arial"/>
          <w:b w:val="false"/>
          <w:bCs w:val="false"/>
          <w:i w:val="false"/>
          <w:iCs w:val="false"/>
          <w:color w:val="00000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000"/>
        <w:gridCol w:w="3000"/>
        <w:gridCol w:w="1000"/>
        <w:gridCol w:w="600"/>
        <w:gridCol w:w="2160"/>
      </w:tblGrid>
      <w:tr>
        <w:trPr>
          <w:tblHeader/>
        </w:trPr>
        <w:tc>
          <w:tcPr>
            <w:tcW w:type="dxa" w:w="6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REF</w:t>
            </w:r>
          </w:p>
        </w:tc>
        <w:tc>
          <w:tcPr>
            <w:tcW w:type="dxa" w:w="2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DOCUMENT TITLE</w:t>
            </w:r>
          </w:p>
        </w:tc>
        <w:tc>
          <w:tcPr>
            <w:tcW w:type="dxa" w:w="3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DESCRIPTION</w:t>
            </w:r>
          </w:p>
        </w:tc>
        <w:tc>
          <w:tcPr>
            <w:tcW w:type="dxa" w:w="1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STATUS</w:t>
            </w:r>
          </w:p>
        </w:tc>
        <w:tc>
          <w:tcPr>
            <w:tcW w:type="dxa" w:w="6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ACCESS</w:t>
            </w:r>
          </w:p>
        </w:tc>
        <w:tc>
          <w:tcPr>
            <w:tcW w:type="dxa" w:w="216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LOCATION</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B.01</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IP Trust Deed (Summary)</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IP Trust deed summary — trustees, trust property, powers, dissolution protection, Founder succession, IP Schedule.</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 (summary)
Full deed: legal counsel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4</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GODS_Complete_Institutional_Package_v1.docx / Annexure B</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B.02</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IP Trust Full Deed</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Complete trust deed constituted under Trust Property Control Act 57 of 1988.</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 PROGRESS
Legal counsel drafting</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4</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With appointed legal counsel</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B.03</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Shareholders Agreement (Template)</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Complete SHA template. All investor rights, pre-emptive rights, drag/tag, founder vesting, reserved matters.</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 — TEMPLATE
Completion at closing</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GODS_Shareholders_Agreement_2026.docx (NEW)</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B.04</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Trademark Filing Schedule</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Complete IP registration programme. CIPC Priority 1-3. International (ARIPO, EUIPO, USPTO, WIPO Madrid). Nice classification specs.</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4</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GODS_Trademark_Filing_Schedule.pdf (NEW)</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B.05</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CIPC Trademark Application Receipts</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Proof of filing for all Priority 1 CIPC trademark applications.</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PLANNED
Month 1 action</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To be filed — CIPC</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B.06</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Patent Portfolio Summary (Annexure B)</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5 priority patent filings: Quantum Task Classification, Bias Detection, QKD Governance, Constitutional Constraint Satisfaction, Workforce-to-Infrastructure Loop.</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 (summary)
Full specs with legal</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4</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GODS_Complete_Institutional_Package_v1.docx / Annexure B</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B.07</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Government SPV Template Structure (Annexure I)</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5 SPV types (Energy, Farming, Water, AI Governance, Digital Backbone). Shareholder structure, reserved matters, exit provisions.</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GODS_Complete_Institutional_Package_v1.docx / Annexure I</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B.08</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MOU Template — S.E.T.H.S Government Partnerships</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Standard MOU template for all government department partnerships. Covers responsibilities, reporting, data governance.</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 — TEMPLATE</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GODS_SETHS_Government_MOU_2026.docx (NEW)</w:t>
            </w:r>
          </w:p>
        </w:tc>
      </w:tr>
    </w:tbl>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SECTION C</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Financial Documents</w:t>
      </w:r>
    </w:p>
    <w:p>
      <w:pPr>
        <w:spacing w:before="0" w:after="80" w:line="276"/>
        <w:jc w:val="left"/>
      </w:pPr>
      <w:r>
        <w:rPr>
          <w:rFonts w:ascii="Arial" w:cs="Arial" w:eastAsia="Arial" w:hAnsi="Arial"/>
          <w:b w:val="false"/>
          <w:bCs w:val="false"/>
          <w:i w:val="false"/>
          <w:iCs w:val="false"/>
          <w:color w:val="00000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000"/>
        <w:gridCol w:w="3000"/>
        <w:gridCol w:w="1000"/>
        <w:gridCol w:w="600"/>
        <w:gridCol w:w="2160"/>
      </w:tblGrid>
      <w:tr>
        <w:trPr>
          <w:tblHeader/>
        </w:trPr>
        <w:tc>
          <w:tcPr>
            <w:tcW w:type="dxa" w:w="6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REF</w:t>
            </w:r>
          </w:p>
        </w:tc>
        <w:tc>
          <w:tcPr>
            <w:tcW w:type="dxa" w:w="2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DOCUMENT TITLE</w:t>
            </w:r>
          </w:p>
        </w:tc>
        <w:tc>
          <w:tcPr>
            <w:tcW w:type="dxa" w:w="3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DESCRIPTION</w:t>
            </w:r>
          </w:p>
        </w:tc>
        <w:tc>
          <w:tcPr>
            <w:tcW w:type="dxa" w:w="1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STATUS</w:t>
            </w:r>
          </w:p>
        </w:tc>
        <w:tc>
          <w:tcPr>
            <w:tcW w:type="dxa" w:w="6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ACCESS</w:t>
            </w:r>
          </w:p>
        </w:tc>
        <w:tc>
          <w:tcPr>
            <w:tcW w:type="dxa" w:w="216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LOCATION</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C.01</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Financial Architecture (Full Document)</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Division revenue models, capital deployment strategy, investor return architecture by capital class.</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GODS_Financial_Architecture.docx</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C.02</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Detailed Financial Projections — Annexure F</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Year 1 quarterly P&amp;L, 3-year consolidated P&amp;L, 5-7 year divisional model, 25-year three-scenario (R25B/R60B/R140B).</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 (projections)
Not yet audited</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GODS_Complete_Institutional_Package_v1.docx / Annexure F</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C.03</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Investment Memorandum</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Formal investor-facing capital raise document. Opportunity, structure, use of proceeds, return architecture.</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GODS_Investment_Memorandum.docx</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C.04</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MADIBA Capital Strategy</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Sovereign capital mobilisation strategy. AUM targets, DFI engagement, SADC sovereign fund architecture.</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GODS_MADIBA_Capital_Strategy.docx</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C.05</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Government Procurement Framework — Annexure E</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PFMA/MFMA compliance architecture. S.E.T.H.S, T.S, UDOC procurement pathways. PPP/SPV 6-stage process.</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GODS_Complete_Institutional_Package_v1.docx / Annexure E</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C.06</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12-Month Operating Plan (Exec Operating Document)</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27 action items Month 1-12. Owners, success criteria, dependencies, CRITICAL/HIGH/MILESTONE flags.</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GODS_Complete_Institutional_Package_v1.docx / Exec Operating Document</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C.07</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Audited Financial Statements — Year 1</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Externally audited financial statements for first financial year.</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NOT YET AVAILABLE
Planned: Q1 Year 2 (after first audit)
Auditor: TBC — IRBA registered</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Planned — Year 2</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C.08</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Management Accounts — Current Period</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Unaudited management accounts for the current operating period.</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 PROGRESS
Available monthly from Month 2 of operation</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CFO — updated monthly</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C.09</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Tax Clearance Certificate</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SARS tax clearance — Good Standing.</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PLANNED
Month 1 action</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SARS — to be obtained</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C.10</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B-BBEE Certificate</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B-BBEE verification certificate at applicable rating level.</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PLANNED
Month 3 (after accredited verification)</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Accredited B-BBEE verifier — to be commissioned</w:t>
            </w:r>
          </w:p>
        </w:tc>
      </w:tr>
    </w:tbl>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SECTION D</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Technical &amp; Architecture Documents</w:t>
      </w:r>
    </w:p>
    <w:p>
      <w:pPr>
        <w:spacing w:before="0" w:after="80" w:line="276"/>
        <w:jc w:val="left"/>
      </w:pPr>
      <w:r>
        <w:rPr>
          <w:rFonts w:ascii="Arial" w:cs="Arial" w:eastAsia="Arial" w:hAnsi="Arial"/>
          <w:b w:val="false"/>
          <w:bCs w:val="false"/>
          <w:i w:val="false"/>
          <w:iCs w:val="false"/>
          <w:color w:val="00000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000"/>
        <w:gridCol w:w="3000"/>
        <w:gridCol w:w="1000"/>
        <w:gridCol w:w="600"/>
        <w:gridCol w:w="2160"/>
      </w:tblGrid>
      <w:tr>
        <w:trPr>
          <w:tblHeader/>
        </w:trPr>
        <w:tc>
          <w:tcPr>
            <w:tcW w:type="dxa" w:w="6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REF</w:t>
            </w:r>
          </w:p>
        </w:tc>
        <w:tc>
          <w:tcPr>
            <w:tcW w:type="dxa" w:w="2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DOCUMENT TITLE</w:t>
            </w:r>
          </w:p>
        </w:tc>
        <w:tc>
          <w:tcPr>
            <w:tcW w:type="dxa" w:w="3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DESCRIPTION</w:t>
            </w:r>
          </w:p>
        </w:tc>
        <w:tc>
          <w:tcPr>
            <w:tcW w:type="dxa" w:w="1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STATUS</w:t>
            </w:r>
          </w:p>
        </w:tc>
        <w:tc>
          <w:tcPr>
            <w:tcW w:type="dxa" w:w="6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ACCESS</w:t>
            </w:r>
          </w:p>
        </w:tc>
        <w:tc>
          <w:tcPr>
            <w:tcW w:type="dxa" w:w="216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LOCATION</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D.01</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Systems Architecture Whitepaper v1</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14-Sector Control Architecture, Five-Phase Rollout, Compounding Loop technical design, 3-layer control architecture.</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GODS_Systems_Architecture_Whitepaper_v1.docx</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D.02</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HQ-OS Quantum Whitepaper v1</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Four-Layer Quantum Architecture, NIST PQC migration table, QKD BB84, Zero-Trust, Five-Phase implementation plan.</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UDOC_HQ_OS_Quantum_Whitepaper_v1.docx</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D.03</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T.S Infrastructure Blueprint</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Transition Systems sector-by-sector infrastructure deployment plan. Solar, vertical farming, water, housing.</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GODS_TS_Infrastructure_Blueprint.docx</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D.04</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SETHS Complete Programme Design</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Full S.E.T.H.S 5-phase programme design. Assessment methodology, training pathways, placement system, tracking protocol.</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GODS_SETHS_Complete_Program.docx</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D.05</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UDOC Build &amp; Rollout Plan</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UDOC platform build schedule, government client activation, SaaS revenue model, technical stack overview.</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UDOC_Build_Rollout_Plan.docx</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D.06</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System Diagram (Interactive HTML)</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Full G.O.D.S system architecture diagram — interactive version. Division interconnections, quantum substrate, governance layers.</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GODS_System_Diagram.html</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D.07</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POPIA Compliance Framework</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Data processing and privacy compliance framework for all G.O.D.S systems. Participant data, government data, AI training data.</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 PROGRESS
Legal counsel drafting</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To be delivered — Month 3</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D.08</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Cybersecurity &amp; Penetration Test Results</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Independent security assessment of UDOC platform and HQ-OS architecture.</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PLANNED
Phase 1 — pre-first-client</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Commissioned at UDOC platform completion</w:t>
            </w:r>
          </w:p>
        </w:tc>
      </w:tr>
    </w:tbl>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SECTION E</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Commercial &amp; Market Documents</w:t>
      </w:r>
    </w:p>
    <w:p>
      <w:pPr>
        <w:spacing w:before="0" w:after="80" w:line="276"/>
        <w:jc w:val="left"/>
      </w:pPr>
      <w:r>
        <w:rPr>
          <w:rFonts w:ascii="Arial" w:cs="Arial" w:eastAsia="Arial" w:hAnsi="Arial"/>
          <w:b w:val="false"/>
          <w:bCs w:val="false"/>
          <w:i w:val="false"/>
          <w:iCs w:val="false"/>
          <w:color w:val="00000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000"/>
        <w:gridCol w:w="3000"/>
        <w:gridCol w:w="1000"/>
        <w:gridCol w:w="600"/>
        <w:gridCol w:w="2160"/>
      </w:tblGrid>
      <w:tr>
        <w:trPr>
          <w:tblHeader/>
        </w:trPr>
        <w:tc>
          <w:tcPr>
            <w:tcW w:type="dxa" w:w="6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REF</w:t>
            </w:r>
          </w:p>
        </w:tc>
        <w:tc>
          <w:tcPr>
            <w:tcW w:type="dxa" w:w="2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DOCUMENT TITLE</w:t>
            </w:r>
          </w:p>
        </w:tc>
        <w:tc>
          <w:tcPr>
            <w:tcW w:type="dxa" w:w="3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DESCRIPTION</w:t>
            </w:r>
          </w:p>
        </w:tc>
        <w:tc>
          <w:tcPr>
            <w:tcW w:type="dxa" w:w="1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STATUS</w:t>
            </w:r>
          </w:p>
        </w:tc>
        <w:tc>
          <w:tcPr>
            <w:tcW w:type="dxa" w:w="6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ACCESS</w:t>
            </w:r>
          </w:p>
        </w:tc>
        <w:tc>
          <w:tcPr>
            <w:tcW w:type="dxa" w:w="216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LOCATION</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E.01</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Competitive Landscape Analysis</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Full competitor mapping across AI governance, workforce development, infrastructure, and capital. Structural moat analysis.</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GODS_Competitive_Landscape.docx</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E.02</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Sovereign Partnership Framework</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Framework for all sovereign and government partnerships. SPV structure, partnership tiers, compliance requirements.</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GODS_Sovereign_Partnership_Framework.docx</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E.03</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Staffing &amp; Recruitment Plan</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Year 1-3 headcount plan. Roles, salary bands, ESOP eligibility, hiring sequence.</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GODS_Staffing_Recruitment.docx</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E.04</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World Problems Rollout Strategy</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 deployment against 10 global problems. Sequencing, geography, and constitutional mandate alignment.</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GODS_World_Problems_Rollout.docx</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E.05</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Customer / Government Reference Letters</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Letters of intent or support from pilot government partners.</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 PROGRESS
Sought from Month 3 MOU signings</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To be added as received</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E.06</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Employer Partner Letters (S.E.T.H.S)</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Letters of intent from employer partners confirming participation in S.E.T.H.S placement network.</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 PROGRESS
First cohort employer recruitment from Month 4</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To be added as received</w:t>
            </w:r>
          </w:p>
        </w:tc>
      </w:tr>
    </w:tbl>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SECTION F</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Communications &amp; Branding</w:t>
      </w:r>
    </w:p>
    <w:p>
      <w:pPr>
        <w:spacing w:before="0" w:after="80" w:line="276"/>
        <w:jc w:val="left"/>
      </w:pPr>
      <w:r>
        <w:rPr>
          <w:rFonts w:ascii="Arial" w:cs="Arial" w:eastAsia="Arial" w:hAnsi="Arial"/>
          <w:b w:val="false"/>
          <w:bCs w:val="false"/>
          <w:i w:val="false"/>
          <w:iCs w:val="false"/>
          <w:color w:val="00000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000"/>
        <w:gridCol w:w="3000"/>
        <w:gridCol w:w="1000"/>
        <w:gridCol w:w="600"/>
        <w:gridCol w:w="2160"/>
      </w:tblGrid>
      <w:tr>
        <w:trPr>
          <w:tblHeader/>
        </w:trPr>
        <w:tc>
          <w:tcPr>
            <w:tcW w:type="dxa" w:w="6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REF</w:t>
            </w:r>
          </w:p>
        </w:tc>
        <w:tc>
          <w:tcPr>
            <w:tcW w:type="dxa" w:w="2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DOCUMENT TITLE</w:t>
            </w:r>
          </w:p>
        </w:tc>
        <w:tc>
          <w:tcPr>
            <w:tcW w:type="dxa" w:w="3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DESCRIPTION</w:t>
            </w:r>
          </w:p>
        </w:tc>
        <w:tc>
          <w:tcPr>
            <w:tcW w:type="dxa" w:w="1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STATUS</w:t>
            </w:r>
          </w:p>
        </w:tc>
        <w:tc>
          <w:tcPr>
            <w:tcW w:type="dxa" w:w="6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ACCESS</w:t>
            </w:r>
          </w:p>
        </w:tc>
        <w:tc>
          <w:tcPr>
            <w:tcW w:type="dxa" w:w="216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LOCATION</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F.01</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 Brand Identity Manual</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14-section brand guidelines. All logos, colour system, typography, usage rules, IP protection statement.</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GODS_Brand_Manual.pdf (NEW)</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F.02</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Logo Asset Pack</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68-file SVG/PNG logo pack. All 6 division marks, 4 variants, 5 sizes. Wordmarks included.</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GODS_Logo_Asset_Pack.zip (NEW)</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F.03</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Stakeholder One-Pagers</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Four audience-specific one-pagers: Investors, Government, Employers, International Development Partners.</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 (general) / 3 (investor version)</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GODS_Stakeholder_One_Pagers_2026.docx (NEW)</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F.04</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Manifesto Brief v6</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Executive manifesto brief. Condensed institutional narrative for senior leadership and board audiences.</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GODS_Manifesto_Brief_V6.docx</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F.05</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Complete Institutional Package v1</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Full 9-annexure institutional package. Risk register, financial projections, IP architecture, org chart, AI governance charter, 12-month plan, data room index.</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GODS_Complete_Institutional_Package_v1.docx</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F.06</w:t>
            </w:r>
          </w:p>
        </w:tc>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Website v2 (HTML)</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Full institutional website. Constitutional architecture, division overviews, contact and engagement flows.</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w:t>
            </w:r>
          </w:p>
        </w:tc>
        <w:tc>
          <w:tcPr>
            <w:tcW w:type="dxa" w:w="2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GODS_Website_V2.html</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F.07</w:t>
            </w:r>
          </w:p>
        </w:tc>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Research Reports (3 PDFs)</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External research grounding G.O.D.S system design: Global Problem Solving, Solar Vertical Farming, Research Global Problem solutions.</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FINAL</w:t>
            </w:r>
          </w:p>
        </w:tc>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w:t>
            </w:r>
          </w:p>
        </w:tc>
        <w:tc>
          <w:tcPr>
            <w:tcW w:type="dxa" w:w="2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researchGlobal_Problem_*.pdf (3 documents)</w:t>
            </w:r>
          </w:p>
        </w:tc>
      </w:tr>
    </w:tbl>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DASHBOARD</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Data Room Completion Status</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Summary of readiness by section as at March 2026. "Complete" means the document exists in final or final-template form. "In Progress" means active drafting or legal work is underway. "Planned" means defined timeline, committed action, not yet started.</w:t>
      </w:r>
    </w:p>
    <w:p>
      <w:pPr>
        <w:spacing w:before="0" w:after="40" w:line="276"/>
        <w:jc w:val="left"/>
      </w:pPr>
      <w:r>
        <w:rPr>
          <w:rFonts w:ascii="Arial" w:cs="Arial" w:eastAsia="Arial" w:hAnsi="Arial"/>
          <w:b w:val="false"/>
          <w:bCs w:val="false"/>
          <w:i w:val="false"/>
          <w:iCs w:val="false"/>
          <w:color w:val="00000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900"/>
        <w:gridCol w:w="1600"/>
        <w:gridCol w:w="1200"/>
        <w:gridCol w:w="2460"/>
        <w:gridCol w:w="1200"/>
      </w:tblGrid>
      <w:tr>
        <w:trPr>
          <w:tblHeader/>
        </w:trPr>
        <w:tc>
          <w:tcPr>
            <w:tcW w:type="dxa" w:w="2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SECTION</w:t>
            </w:r>
          </w:p>
        </w:tc>
        <w:tc>
          <w:tcPr>
            <w:tcW w:type="dxa" w:w="9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TOTAL DOCS</w:t>
            </w:r>
          </w:p>
        </w:tc>
        <w:tc>
          <w:tcPr>
            <w:tcW w:type="dxa" w:w="16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COMPLETE / TEMPLATE</w:t>
            </w:r>
          </w:p>
        </w:tc>
        <w:tc>
          <w:tcPr>
            <w:tcW w:type="dxa" w:w="12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IN PROGRESS</w:t>
            </w:r>
          </w:p>
        </w:tc>
        <w:tc>
          <w:tcPr>
            <w:tcW w:type="dxa" w:w="246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PLANNED / TIMELINE</w:t>
            </w:r>
          </w:p>
        </w:tc>
        <w:tc>
          <w:tcPr>
            <w:tcW w:type="dxa" w:w="12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 READY</w:t>
            </w:r>
          </w:p>
        </w:tc>
      </w:tr>
      <w:tr>
        <w:trPr>
          <w:tblHeader w:val="false"/>
        </w:trPr>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 — Constitutional &amp; Governance</w:t>
            </w:r>
          </w:p>
        </w:tc>
        <w:tc>
          <w:tcPr>
            <w:tcW w:type="dxa" w:w="9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10</w:t>
            </w:r>
          </w:p>
        </w:tc>
        <w:tc>
          <w:tcPr>
            <w:tcW w:type="dxa" w:w="1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8</w:t>
            </w:r>
          </w:p>
        </w:tc>
        <w:tc>
          <w:tcPr>
            <w:tcW w:type="dxa" w:w="1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 (IP Trust full deed)</w:t>
            </w:r>
          </w:p>
        </w:tc>
        <w:tc>
          <w:tcPr>
            <w:tcW w:type="dxa" w:w="24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 (CIPC cert — Month 1)</w:t>
            </w:r>
          </w:p>
        </w:tc>
        <w:tc>
          <w:tcPr>
            <w:tcW w:type="dxa" w:w="1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80%</w:t>
            </w:r>
          </w:p>
        </w:tc>
      </w:tr>
      <w:tr>
        <w:trPr>
          <w:tblHeader w:val="false"/>
        </w:trPr>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B — Legal &amp; IP</w:t>
            </w:r>
          </w:p>
        </w:tc>
        <w:tc>
          <w:tcPr>
            <w:tcW w:type="dxa" w:w="9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8</w:t>
            </w:r>
          </w:p>
        </w:tc>
        <w:tc>
          <w:tcPr>
            <w:tcW w:type="dxa" w:w="1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6</w:t>
            </w:r>
          </w:p>
        </w:tc>
        <w:tc>
          <w:tcPr>
            <w:tcW w:type="dxa" w:w="12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 (IP Trust deed)</w:t>
            </w:r>
          </w:p>
        </w:tc>
        <w:tc>
          <w:tcPr>
            <w:tcW w:type="dxa" w:w="24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 (CIPC TM certs — Month 1)</w:t>
            </w:r>
          </w:p>
        </w:tc>
        <w:tc>
          <w:tcPr>
            <w:tcW w:type="dxa" w:w="12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75%</w:t>
            </w:r>
          </w:p>
        </w:tc>
      </w:tr>
      <w:tr>
        <w:trPr>
          <w:tblHeader w:val="false"/>
        </w:trPr>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 — Financial</w:t>
            </w:r>
          </w:p>
        </w:tc>
        <w:tc>
          <w:tcPr>
            <w:tcW w:type="dxa" w:w="9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10</w:t>
            </w:r>
          </w:p>
        </w:tc>
        <w:tc>
          <w:tcPr>
            <w:tcW w:type="dxa" w:w="1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7</w:t>
            </w:r>
          </w:p>
        </w:tc>
        <w:tc>
          <w:tcPr>
            <w:tcW w:type="dxa" w:w="1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 (mgmt accounts, B-BBEE)</w:t>
            </w:r>
          </w:p>
        </w:tc>
        <w:tc>
          <w:tcPr>
            <w:tcW w:type="dxa" w:w="24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 (audited FS — Year 2, unavoidable)</w:t>
            </w:r>
          </w:p>
        </w:tc>
        <w:tc>
          <w:tcPr>
            <w:tcW w:type="dxa" w:w="1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70%</w:t>
            </w:r>
          </w:p>
        </w:tc>
      </w:tr>
      <w:tr>
        <w:trPr>
          <w:tblHeader w:val="false"/>
        </w:trPr>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 — Technical &amp; Architecture</w:t>
            </w:r>
          </w:p>
        </w:tc>
        <w:tc>
          <w:tcPr>
            <w:tcW w:type="dxa" w:w="9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8</w:t>
            </w:r>
          </w:p>
        </w:tc>
        <w:tc>
          <w:tcPr>
            <w:tcW w:type="dxa" w:w="1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6</w:t>
            </w:r>
          </w:p>
        </w:tc>
        <w:tc>
          <w:tcPr>
            <w:tcW w:type="dxa" w:w="12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 (POPIA framework)</w:t>
            </w:r>
          </w:p>
        </w:tc>
        <w:tc>
          <w:tcPr>
            <w:tcW w:type="dxa" w:w="24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 (pen test — Phase 1)</w:t>
            </w:r>
          </w:p>
        </w:tc>
        <w:tc>
          <w:tcPr>
            <w:tcW w:type="dxa" w:w="12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75%</w:t>
            </w:r>
          </w:p>
        </w:tc>
      </w:tr>
      <w:tr>
        <w:trPr>
          <w:tblHeader w:val="false"/>
        </w:trPr>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E — Commercial &amp; Market</w:t>
            </w:r>
          </w:p>
        </w:tc>
        <w:tc>
          <w:tcPr>
            <w:tcW w:type="dxa" w:w="9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6</w:t>
            </w:r>
          </w:p>
        </w:tc>
        <w:tc>
          <w:tcPr>
            <w:tcW w:type="dxa" w:w="1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4</w:t>
            </w:r>
          </w:p>
        </w:tc>
        <w:tc>
          <w:tcPr>
            <w:tcW w:type="dxa" w:w="1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 (govt &amp; employer letters)</w:t>
            </w:r>
          </w:p>
        </w:tc>
        <w:tc>
          <w:tcPr>
            <w:tcW w:type="dxa" w:w="24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w:t>
            </w:r>
          </w:p>
        </w:tc>
        <w:tc>
          <w:tcPr>
            <w:tcW w:type="dxa" w:w="1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67%</w:t>
            </w:r>
          </w:p>
        </w:tc>
      </w:tr>
      <w:tr>
        <w:trPr>
          <w:tblHeader w:val="false"/>
        </w:trPr>
        <w:tc>
          <w:tcPr>
            <w:tcW w:type="dxa" w:w="2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 — Communications &amp; Branding</w:t>
            </w:r>
          </w:p>
        </w:tc>
        <w:tc>
          <w:tcPr>
            <w:tcW w:type="dxa" w:w="9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7</w:t>
            </w:r>
          </w:p>
        </w:tc>
        <w:tc>
          <w:tcPr>
            <w:tcW w:type="dxa" w:w="1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7</w:t>
            </w:r>
          </w:p>
        </w:tc>
        <w:tc>
          <w:tcPr>
            <w:tcW w:type="dxa" w:w="12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w:t>
            </w:r>
          </w:p>
        </w:tc>
        <w:tc>
          <w:tcPr>
            <w:tcW w:type="dxa" w:w="24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w:t>
            </w:r>
          </w:p>
        </w:tc>
        <w:tc>
          <w:tcPr>
            <w:tcW w:type="dxa" w:w="12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100%</w:t>
            </w:r>
          </w:p>
        </w:tc>
      </w:tr>
      <w:tr>
        <w:trPr>
          <w:tblHeader w:val="false"/>
        </w:trPr>
        <w:tc>
          <w:tcPr>
            <w:tcW w:type="dxa" w:w="2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TOTAL</w:t>
            </w:r>
          </w:p>
        </w:tc>
        <w:tc>
          <w:tcPr>
            <w:tcW w:type="dxa" w:w="9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49</w:t>
            </w:r>
          </w:p>
        </w:tc>
        <w:tc>
          <w:tcPr>
            <w:tcW w:type="dxa" w:w="1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38</w:t>
            </w:r>
          </w:p>
        </w:tc>
        <w:tc>
          <w:tcPr>
            <w:tcW w:type="dxa" w:w="1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7</w:t>
            </w:r>
          </w:p>
        </w:tc>
        <w:tc>
          <w:tcPr>
            <w:tcW w:type="dxa" w:w="24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4</w:t>
            </w:r>
          </w:p>
        </w:tc>
        <w:tc>
          <w:tcPr>
            <w:tcW w:type="dxa" w:w="1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78% (institutional-ready)</w:t>
            </w:r>
          </w:p>
        </w:tc>
      </w:tr>
    </w:tbl>
    <w:p>
      <w:pPr>
        <w:spacing w:before="0" w:after="80" w:line="276"/>
        <w:jc w:val="left"/>
      </w:pPr>
      <w:r>
        <w:rPr>
          <w:rFonts w:ascii="Arial" w:cs="Arial" w:eastAsia="Arial" w:hAnsi="Arial"/>
          <w:b w:val="false"/>
          <w:bCs w:val="false"/>
          <w:i w:val="false"/>
          <w:iCs w:val="false"/>
          <w:color w:val="00000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blHeader w:val="false"/>
        </w:trPr>
        <w:tc>
          <w:tcPr>
            <w:tcW w:type="dxa" w:w="9360"/>
            <w:gridSpan w:val="1"/>
            <w:tcBorders>
              <w:top w:val="single" w:color="F59E0B" w:sz="4"/>
              <w:left w:val="single" w:color="F59E0B" w:sz="4"/>
              <w:bottom w:val="single" w:color="F59E0B" w:sz="4"/>
              <w:right w:val="single" w:color="F59E0B" w:sz="4"/>
            </w:tcBorders>
            <w:shd w:fill="FFFBEB" w:val="clear"/>
            <w:tcMar>
              <w:top w:type="dxa" w:w="80"/>
              <w:left w:type="dxa" w:w="120"/>
              <w:bottom w:type="dxa" w:w="80"/>
              <w:right w:type="dxa" w:w="120"/>
            </w:tcMar>
            <w:vAlign w:val="top"/>
          </w:tcPr>
          <w:p>
            <w:pPr>
              <w:spacing w:before="0" w:after="40" w:line="276"/>
              <w:jc w:val="left"/>
            </w:pPr>
            <w:r>
              <w:rPr>
                <w:rFonts w:ascii="Arial" w:cs="Arial" w:eastAsia="Arial" w:hAnsi="Arial"/>
                <w:b/>
                <w:bCs/>
                <w:i w:val="false"/>
                <w:iCs w:val="false"/>
                <w:color w:val="C9A84C"/>
                <w:sz w:val="18"/>
                <w:szCs w:val="18"/>
              </w:rPr>
              <w:t xml:space="preserve">NOTE ON AUDITED FINANCIALS</w:t>
            </w:r>
          </w:p>
          <w:p>
            <w:pPr>
              <w:spacing w:before="60" w:after="100" w:line="288"/>
              <w:jc w:val="both"/>
            </w:pPr>
            <w:r>
              <w:rPr>
                <w:rFonts w:ascii="Arial" w:cs="Arial" w:eastAsia="Arial" w:hAnsi="Arial"/>
                <w:b w:val="false"/>
                <w:bCs w:val="false"/>
                <w:i w:val="false"/>
                <w:iCs w:val="false"/>
                <w:color w:val="000000"/>
                <w:sz w:val="20"/>
                <w:szCs w:val="20"/>
              </w:rPr>
              <w:t xml:space="preserve">Audited financial statements (C.07) are not available and cannot be made available before the Company completes its first full financial year and external audit (planned Year 2). This is not a gap — it is the correct sequence. No legitimate institutional investor expects audited financials from a pre-revenue, pre-operational entity. The financial projections (C.02) are detailed, modelled, and available. The Year 1 audit timeline is committed and the auditor appointment is a Month 1 action item in the Operating Plan.</w:t>
            </w:r>
          </w:p>
        </w:tc>
      </w:tr>
    </w:tbl>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ACCESS</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Data Room Access Protocol</w:t>
      </w:r>
    </w:p>
    <w:p>
      <w:pPr>
        <w:spacing w:before="0" w:after="80" w:line="276"/>
        <w:jc w:val="left"/>
      </w:pPr>
      <w:r>
        <w:rPr>
          <w:rFonts w:ascii="Arial" w:cs="Arial" w:eastAsia="Arial" w:hAnsi="Arial"/>
          <w:b w:val="false"/>
          <w:bCs w:val="false"/>
          <w:i w:val="false"/>
          <w:iCs w:val="false"/>
          <w:color w:val="00000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3000"/>
        <w:gridCol w:w="1400"/>
        <w:gridCol w:w="4360"/>
      </w:tblGrid>
      <w:tr>
        <w:trPr>
          <w:tblHeader/>
        </w:trPr>
        <w:tc>
          <w:tcPr>
            <w:tcW w:type="dxa" w:w="6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STEP</w:t>
            </w:r>
          </w:p>
        </w:tc>
        <w:tc>
          <w:tcPr>
            <w:tcW w:type="dxa" w:w="3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ACTION</w:t>
            </w:r>
          </w:p>
        </w:tc>
        <w:tc>
          <w:tcPr>
            <w:tcW w:type="dxa" w:w="14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TIMELINE</w:t>
            </w:r>
          </w:p>
        </w:tc>
        <w:tc>
          <w:tcPr>
            <w:tcW w:type="dxa" w:w="436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CONTACT</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Request access — specify organisation, role, and documents required</w:t>
            </w:r>
          </w:p>
        </w:tc>
        <w:tc>
          <w:tcPr>
            <w:tcW w:type="dxa" w:w="14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Immediate</w:t>
            </w:r>
          </w:p>
        </w:tc>
        <w:tc>
          <w:tcPr>
            <w:tcW w:type="dxa" w:w="43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info@gods.systems</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NDA execution (for Level 3 documents)</w:t>
            </w:r>
          </w:p>
        </w:tc>
        <w:tc>
          <w:tcPr>
            <w:tcW w:type="dxa" w:w="14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Within 48 hours of request</w:t>
            </w:r>
          </w:p>
        </w:tc>
        <w:tc>
          <w:tcPr>
            <w:tcW w:type="dxa" w:w="43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legal@gods.systems</w:t>
            </w:r>
          </w:p>
        </w:tc>
      </w:tr>
      <w:tr>
        <w:trPr>
          <w:tblHeader w:val="false"/>
        </w:trPr>
        <w:tc>
          <w:tcPr>
            <w:tcW w:type="dxa" w:w="6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3</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Data room access granted via encrypted portal or secure document transfer</w:t>
            </w:r>
          </w:p>
        </w:tc>
        <w:tc>
          <w:tcPr>
            <w:tcW w:type="dxa" w:w="14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Within 24 hours of NDA</w:t>
            </w:r>
          </w:p>
        </w:tc>
        <w:tc>
          <w:tcPr>
            <w:tcW w:type="dxa" w:w="43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COO — operations@gods.systems</w:t>
            </w:r>
          </w:p>
        </w:tc>
      </w:tr>
      <w:tr>
        <w:trPr>
          <w:tblHeader w:val="false"/>
        </w:trPr>
        <w:tc>
          <w:tcPr>
            <w:tcW w:type="dxa" w:w="6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4</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Founder / COO availability for questions</w:t>
            </w:r>
          </w:p>
        </w:tc>
        <w:tc>
          <w:tcPr>
            <w:tcW w:type="dxa" w:w="14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By appointment — 5 business day notice</w:t>
            </w:r>
          </w:p>
        </w:tc>
        <w:tc>
          <w:tcPr>
            <w:tcW w:type="dxa" w:w="43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info@gods.systems</w:t>
            </w:r>
          </w:p>
        </w:tc>
      </w:tr>
    </w:tbl>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40" w:after="80" w:line="276"/>
        <w:ind w:left="360"/>
        <w:jc w:val="both"/>
      </w:pPr>
      <w:r>
        <w:rPr>
          <w:rFonts w:ascii="Arial" w:cs="Arial" w:eastAsia="Arial" w:hAnsi="Arial"/>
          <w:b w:val="false"/>
          <w:bCs w:val="false"/>
          <w:i/>
          <w:iCs/>
          <w:color w:val="8A9BB0"/>
          <w:sz w:val="18"/>
          <w:szCs w:val="18"/>
        </w:rPr>
        <w:t xml:space="preserve">© 2026 G.O.D.S Holdings (Pty) Ltd. All rights reserved. IP held in G.O.D.S IP Trust. This Data Room Index is a living document — version control maintained by the Founder Office. All document access is logged. Unauthorised distribution constitutes a breach of NDA and potentially trademark infringement. GODS-DR-INDEX-2026-001 v1.0.</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spacing w:before="0" w:after="0"/>
      <w:jc w:val="center"/>
    </w:pPr>
    <w:r>
      <w:rPr>
        <w:rFonts w:ascii="Arial" w:cs="Arial" w:eastAsia="Arial" w:hAnsi="Arial"/>
        <w:color w:val="8A9BB0"/>
        <w:sz w:val="16"/>
        <w:szCs w:val="16"/>
      </w:rPr>
      <w:t xml:space="preserve">GODS-DR-INDEX-2026-001  |  CONFIDENTIAL  |  © 2026 G.O.D.S Holdings (Pty) Ltd  |  Page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6"/>
      </w:pBdr>
      <w:spacing w:after="0"/>
      <w:jc w:val="right"/>
    </w:pPr>
    <w:r>
      <w:rPr>
        <w:rFonts w:ascii="Arial" w:cs="Arial" w:eastAsia="Arial" w:hAnsi="Arial"/>
        <w:color w:val="8A9BB0"/>
        <w:sz w:val="16"/>
        <w:szCs w:val="16"/>
      </w:rPr>
      <w:t xml:space="preserve">G.O.D.S HOLDINGS  |  </w:t>
    </w:r>
    <w:r>
      <w:rPr>
        <w:rFonts w:ascii="Arial" w:cs="Arial" w:eastAsia="Arial" w:hAnsi="Arial"/>
        <w:b/>
        <w:bCs/>
        <w:color w:val="1A3A5C"/>
        <w:sz w:val="16"/>
        <w:szCs w:val="16"/>
      </w:rPr>
      <w:t xml:space="preserve">DATA ROOM INDEX — G.O.D.S HOLDINGS (PTY) LTD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lowerLetter"/>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180"/>
      <w:outlineLvl w:val="0"/>
    </w:pPr>
    <w:rPr>
      <w:rFonts w:ascii="Arial" w:cs="Arial" w:eastAsia="Arial" w:hAnsi="Arial"/>
      <w:b/>
      <w:bCs/>
      <w:color w:val="0A1628"/>
      <w:sz w:val="36"/>
      <w:szCs w:val="36"/>
    </w:rPr>
  </w:style>
  <w:style w:type="paragraph" w:styleId="Heading2">
    <w:name w:val="Heading 2"/>
    <w:basedOn w:val="Normal"/>
    <w:next w:val="Normal"/>
    <w:qFormat/>
    <w:pPr>
      <w:spacing w:before="240" w:after="120"/>
      <w:outlineLvl w:val="1"/>
    </w:pPr>
    <w:rPr>
      <w:rFonts w:ascii="Arial" w:cs="Arial" w:eastAsia="Arial" w:hAnsi="Arial"/>
      <w:b/>
      <w:bCs/>
      <w:color w:val="1A3A5C"/>
      <w:sz w:val="28"/>
      <w:szCs w:val="28"/>
    </w:rPr>
  </w:style>
  <w:style w:type="paragraph" w:styleId="Heading3">
    <w:name w:val="Heading 3"/>
    <w:basedOn w:val="Normal"/>
    <w:next w:val="Normal"/>
    <w:qFormat/>
    <w:pPr>
      <w:spacing w:before="180" w:after="80"/>
      <w:outlineLvl w:val="2"/>
    </w:pPr>
    <w:rPr>
      <w:rFonts w:ascii="Arial" w:cs="Arial" w:eastAsia="Arial" w:hAnsi="Arial"/>
      <w:b/>
      <w:bCs/>
      <w:color w:val="0A1628"/>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Room Index — G.O.D.S Holdings (Pty) Ltd</dc:title>
  <dc:subject>G.O.D.S Institutional Package</dc:subject>
  <dc:creator>G.O.D.S Holdings (Pty) Ltd</dc:creator>
  <dc:description>GODS-DR-INDEX-2026-001</dc:description>
  <cp:lastModifiedBy>Un-named</cp:lastModifiedBy>
  <cp:revision>1</cp:revision>
  <dcterms:created xsi:type="dcterms:W3CDTF">2026-03-13T09:02:12.160Z</dcterms:created>
  <dcterms:modified xsi:type="dcterms:W3CDTF">2026-03-13T09:02:12.160Z</dcterms:modified>
</cp:coreProperties>
</file>

<file path=docProps/custom.xml><?xml version="1.0" encoding="utf-8"?>
<Properties xmlns="http://schemas.openxmlformats.org/officeDocument/2006/custom-properties" xmlns:vt="http://schemas.openxmlformats.org/officeDocument/2006/docPropsVTypes"/>
</file>