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480"/>
      </w:pPr>
    </w:p>
    <w:p>
      <w:pPr>
        <w:spacing w:before="200" w:after="80"/>
        <w:jc w:val="center"/>
      </w:pPr>
      <w:r>
        <w:rPr>
          <w:b/>
          <w:bCs/>
          <w:color w:val="C9A84C"/>
          <w:sz w:val="56"/>
          <w:szCs w:val="56"/>
          <w:rFonts w:ascii="Georgia" w:cs="Georgia" w:eastAsia="Georgia" w:hAnsi="Georgia"/>
        </w:rPr>
        <w:t xml:space="preserve">G.O.D.S</w:t>
      </w:r>
    </w:p>
    <w:p>
      <w:pPr>
        <w:spacing w:before="60" w:after="60"/>
        <w:jc w:val="center"/>
      </w:pPr>
      <w:r>
        <w:rPr>
          <w:color w:val="F5F0E8"/>
          <w:sz w:val="22"/>
          <w:szCs w:val="22"/>
          <w:rFonts w:ascii="Arial" w:cs="Arial" w:eastAsia="Arial" w:hAnsi="Arial"/>
        </w:rPr>
        <w:t xml:space="preserve">Good Orderly Directional Systems</w:t>
      </w:r>
    </w:p>
    <w:p>
      <w:pPr>
        <w:pBdr>
          <w:bottom w:val="single" w:color="C9A84C" w:sz="6"/>
        </w:pBdr>
        <w:spacing w:before="160" w:after="160"/>
      </w:pPr>
    </w:p>
    <w:p>
      <w:pPr>
        <w:spacing w:before="60" w:after="60"/>
        <w:jc w:val="center"/>
      </w:pPr>
      <w:r>
        <w:rPr>
          <w:color w:val="F5F0E8"/>
          <w:sz w:val="22"/>
          <w:szCs w:val="22"/>
          <w:rFonts w:ascii="Arial" w:cs="Arial" w:eastAsia="Arial" w:hAnsi="Arial"/>
        </w:rPr>
        <w:t xml:space="preserve">GO-TO-MARKET STRATEGY</w:t>
      </w:r>
    </w:p>
    <w:p>
      <w:pPr>
        <w:spacing w:before="60" w:after="60"/>
        <w:jc w:val="center"/>
      </w:pPr>
      <w:r>
        <w:rPr>
          <w:color w:val="F5F0E8"/>
          <w:sz w:val="22"/>
          <w:szCs w:val="22"/>
          <w:rFonts w:ascii="Arial" w:cs="Arial" w:eastAsia="Arial" w:hAnsi="Arial"/>
        </w:rPr>
        <w:t xml:space="preserve">Four-Division Commercial Launch &amp; Revenue Activation Plan</w:t>
      </w:r>
    </w:p>
    <w:p>
      <w:pPr>
        <w:spacing w:before="80"/>
      </w:pPr>
    </w:p>
    <w:p>
      <w:pPr>
        <w:spacing w:before="40" w:after="40"/>
        <w:jc w:val="center"/>
      </w:pPr>
      <w:r>
        <w:rPr>
          <w:color w:val="8A8A9A"/>
          <w:sz w:val="18"/>
          <w:szCs w:val="18"/>
          <w:rFonts w:ascii="Arial" w:cs="Arial" w:eastAsia="Arial" w:hAnsi="Arial"/>
        </w:rPr>
        <w:t xml:space="preserve">G.O.D.S Holdings (Pty) Ltd | March 2026 | Sashin J. Singh — Founder &amp; Systems Architect</w:t>
      </w:r>
    </w:p>
    <w:p>
      <w:pPr>
        <w:spacing w:before="80"/>
      </w:pPr>
    </w:p>
    <w:p>
      <w:pPr>
        <w:spacing w:before="40" w:after="40"/>
        <w:jc w:val="center"/>
      </w:pPr>
      <w:r>
        <w:rPr>
          <w:i/>
          <w:iCs/>
          <w:color w:val="8A8A9A"/>
          <w:sz w:val="14"/>
          <w:szCs w:val="14"/>
          <w:rFonts w:ascii="Arial" w:cs="Arial" w:eastAsia="Arial" w:hAnsi="Arial"/>
        </w:rPr>
        <w:t xml:space="preserve">CONFIDENTIAL — GO-TO-MARKET STRATEGY — G.O.D.S Holdings (Pty) Ltd — March 2026</w:t>
      </w:r>
    </w:p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1. GTM PHILOSOPHY</w:t>
      </w:r>
    </w:p>
    <w:p>
      <w:pPr>
        <w:pBdr>
          <w:top w:val="single" w:color="E8E4DA" w:sz="4"/>
          <w:bottom w:val="single" w:color="E8E4DA" w:sz="4"/>
          <w:left w:val="single" w:color="C9A84C" w:sz="12"/>
          <w:right w:val="single" w:color="E8E4DA" w:sz="4"/>
        </w:pBdr>
        <w:spacing w:before="160" w:after="160"/>
      </w:pPr>
      <w:r>
        <w:rPr>
          <w:i/>
          <w:iCs/>
          <w:color w:val="060E1C"/>
          <w:sz w:val="22"/>
          <w:szCs w:val="22"/>
          <w:rFonts w:ascii="Georgia" w:cs="Georgia" w:eastAsia="Georgia" w:hAnsi="Georgia"/>
        </w:rPr>
        <w:t xml:space="preserve">G.O.D.S does not have one Go-to-Market strategy. It has four — one per division — each unlocking the next. The GTM sequence is constitutionally enforced: governance before scale, proof before replication.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The G.O.D.S GTM architecture activates in sequence: S.E.T.H.S first (government credibility anchor), UDOC second (enterprise revenue flywheel), T.S third (infrastructure asset creation), M.A.D.I.B.A fourth (capital scale-up). Each GTM phase unlocks the next by providing the institutional credibility, data, and commercial proof that the subsequent division requires.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1600"/>
        <w:gridCol w:w="1800"/>
        <w:gridCol w:w="1400"/>
        <w:gridCol w:w="2000"/>
        <w:gridCol w:w="1160"/>
      </w:tblGrid>
      <w:tr>
        <w:tc>
          <w:tcPr>
            <w:tcW w:type="dxa" w:w="14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Division</w:t>
            </w:r>
          </w:p>
        </w:tc>
        <w:tc>
          <w:tcPr>
            <w:tcW w:type="dxa" w:w="16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GTM Priority</w:t>
            </w:r>
          </w:p>
        </w:tc>
        <w:tc>
          <w:tcPr>
            <w:tcW w:type="dxa" w:w="1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Primary Buyer</w:t>
            </w:r>
          </w:p>
        </w:tc>
        <w:tc>
          <w:tcPr>
            <w:tcW w:type="dxa" w:w="14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Sales Cycle</w:t>
            </w:r>
          </w:p>
        </w:tc>
        <w:tc>
          <w:tcPr>
            <w:tcW w:type="dxa" w:w="20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ACV Range</w:t>
            </w:r>
          </w:p>
        </w:tc>
        <w:tc>
          <w:tcPr>
            <w:tcW w:type="dxa" w:w="11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1 Revenue Target</w:t>
            </w:r>
          </w:p>
        </w:tc>
      </w:tr>
      <w:tr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S.E.T.H.S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Phase 1 — Credibility Anchor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Government departments (DSD, DoL, DCS), corporate HR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3–9 months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R5M–R30M government; R500K–R2M corporate</w:t>
            </w:r>
          </w:p>
        </w:tc>
        <w:tc>
          <w:tcPr>
            <w:tcW w:type="dxa" w:w="1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R3.95M</w:t>
            </w:r>
          </w:p>
        </w:tc>
      </w:tr>
      <w:tr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Phase 1 — Revenue Flywheel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JSE-listed regulated industries, financial services, healthcare, DPSA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2–6 months enterprise; 6–18 months govt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R3M–R7M enterprise; R15M–R50M national</w:t>
            </w:r>
          </w:p>
        </w:tc>
        <w:tc>
          <w:tcPr>
            <w:tcW w:type="dxa" w:w="1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R2.2M</w:t>
            </w:r>
          </w:p>
        </w:tc>
      </w:tr>
      <w:tr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T.S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Phase 2 — Asset Engine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Government infrastructure (DMRE, DHS, DRDLR), municipalities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6–24 months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R5M–R500M/project</w:t>
            </w:r>
          </w:p>
        </w:tc>
        <w:tc>
          <w:tcPr>
            <w:tcW w:type="dxa" w:w="1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 (Year 1) → R22M (Year 3)</w:t>
            </w:r>
          </w:p>
        </w:tc>
      </w:tr>
      <w:tr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M.A.D.I.B.A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Phase 3 — Scale Vehicle</w:t>
            </w:r>
          </w:p>
        </w:tc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DFIs (DBSA, IDC, AfDB), sovereign funds (PIC, GEPF)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12–36 months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R2B+ fund; R50M+ advisory mandates</w:t>
            </w:r>
          </w:p>
        </w:tc>
        <w:tc>
          <w:tcPr>
            <w:tcW w:type="dxa" w:w="1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R0.8M advisory fees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2. S.E.T.H.S GTM — GOVERNMENT CONTRACTING STRATEGY</w:t>
      </w:r>
    </w:p>
    <w:p>
      <w:pPr>
        <w:pStyle w:val="Heading2"/>
        <w:spacing w:before="240" w:after="10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2.1 Primary Government Entry Points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S.E.T.H.S enters the market through outcome-based contracts with three national departments in Year 1, using the Social Employment Fund and EPWP frameworks as primary procurement pathways: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000"/>
        <w:gridCol w:w="2200"/>
        <w:gridCol w:w="1500"/>
        <w:gridCol w:w="1460"/>
      </w:tblGrid>
      <w:tr>
        <w:tc>
          <w:tcPr>
            <w:tcW w:type="dxa" w:w="2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Department</w:t>
            </w:r>
          </w:p>
        </w:tc>
        <w:tc>
          <w:tcPr>
            <w:tcW w:type="dxa" w:w="20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Entry Contact</w:t>
            </w:r>
          </w:p>
        </w:tc>
        <w:tc>
          <w:tcPr>
            <w:tcW w:type="dxa" w:w="2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Contract Type</w:t>
            </w:r>
          </w:p>
        </w:tc>
        <w:tc>
          <w:tcPr>
            <w:tcW w:type="dxa" w:w="15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Timeline</w:t>
            </w:r>
          </w:p>
        </w:tc>
        <w:tc>
          <w:tcPr>
            <w:tcW w:type="dxa" w:w="14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Value Range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Dept. of Social Development (DSD)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DDG: Social Welfare — Director General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Outcome-based service delivery. Per-placement + retention monitoring.</w:t>
            </w:r>
          </w:p>
        </w:tc>
        <w:tc>
          <w:tcPr>
            <w:tcW w:type="dxa" w:w="15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Month 3–6 MOU; Month 6–9 contract</w:t>
            </w:r>
          </w:p>
        </w:tc>
        <w:tc>
          <w:tcPr>
            <w:tcW w:type="dxa" w:w="14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R5M–R50M/year per province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Dept. of Employment &amp; Labour (DoL)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ESSA Director — Employment Services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EPWP sub-contractor + SETA qualification alignment</w:t>
            </w:r>
          </w:p>
        </w:tc>
        <w:tc>
          <w:tcPr>
            <w:tcW w:type="dxa" w:w="15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Month 4–8 engagement</w:t>
            </w:r>
          </w:p>
        </w:tc>
        <w:tc>
          <w:tcPr>
            <w:tcW w:type="dxa" w:w="14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R3M–R30M nationally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Dept. of Correctional Services (DCS)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Community Corrections Director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Post-release rehabilitation + community corrections outcome contract</w:t>
            </w:r>
          </w:p>
        </w:tc>
        <w:tc>
          <w:tcPr>
            <w:tcW w:type="dxa" w:w="15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Month 6–12 (requires security clearance)</w:t>
            </w:r>
          </w:p>
        </w:tc>
        <w:tc>
          <w:tcPr>
            <w:tcW w:type="dxa" w:w="14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R5M–R25M per facility programme</w:t>
            </w:r>
          </w:p>
        </w:tc>
      </w:tr>
      <w:tr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City of Johannesburg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Economic Development MMC — Informal economy transition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Municipal pilot — Social Relief of Distress + informal economy formalisation</w:t>
            </w:r>
          </w:p>
        </w:tc>
        <w:tc>
          <w:tcPr>
            <w:tcW w:type="dxa" w:w="15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Month 3–5 — fastest entry</w:t>
            </w:r>
          </w:p>
        </w:tc>
        <w:tc>
          <w:tcPr>
            <w:tcW w:type="dxa" w:w="14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R2M–R15M pilot</w:t>
            </w:r>
          </w:p>
        </w:tc>
      </w:tr>
    </w:tbl>
    <w:p>
      <w:pPr>
        <w:pStyle w:val="Heading2"/>
        <w:spacing w:before="240" w:after="10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2.2 S.E.T.H.S Employer Network GTM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The employer network is a B2B sales motion targeting HR directors at companies seeking B-BBEE points, EE targets, and Skills Development Levy recapture through S.E.T.H.S placements:</w:t>
      </w:r>
    </w:p>
    <w:tbl>
      <w:tblPr>
        <w:tblW w:type="dxa" w:w="8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400"/>
        <w:gridCol w:w="2400"/>
        <w:gridCol w:w="1760"/>
      </w:tblGrid>
      <w:tr>
        <w:tc>
          <w:tcPr>
            <w:tcW w:type="dxa" w:w="1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Segment</w:t>
            </w:r>
          </w:p>
        </w:tc>
        <w:tc>
          <w:tcPr>
            <w:tcW w:type="dxa" w:w="24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Value Proposition</w:t>
            </w:r>
          </w:p>
        </w:tc>
        <w:tc>
          <w:tcPr>
            <w:tcW w:type="dxa" w:w="24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B2B Sales Approach</w:t>
            </w:r>
          </w:p>
        </w:tc>
        <w:tc>
          <w:tcPr>
            <w:tcW w:type="dxa" w:w="17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Year 1 Target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JSE-listed manufacturing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BBBEE enhanced, ETI tax credits, skills levy recapture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Direct HR director outreach + chamber of commerce partnerships</w:t>
            </w:r>
          </w:p>
        </w:tc>
        <w:tc>
          <w:tcPr>
            <w:tcW w:type="dxa" w:w="17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 signed LOIs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Construction companies (CIDB registered)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Trained, verified, safety-certified construction workforce for REIPP projects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T.S project co-employment model; direct T.S partnership</w:t>
            </w:r>
          </w:p>
        </w:tc>
        <w:tc>
          <w:tcPr>
            <w:tcW w:type="dxa" w:w="17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 signed agreements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Healthcare (private sector)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Community health workers trained to CHW qualification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DOH/SANC aligned curriculum; NHI preparedness positioning</w:t>
            </w:r>
          </w:p>
        </w:tc>
        <w:tc>
          <w:tcPr>
            <w:tcW w:type="dxa" w:w="17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3 signed agreements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Agriculture (corporate farms, agritech)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Vertical farming technicians; precision agriculture operators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T.S AgriTech partnership; food security grant alignment</w:t>
            </w:r>
          </w:p>
        </w:tc>
        <w:tc>
          <w:tcPr>
            <w:tcW w:type="dxa" w:w="17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3 signed agreements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3. UDOC GTM — ENTERPRISE SAAS STRATEGY</w:t>
      </w:r>
    </w:p>
    <w:p>
      <w:pPr>
        <w:pStyle w:val="Heading2"/>
        <w:spacing w:before="240" w:after="10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3.1 Product-Market Fit Analysis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UDOC's GTM is driven by regulatory urgency. Enterprise clients are not buying a product they want — they are buying infrastructure they are required to have. This pull-based demand creates an enterprise sales environment where UDOC is the solution to a problem that cannot be ignored.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000"/>
        <w:gridCol w:w="2200"/>
        <w:gridCol w:w="3160"/>
      </w:tblGrid>
      <w:tr>
        <w:tc>
          <w:tcPr>
            <w:tcW w:type="dxa" w:w="20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Trigger</w:t>
            </w:r>
          </w:p>
        </w:tc>
        <w:tc>
          <w:tcPr>
            <w:tcW w:type="dxa" w:w="20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Target Companies</w:t>
            </w:r>
          </w:p>
        </w:tc>
        <w:tc>
          <w:tcPr>
            <w:tcW w:type="dxa" w:w="2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UDOC Value Proposition</w:t>
            </w:r>
          </w:p>
        </w:tc>
        <w:tc>
          <w:tcPr>
            <w:tcW w:type="dxa" w:w="31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Entry Message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EU AI Act enforcement (2024–2025)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JSE-listed companies with EU operations — Naspers, Steinhoff, Standard Bank, Investec, Aspen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 as EU AI Act compliance infrastructure. Automated audit logs, explainability, risk tier classification.</w:t>
            </w:r>
          </w:p>
        </w:tc>
        <w:tc>
          <w:tcPr>
            <w:tcW w:type="dxa" w:w="3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"You have 12 months to comply or face €30M fines. UDOC makes compliance automated."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POPIA AI enforcement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All regulated industries in SA — banks, insurers, healthcare, legal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 as POPIA Section 22 compliance layer for automated AI decisions</w:t>
            </w:r>
          </w:p>
        </w:tc>
        <w:tc>
          <w:tcPr>
            <w:tcW w:type="dxa" w:w="3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"POPIA makes you liable for every unexplained AI decision. UDOC documents them all."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Board AI governance pressure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Big 4 auditors, professional services, asset managers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 as board-level AI governance certification</w:t>
            </w:r>
          </w:p>
        </w:tc>
        <w:tc>
          <w:tcPr>
            <w:tcW w:type="dxa" w:w="3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"Your board cannot govern what it cannot audit. UDOC makes AI governance visible."</w:t>
            </w:r>
          </w:p>
        </w:tc>
      </w:tr>
      <w:tr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Government digital sovereignty</w:t>
            </w:r>
          </w:p>
        </w:tc>
        <w:tc>
          <w:tcPr>
            <w:tcW w:type="dxa" w:w="20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DPSA, SARS, SASSA, IEC, Home Affairs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 as national AI governance backbone — sovereign, auditable, constitutionally aligned</w:t>
            </w:r>
          </w:p>
        </w:tc>
        <w:tc>
          <w:tcPr>
            <w:tcW w:type="dxa" w:w="3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"Foreign cloud and unaudited AI is a constitutional vulnerability. UDOC is the solution."</w:t>
            </w:r>
          </w:p>
        </w:tc>
      </w:tr>
    </w:tbl>
    <w:p>
      <w:pPr>
        <w:pStyle w:val="Heading2"/>
        <w:spacing w:before="240" w:after="10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3.2 UDOC Sales Motion — 6-Step Enterprise Cycle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400"/>
        <w:gridCol w:w="1600"/>
        <w:gridCol w:w="1200"/>
        <w:gridCol w:w="3560"/>
      </w:tblGrid>
      <w:tr>
        <w:tc>
          <w:tcPr>
            <w:tcW w:type="dxa" w:w="6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Step</w:t>
            </w:r>
          </w:p>
        </w:tc>
        <w:tc>
          <w:tcPr>
            <w:tcW w:type="dxa" w:w="24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Activity</w:t>
            </w:r>
          </w:p>
        </w:tc>
        <w:tc>
          <w:tcPr>
            <w:tcW w:type="dxa" w:w="16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Owner</w:t>
            </w:r>
          </w:p>
        </w:tc>
        <w:tc>
          <w:tcPr>
            <w:tcW w:type="dxa" w:w="1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Timeline</w:t>
            </w:r>
          </w:p>
        </w:tc>
        <w:tc>
          <w:tcPr>
            <w:tcW w:type="dxa" w:w="35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Output</w:t>
            </w:r>
          </w:p>
        </w:tc>
      </w:tr>
      <w:tr>
        <w:tc>
          <w:tcPr>
            <w:tcW w:type="dxa" w:w="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1. Executive Access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CEO/CTO briefing — AI governance landscape and compliance exposure assessment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Founder + UDOC CGO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Month 1–2</w:t>
            </w:r>
          </w:p>
        </w:tc>
        <w:tc>
          <w:tcPr>
            <w:tcW w:type="dxa" w:w="3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Qualified opportunity; C-suite sponsor identified</w:t>
            </w:r>
          </w:p>
        </w:tc>
      </w:tr>
      <w:tr>
        <w:tc>
          <w:tcPr>
            <w:tcW w:type="dxa" w:w="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2. Technical Discovery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IT architecture review; AI systems inventory; compliance gap analysis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 Engineering Lead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Month 2–3</w:t>
            </w:r>
          </w:p>
        </w:tc>
        <w:tc>
          <w:tcPr>
            <w:tcW w:type="dxa" w:w="3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Scope defined; ROI model built</w:t>
            </w:r>
          </w:p>
        </w:tc>
      </w:tr>
      <w:tr>
        <w:tc>
          <w:tcPr>
            <w:tcW w:type="dxa" w:w="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3. Pilot Proposal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3-month pilot: AI Decision Audit Log deployment on 1 AI system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 Product Manager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Month 3–4</w:t>
            </w:r>
          </w:p>
        </w:tc>
        <w:tc>
          <w:tcPr>
            <w:tcW w:type="dxa" w:w="3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Pilot agreement signed; R500K–R2M pilot contract</w:t>
            </w:r>
          </w:p>
        </w:tc>
      </w:tr>
      <w:tr>
        <w:tc>
          <w:tcPr>
            <w:tcW w:type="dxa" w:w="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4. Pilot Execution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Pilot deployment, onboarding, first audit logs generated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 Implementation Team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Month 4–7</w:t>
            </w:r>
          </w:p>
        </w:tc>
        <w:tc>
          <w:tcPr>
            <w:tcW w:type="dxa" w:w="3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Live system; governance events audited; client proof</w:t>
            </w:r>
          </w:p>
        </w:tc>
      </w:tr>
      <w:tr>
        <w:tc>
          <w:tcPr>
            <w:tcW w:type="dxa" w:w="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5. Commercial Close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Annual enterprise SaaS agreement for all AI systems in client environment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CEO + UDOC CGO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Month 6–9</w:t>
            </w:r>
          </w:p>
        </w:tc>
        <w:tc>
          <w:tcPr>
            <w:tcW w:type="dxa" w:w="3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R3M–R7M ACV signed contract</w:t>
            </w:r>
          </w:p>
        </w:tc>
      </w:tr>
      <w:tr>
        <w:tc>
          <w:tcPr>
            <w:tcW w:type="dxa" w:w="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6. Expansion</w:t>
            </w:r>
          </w:p>
        </w:tc>
        <w:tc>
          <w:tcPr>
            <w:tcW w:type="dxa" w:w="2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Additional AI systems onboarded; bias detection expanded; govt module considered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Client Success Manager</w:t>
            </w:r>
          </w:p>
        </w:tc>
        <w:tc>
          <w:tcPr>
            <w:tcW w:type="dxa" w:w="1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Ongoing</w:t>
            </w:r>
          </w:p>
        </w:tc>
        <w:tc>
          <w:tcPr>
            <w:tcW w:type="dxa" w:w="35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NRR 130%+ through expansion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4. T.S INDUSTRIES GTM — INFRASTRUCTURE PROJECT STRATEGY</w:t>
      </w:r>
    </w:p>
    <w:p>
      <w:pPr>
        <w:pStyle w:val="Heading2"/>
        <w:spacing w:before="240" w:after="10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4.1 First-Mover Project Identification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T.S enters the market through projects identified and pre-qualified during Phase 1 (Months 1–12), structured so that first construction commences by Month 14–18 using S.E.T.H.S Stream A graduates: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200"/>
        <w:gridCol w:w="1400"/>
        <w:gridCol w:w="1600"/>
        <w:gridCol w:w="2360"/>
      </w:tblGrid>
      <w:tr>
        <w:tc>
          <w:tcPr>
            <w:tcW w:type="dxa" w:w="1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Project Type</w:t>
            </w:r>
          </w:p>
        </w:tc>
        <w:tc>
          <w:tcPr>
            <w:tcW w:type="dxa" w:w="2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Entry Mechanism</w:t>
            </w:r>
          </w:p>
        </w:tc>
        <w:tc>
          <w:tcPr>
            <w:tcW w:type="dxa" w:w="14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Target Value</w:t>
            </w:r>
          </w:p>
        </w:tc>
        <w:tc>
          <w:tcPr>
            <w:tcW w:type="dxa" w:w="16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Timeline to Financial Close</w:t>
            </w:r>
          </w:p>
        </w:tc>
        <w:tc>
          <w:tcPr>
            <w:tcW w:type="dxa" w:w="23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S.E.T.H.S Integration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Solar EPC — C&amp;I (Commercial &amp; Industrial)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Direct approach to large commercial property owners and industrial facilities with high power costs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R5M–R50M per project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Month 10–14</w:t>
            </w:r>
          </w:p>
        </w:tc>
        <w:tc>
          <w:tcPr>
            <w:tcW w:type="dxa" w:w="2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Stream A graduates as installation workforce; T.S employs 15–30 per project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REIPP Round 7 Application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Register as CIDB-certified contractor; partner with experienced IPP developer for first application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R50M–R2B/project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Month 18–30 (REIPP timeline)</w:t>
            </w:r>
          </w:p>
        </w:tc>
        <w:tc>
          <w:tcPr>
            <w:tcW w:type="dxa" w:w="2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100+ S.E.T.H.S graduates per large REIPP project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Municipal Housing (BNG/Social Housing)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DFFE/DHS provincial contract; NHBRC-compliant modular system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R10M–R200M/development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Month 12–18 for provincial tender award</w:t>
            </w:r>
          </w:p>
        </w:tc>
        <w:tc>
          <w:tcPr>
            <w:tcW w:type="dxa" w:w="2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Stream A construction graduates form core workforce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Vertical Farming Pilot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Municipal food security programme partnership; government food security grant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R2M–R20M pilot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Month 6–12 MOU; Month 12–18 construction</w:t>
            </w:r>
          </w:p>
        </w:tc>
        <w:tc>
          <w:tcPr>
            <w:tcW w:type="dxa" w:w="2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Stream C agricultural graduates as farm operators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5. M.A.D.I.B.A GTM — INSTITUTIONAL CAPITAL STRATEGY</w:t>
      </w:r>
    </w:p>
    <w:p>
      <w:pPr>
        <w:pStyle w:val="Heading2"/>
        <w:spacing w:before="240" w:after="100"/>
      </w:pPr>
      <w:r>
        <w:rPr>
          <w:b/>
          <w:bCs/>
          <w:color w:val="060E1C"/>
          <w:sz w:val="28"/>
          <w:szCs w:val="28"/>
          <w:rFonts w:ascii="Georgia" w:cs="Georgia" w:eastAsia="Georgia" w:hAnsi="Georgia"/>
        </w:rPr>
        <w:t xml:space="preserve">5.1 DFI Engagement Strategy</w:t>
      </w:r>
    </w:p>
    <w:p>
      <w:pPr>
        <w:spacing w:before="80" w:after="80"/>
      </w:pPr>
      <w:r>
        <w:rPr>
          <w:color w:val="1A1A2E"/>
          <w:sz w:val="20"/>
          <w:szCs w:val="20"/>
          <w:rFonts w:ascii="Arial" w:cs="Arial" w:eastAsia="Arial" w:hAnsi="Arial"/>
        </w:rPr>
        <w:t xml:space="preserve">M.A.D.I.B.A's GTM begins in Phase 1 — building DFI relationships and fund structural groundwork before the capital raise formally opens. The sequence is: relationship first, proof second, capital third.</w:t>
      </w:r>
    </w:p>
    <w:tbl>
      <w:tblPr>
        <w:tblW w:type="dxa" w:w="8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1600"/>
        <w:gridCol w:w="2200"/>
        <w:gridCol w:w="1400"/>
        <w:gridCol w:w="1360"/>
      </w:tblGrid>
      <w:tr>
        <w:tc>
          <w:tcPr>
            <w:tcW w:type="dxa" w:w="18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Institution</w:t>
            </w:r>
          </w:p>
        </w:tc>
        <w:tc>
          <w:tcPr>
            <w:tcW w:type="dxa" w:w="16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Entry Point</w:t>
            </w:r>
          </w:p>
        </w:tc>
        <w:tc>
          <w:tcPr>
            <w:tcW w:type="dxa" w:w="2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G.O.D.S Value Proposition</w:t>
            </w:r>
          </w:p>
        </w:tc>
        <w:tc>
          <w:tcPr>
            <w:tcW w:type="dxa" w:w="14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Timeline to Engagement</w:t>
            </w:r>
          </w:p>
        </w:tc>
        <w:tc>
          <w:tcPr>
            <w:tcW w:type="dxa" w:w="13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Target Capital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DBSA (Development Bank of SA)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Social Infrastructure + Digital Transformation desks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 as digital governance infrastructure qualifying for DBSA mandate. S.E.T.H.S as SEF co-funder.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Month 1–3 (parallel to seed round)</w:t>
            </w:r>
          </w:p>
        </w:tc>
        <w:tc>
          <w:tcPr>
            <w:tcW w:type="dxa" w:w="1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R10M–R50M seed/grant + Series A anchor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IDC (Industrial Development Corp)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Agro-processing + Digital Economy + Social Impact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T.S AgriTech and Energy as IDC manufacturing/industrial mandate. S.E.T.H.S skills development.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Month 2–4</w:t>
            </w:r>
          </w:p>
        </w:tc>
        <w:tc>
          <w:tcPr>
            <w:tcW w:type="dxa" w:w="1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R10M–R30M seed + Series A participation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IFC (International Finance Corp)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Financial institutions + governance + infrastructure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UDOC as financial sector AI governance standard. T.S infrastructure finance.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Month 6–12</w:t>
            </w:r>
          </w:p>
        </w:tc>
        <w:tc>
          <w:tcPr>
            <w:tcW w:type="dxa" w:w="1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Series A co-investor R10M–R25M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AfDB (African Development Bank)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Digital transformation + energy + human capital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Whole-system pitch: G.O.D.S as the first integrated sovereign AI governance + infrastructure platform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Month 12–24</w:t>
            </w:r>
          </w:p>
        </w:tc>
        <w:tc>
          <w:tcPr>
            <w:tcW w:type="dxa" w:w="1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Fund I cornerstone LP R100M–R500M</w:t>
            </w:r>
          </w:p>
        </w:tc>
      </w:tr>
      <w:tr>
        <w:tc>
          <w:tcPr>
            <w:tcW w:type="dxa" w:w="18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PIC/GEPF</w:t>
            </w:r>
          </w:p>
        </w:tc>
        <w:tc>
          <w:tcPr>
            <w:tcW w:type="dxa" w:w="1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Infrastructure + developmental mandate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T.S SPV equity investments. M.A.D.I.B.A Fund I as preferred infrastructure vehicle.</w:t>
            </w:r>
          </w:p>
        </w:tc>
        <w:tc>
          <w:tcPr>
            <w:tcW w:type="dxa" w:w="14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Year 2–3</w:t>
            </w:r>
          </w:p>
        </w:tc>
        <w:tc>
          <w:tcPr>
            <w:tcW w:type="dxa" w:w="13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Fund I/II LP R500M–R2B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C9A84C" w:sz="6"/>
        </w:pBdr>
        <w:spacing w:before="320" w:after="120"/>
      </w:pPr>
      <w:r>
        <w:rPr>
          <w:b/>
          <w:bCs/>
          <w:color w:val="C9A84C"/>
          <w:sz w:val="34"/>
          <w:szCs w:val="34"/>
          <w:rFonts w:ascii="Georgia" w:cs="Georgia" w:eastAsia="Georgia" w:hAnsi="Georgia"/>
        </w:rPr>
        <w:t xml:space="preserve">6. 18-MONTH COMMERCIAL ACTIVATION CALENDAR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200"/>
        <w:gridCol w:w="2200"/>
        <w:gridCol w:w="2200"/>
        <w:gridCol w:w="2160"/>
      </w:tblGrid>
      <w:tr>
        <w:tc>
          <w:tcPr>
            <w:tcW w:type="dxa" w:w="6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Month</w:t>
            </w:r>
          </w:p>
        </w:tc>
        <w:tc>
          <w:tcPr>
            <w:tcW w:type="dxa" w:w="2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S.E.T.H.S</w:t>
            </w:r>
          </w:p>
        </w:tc>
        <w:tc>
          <w:tcPr>
            <w:tcW w:type="dxa" w:w="2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UDOC</w:t>
            </w:r>
          </w:p>
        </w:tc>
        <w:tc>
          <w:tcPr>
            <w:tcW w:type="dxa" w:w="220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T.S</w:t>
            </w:r>
          </w:p>
        </w:tc>
        <w:tc>
          <w:tcPr>
            <w:tcW w:type="dxa" w:w="2160"/>
            <w:tcBorders>
              <w:top w:val="single" w:color="C9A84C" w:sz="6"/>
              <w:left w:val="single" w:color="C9A84C" w:sz="6"/>
              <w:bottom w:val="single" w:color="C9A84C" w:sz="6"/>
              <w:right w:val="single" w:color="C9A84C" w:sz="6"/>
            </w:tcBorders>
            <w:shd w:fill="060E1C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color w:val="C9A84C"/>
                <w:sz w:val="18"/>
                <w:szCs w:val="18"/>
                <w:rFonts w:ascii="Arial" w:cs="Arial" w:eastAsia="Arial" w:hAnsi="Arial"/>
              </w:rPr>
              <w:t xml:space="preserve">M.A.D.I.B.A</w:t>
            </w:r>
          </w:p>
        </w:tc>
      </w:tr>
      <w:tr>
        <w:tc>
          <w:tcPr>
            <w:tcW w:type="dxa" w:w="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1–3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Pilot facility secured. First employer LOIs. Government introductory meetings.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MVP architecture. Engineering team hired. First 3 enterprise prospects qualified.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Project pipeline identified. CIDB registration.</w:t>
            </w:r>
          </w:p>
        </w:tc>
        <w:tc>
          <w:tcPr>
            <w:tcW w:type="dxa" w:w="2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DBSA + IDC engagement initiated. Seed round closing.</w:t>
            </w:r>
          </w:p>
        </w:tc>
      </w:tr>
      <w:tr>
        <w:tc>
          <w:tcPr>
            <w:tcW w:type="dxa" w:w="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3–6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Participant recruitment (50). First government MOU.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First enterprise client pilot agreement signed.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First project feasibility study. Government MOU for T.S project.</w:t>
            </w:r>
          </w:p>
        </w:tc>
        <w:tc>
          <w:tcPr>
            <w:tcW w:type="dxa" w:w="2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Series A materials prepared. IFC introductory meetings.</w:t>
            </w:r>
          </w:p>
        </w:tc>
      </w:tr>
      <w:tr>
        <w:tc>
          <w:tcPr>
            <w:tcW w:type="dxa" w:w="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6–9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50 participants in programme.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First enterprise client live. Audit logs generating.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First project SPV designed.</w:t>
            </w:r>
          </w:p>
        </w:tc>
        <w:tc>
          <w:tcPr>
            <w:tcW w:type="dxa" w:w="2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Series A roadshow commences.</w:t>
            </w:r>
          </w:p>
        </w:tc>
      </w:tr>
      <w:tr>
        <w:tc>
          <w:tcPr>
            <w:tcW w:type="dxa" w:w="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9–12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First placements (target 30+). Government outcome data documented.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2nd enterprise client live. Government pilot MOU.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First project financial close.</w:t>
            </w:r>
          </w:p>
        </w:tc>
        <w:tc>
          <w:tcPr>
            <w:tcW w:type="dxa" w:w="2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Series A term sheet in negotiation.</w:t>
            </w:r>
          </w:p>
        </w:tc>
      </w:tr>
      <w:tr>
        <w:tc>
          <w:tcPr>
            <w:tcW w:type="dxa" w:w="6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12–18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100+ placements. Master government contract award.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3+ enterprise clients. Government sovereign pilot live.</w:t>
            </w:r>
          </w:p>
        </w:tc>
        <w:tc>
          <w:tcPr>
            <w:tcW w:type="dxa" w:w="220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First T.S project construction commences. 15+ S.E.T.H.S employed.</w:t>
            </w:r>
          </w:p>
        </w:tc>
        <w:tc>
          <w:tcPr>
            <w:tcW w:type="dxa" w:w="2160"/>
            <w:tcBorders>
              <w:top w:val="single" w:color="D4D4D4" w:sz="4"/>
              <w:left w:val="single" w:color="D4D4D4" w:sz="4"/>
              <w:bottom w:val="single" w:color="D4D4D4" w:sz="4"/>
              <w:right w:val="single" w:color="D4D4D4" w:sz="4"/>
            </w:tcBorders>
            <w:shd w:fill="F9F7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color w:val="1A1A2E"/>
                <w:sz w:val="18"/>
                <w:szCs w:val="18"/>
                <w:rFonts w:ascii="Arial" w:cs="Arial" w:eastAsia="Arial" w:hAnsi="Arial"/>
              </w:rPr>
              <w:t xml:space="preserve">Series A closed. M.A.D.I.B.A Fund I feasibility study.</w:t>
            </w:r>
          </w:p>
        </w:tc>
      </w:tr>
    </w:tbl>
    <w:p>
      <w:pPr>
        <w:pBdr>
          <w:bottom w:val="single" w:color="C9A84C" w:sz="6"/>
        </w:pBdr>
        <w:spacing w:before="160" w:after="160"/>
      </w:pPr>
    </w:p>
    <w:p>
      <w:pPr>
        <w:jc w:val="center"/>
      </w:pPr>
      <w:r>
        <w:rPr>
          <w:color w:val="8A8A9A"/>
          <w:sz w:val="18"/>
          <w:szCs w:val="18"/>
          <w:rFonts w:ascii="Arial" w:cs="Arial" w:eastAsia="Arial" w:hAnsi="Arial"/>
        </w:rPr>
        <w:t xml:space="preserve">G.O.D.S Holdings (Pty) Ltd | Go-to-Market Strategy | March 2026 | CONFIDENTIAL</w:t>
      </w:r>
    </w:p>
    <w:sectPr>
      <w:headerReference w:type="default" r:id="rId6"/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A84C" w:sz="4"/>
      </w:pBdr>
      <w:jc w:val="center"/>
    </w:pPr>
    <w:r>
      <w:rPr>
        <w:color w:val="8A8A9A"/>
        <w:sz w:val="14"/>
        <w:szCs w:val="14"/>
        <w:rFonts w:ascii="Arial" w:cs="Arial" w:eastAsia="Arial" w:hAnsi="Arial"/>
      </w:rPr>
      <w:t xml:space="preserve">CONFIDENTIAL  |  © 2026 G.O.D.S Holdings (Pty) Ltd  |  Johannesburg, South Africa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9A84C" w:sz="6"/>
      </w:pBdr>
    </w:pPr>
    <w:r>
      <w:rPr>
        <w:color w:val="8A8A9A"/>
        <w:sz w:val="16"/>
        <w:szCs w:val="16"/>
        <w:rFonts w:ascii="Arial" w:cs="Arial" w:eastAsia="Arial" w:hAnsi="Arial"/>
      </w:rPr>
      <w:t xml:space="preserve">G.O.D.S Holdings (Pty) Ltd  |  Go-to-Market Strategy  |  CONFIDENTIAL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0"/>
        <w:szCs w:val="20"/>
        <w:rFonts w:ascii="Arial" w:cs="Arial" w:eastAsia="Arial" w:hAnsi="Arial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before="320" w:after="120"/>
      <w:outlineLvl w:val="0"/>
    </w:pPr>
    <w:rPr>
      <w:b/>
      <w:bCs/>
      <w:color w:val="C9A84C"/>
      <w:sz w:val="34"/>
      <w:szCs w:val="34"/>
      <w:rFonts w:ascii="Georgia" w:cs="Georgia" w:eastAsia="Georgia" w:hAnsi="Georgia"/>
    </w:rPr>
  </w:style>
  <w:style w:type="paragraph" w:styleId="Heading2">
    <w:name w:val="Heading 2"/>
    <w:basedOn w:val="Normal"/>
    <w:next w:val="Normal"/>
    <w:qFormat/>
    <w:pPr>
      <w:spacing w:before="240" w:after="100"/>
      <w:outlineLvl w:val="1"/>
    </w:pPr>
    <w:rPr>
      <w:b/>
      <w:bCs/>
      <w:color w:val="060E1C"/>
      <w:sz w:val="28"/>
      <w:szCs w:val="28"/>
      <w:rFonts w:ascii="Georgia" w:cs="Georgia" w:eastAsia="Georgia" w:hAnsi="Georgia"/>
    </w:rPr>
  </w:style>
  <w:style w:type="paragraph" w:styleId="Heading3">
    <w:name w:val="Heading 3"/>
    <w:basedOn w:val="Normal"/>
    <w:next w:val="Normal"/>
    <w:qFormat/>
    <w:pPr>
      <w:spacing w:before="160" w:after="80"/>
      <w:outlineLvl w:val="2"/>
    </w:pPr>
    <w:rPr>
      <w:b/>
      <w:bCs/>
      <w:color w:val="333355"/>
      <w:sz w:val="22"/>
      <w:szCs w:val="22"/>
      <w:rFonts w:ascii="Arial" w:cs="Arial" w:eastAsia="Arial" w:hAnsi="Arial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2026-04-12T22:20:39.615Z</dcterms:created>
  <dcterms:modified xsi:type="dcterms:W3CDTF">2026-04-12T22:20:39.615Z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