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0"/>
      </w:pPr>
    </w:p>
    <w:p>
      <w:pPr>
        <w:spacing w:before="40"/>
      </w:pPr>
    </w:p>
    <w:p>
      <w:pPr>
        <w:spacing w:before="40"/>
      </w:pPr>
    </w:p>
    <w:p>
      <w:pPr>
        <w:spacing w:before="200" w:after="80"/>
        <w:jc w:val="center"/>
      </w:pPr>
      <w:r>
        <w:rPr>
          <w:b/>
          <w:bCs/>
          <w:color w:val="C9A84C"/>
          <w:sz w:val="56"/>
          <w:szCs w:val="56"/>
          <w:rFonts w:ascii="Georgia" w:cs="Georgia" w:eastAsia="Georgia" w:hAnsi="Georgia"/>
        </w:rPr>
        <w:t xml:space="preserve">G.O.D.S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Good Orderly Directional Systems</w:t>
      </w:r>
    </w:p>
    <w:p>
      <w:pPr>
        <w:pBdr>
          <w:bottom w:val="single" w:color="C9A84C" w:sz="6"/>
        </w:pBdr>
        <w:spacing w:before="160" w:after="160"/>
      </w:pP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GOVERNMENT PROCUREMENT STRATEGY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South Africa — Regulatory Pathway, Tender Architecture &amp; PPP Logic</w:t>
      </w:r>
    </w:p>
    <w:p>
      <w:pPr>
        <w:spacing w:before="40"/>
      </w:pPr>
    </w:p>
    <w:p>
      <w:pPr>
        <w:spacing w:before="40" w:after="40"/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| March 2026 | Access Level 2 — Institutional</w:t>
      </w:r>
    </w:p>
    <w:p>
      <w:pPr>
        <w:spacing w:before="40"/>
      </w:pPr>
    </w:p>
    <w:p>
      <w:pPr>
        <w:spacing w:before="40" w:after="40"/>
        <w:jc w:val="center"/>
      </w:pPr>
      <w:r>
        <w:rPr>
          <w:i/>
          <w:iCs/>
          <w:color w:val="8A8A9A"/>
          <w:sz w:val="14"/>
          <w:szCs w:val="14"/>
          <w:rFonts w:ascii="Arial" w:cs="Arial" w:eastAsia="Arial" w:hAnsi="Arial"/>
        </w:rPr>
        <w:t xml:space="preserve">CONFIDENTIAL — GOVERNMENT PROCUREMENT STRATEGY — G.O.D.S Holdings (Pty) Ltd — March 2026</w:t>
      </w:r>
    </w:p>
    <w:p>
      <w:pPr>
        <w:pBdr>
          <w:top w:val="single" w:color="E8E4DA" w:sz="4"/>
          <w:bottom w:val="single" w:color="E8E4DA" w:sz="4"/>
          <w:left w:val="single" w:color="C9A84C" w:sz="12"/>
          <w:right w:val="single" w:color="E8E4DA" w:sz="4"/>
        </w:pBdr>
        <w:spacing w:before="160" w:after="160"/>
      </w:pPr>
      <w:r>
        <w:rPr>
          <w:i/>
          <w:iCs/>
          <w:color w:val="060E1C"/>
          <w:sz w:val="22"/>
          <w:szCs w:val="22"/>
          <w:rFonts w:ascii="Georgia" w:cs="Georgia" w:eastAsia="Georgia" w:hAnsi="Georgia"/>
        </w:rPr>
        <w:t xml:space="preserve">G.O.D.S engages government not as a supplicant seeking funding, but as a delivery partner offering outcomes. Every engagement pathway is PFMA/MFMA compliant, Treasury-aligned, and auditable from first contact to final payment.</w:t>
      </w:r>
    </w:p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1. PROCUREMENT PHILOSOPHY &amp; CONSTITUTIONAL MANDATE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G.O.D.S's government procurement strategy is not a sales strategy — it is a constitutional requirement. Constitutional Pillar III (Sovereign Respect) requires that all government partnerships are structured through existing legal mechanisms, maintain government co-ownership, and preserve democratic accountability. Constitutional Pillar VIII (Human Primacy in AI) requires that all UDOC government deployments include human override architecture — a design requirement that is constitutionally mandated, not commercially optional.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The procurement framework is designed to route through existing government mechanisms — not around them. Government does not need to create new procurement categories for G.O.D.S. The categories already exist.</w:t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2. S.E.T.H.S — PROCUREMENT PATHWAYS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600"/>
        <w:gridCol w:w="1600"/>
        <w:gridCol w:w="1600"/>
        <w:gridCol w:w="1200"/>
        <w:gridCol w:w="1760"/>
      </w:tblGrid>
      <w:tr>
        <w:tc>
          <w:tcPr>
            <w:tcW w:type="dxa" w:w="1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Mechanism</w:t>
            </w:r>
          </w:p>
        </w:tc>
        <w:tc>
          <w:tcPr>
            <w:tcW w:type="dxa" w:w="1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Applicable Legislation</w:t>
            </w:r>
          </w:p>
        </w:tc>
        <w:tc>
          <w:tcPr>
            <w:tcW w:type="dxa" w:w="1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Contracting Department</w:t>
            </w:r>
          </w:p>
        </w:tc>
        <w:tc>
          <w:tcPr>
            <w:tcW w:type="dxa" w:w="1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Contract Type</w:t>
            </w:r>
          </w:p>
        </w:tc>
        <w:tc>
          <w:tcPr>
            <w:tcW w:type="dxa" w:w="1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Value Range</w:t>
            </w:r>
          </w:p>
        </w:tc>
        <w:tc>
          <w:tcPr>
            <w:tcW w:type="dxa" w:w="17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Timeline</w:t>
            </w:r>
          </w:p>
        </w:tc>
      </w:tr>
      <w:tr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Social Employment Fund (SEF)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PFMA; National Treasury SEF Framework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National Treasury; Dept. of Public Works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Outcome-based service delivery — per placement + retention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R5M–R50M per cycle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3–6 months MOU; 6–9 months contract</w:t>
            </w:r>
          </w:p>
        </w:tc>
      </w:tr>
      <w:tr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EPWP (Expanded Public Works)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EPWP Policy; DORA allocation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DPW&amp;I; Provincial DSD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Phase 2 programme delivery contract; per-FTE employment subsidy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R2M–R15M per year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6–12 months tender</w:t>
            </w:r>
          </w:p>
        </w:tc>
      </w:tr>
      <w:tr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SETA Grants (MerSETA, Services SETA, W&amp;RSETA)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Skills Development Act 97/1998; SDL Act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Sector-specific SETA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Discretionary + mandatory grant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R500K–R5M per programme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Aligned to SETA annual cycle</w:t>
            </w:r>
          </w:p>
        </w:tc>
      </w:tr>
      <w:tr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Victim Empowerment / Social Development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VEP Policy Framework; DSD budget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Dept. of Social Development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Direct service delivery contract; outcome-payment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R2M–R12M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Relationship 3–6 months; contract 6–12 months</w:t>
            </w:r>
          </w:p>
        </w:tc>
      </w:tr>
      <w:tr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Correctional Services Rehabilitation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Correctional Services Act 111/1998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Dept. of Correctional Services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PPP delivery agreement; outcome-based remuneration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R5M–R25M per facility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12–24 months (security clearance required)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3. UDOC — PROCUREMENT PATHWAYS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600"/>
        <w:gridCol w:w="1600"/>
        <w:gridCol w:w="1800"/>
        <w:gridCol w:w="1200"/>
        <w:gridCol w:w="1260"/>
      </w:tblGrid>
      <w:tr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Mechanism</w:t>
            </w:r>
          </w:p>
        </w:tc>
        <w:tc>
          <w:tcPr>
            <w:tcW w:type="dxa" w:w="1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Legislation</w:t>
            </w:r>
          </w:p>
        </w:tc>
        <w:tc>
          <w:tcPr>
            <w:tcW w:type="dxa" w:w="1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Contracting Entity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Contract Type</w:t>
            </w:r>
          </w:p>
        </w:tc>
        <w:tc>
          <w:tcPr>
            <w:tcW w:type="dxa" w:w="1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Value Range</w:t>
            </w:r>
          </w:p>
        </w:tc>
        <w:tc>
          <w:tcPr>
            <w:tcW w:type="dxa" w:w="12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Priority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DPSA ICT Procurement Framework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DPSA ICT Policy Framework; Govt Immovable Asset Mgmt Act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DPSA; SITA; line departments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Transversal contract; G-Cloud registration; direct contract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R5M–R200M per annum</w:t>
            </w:r>
          </w:p>
        </w:tc>
        <w:tc>
          <w:tcPr>
            <w:tcW w:type="dxa" w:w="12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HIGHEST — Phase 2 target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SITA Transversal Contract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SITA Act 88/1998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SITA as lead agency; all national depts as adopters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Transversal SaaS — all departments adopt without separate tender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R10M–R500M aggregate</w:t>
            </w:r>
          </w:p>
        </w:tc>
        <w:tc>
          <w:tcPr>
            <w:tcW w:type="dxa" w:w="12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HIGHEST — unlocks all-of-govt deployment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Presidential Commission on 4IR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4IR Commission Report; DCDT digital economy strategy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DCDT; The Presidency; GSAB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Strategic partner agreement; pilot funding; co-development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R1M–R20M</w:t>
            </w:r>
          </w:p>
        </w:tc>
        <w:tc>
          <w:tcPr>
            <w:tcW w:type="dxa" w:w="12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Phase 1 relationship builder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Local Government AI Governance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Municipal Systems Act 32/2000; SALGA AI policy guidance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Municipalities; SALGA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Municipal procurement (3 quotes or tender); SaaS subscription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R500K–R5M per municipality</w:t>
            </w:r>
          </w:p>
        </w:tc>
        <w:tc>
          <w:tcPr>
            <w:tcW w:type="dxa" w:w="12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Phase 2 SADC expansion prep</w:t>
            </w:r>
          </w:p>
        </w:tc>
      </w:tr>
    </w:tbl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4. T.S INDUSTRIES — PROCUREMENT PATHWAYS</w:t>
      </w:r>
    </w:p>
    <w:tbl>
      <w:tblPr>
        <w:tblW w:type="dxa" w:w="8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600"/>
        <w:gridCol w:w="1700"/>
        <w:gridCol w:w="1800"/>
        <w:gridCol w:w="1460"/>
      </w:tblGrid>
      <w:tr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Mechanism</w:t>
            </w:r>
          </w:p>
        </w:tc>
        <w:tc>
          <w:tcPr>
            <w:tcW w:type="dxa" w:w="1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Legislation</w:t>
            </w:r>
          </w:p>
        </w:tc>
        <w:tc>
          <w:tcPr>
            <w:tcW w:type="dxa" w:w="17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Contracting Entity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Contract Type</w:t>
            </w:r>
          </w:p>
        </w:tc>
        <w:tc>
          <w:tcPr>
            <w:tcW w:type="dxa" w:w="14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Value Range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CIDB-Registered Contractor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Construction Industry Development Board Act 38/2000</w:t>
            </w:r>
          </w:p>
        </w:tc>
        <w:tc>
          <w:tcPr>
            <w:tcW w:type="dxa" w:w="17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National, provincial, and municipal infrastructure departments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EPC contract; design-build; preferred supplier agreement</w:t>
            </w:r>
          </w:p>
        </w:tc>
        <w:tc>
          <w:tcPr>
            <w:tcW w:type="dxa" w:w="14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R10M–R500M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REIPP (Renewable Energy IPP)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Electricity Regulation Act 4/2006; IPP procurement framework</w:t>
            </w:r>
          </w:p>
        </w:tc>
        <w:tc>
          <w:tcPr>
            <w:tcW w:type="dxa" w:w="17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DMRE; IPP Office; Eskom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20-year Power Purchase Agreement (PPA); project finance structure</w:t>
            </w:r>
          </w:p>
        </w:tc>
        <w:tc>
          <w:tcPr>
            <w:tcW w:type="dxa" w:w="14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R50M–R2B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Housing Subsidy Programme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Housing Act 107/1997; NHBRC compliance</w:t>
            </w:r>
          </w:p>
        </w:tc>
        <w:tc>
          <w:tcPr>
            <w:tcW w:type="dxa" w:w="17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Human Settlements department (provincial)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Turnkey housing delivery contract; subsidy-backed</w:t>
            </w:r>
          </w:p>
        </w:tc>
        <w:tc>
          <w:tcPr>
            <w:tcW w:type="dxa" w:w="14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R5M–R200M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Municipal Infrastructure Grant (MIG)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DORA; National Treasury MIG framework</w:t>
            </w:r>
          </w:p>
        </w:tc>
        <w:tc>
          <w:tcPr>
            <w:tcW w:type="dxa" w:w="17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Municipalities (Section 56 officers)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Infrastructure delivery contract; municipal procurement (SCM Policy)</w:t>
            </w:r>
          </w:p>
        </w:tc>
        <w:tc>
          <w:tcPr>
            <w:tcW w:type="dxa" w:w="14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R2M–R100M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National Green Hydrogen Initiative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SA Hydrogen Society Roadmap; DMRE</w:t>
            </w:r>
          </w:p>
        </w:tc>
        <w:tc>
          <w:tcPr>
            <w:tcW w:type="dxa" w:w="17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DMRE; IDC; Eskom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Pilot project agreement; blended finance structure</w:t>
            </w:r>
          </w:p>
        </w:tc>
        <w:tc>
          <w:tcPr>
            <w:tcW w:type="dxa" w:w="14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R20M–R500M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5. PPP / SPV ARCHITECTURE — DETAILED PROCESS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All T.S and UDOC government co-ownership deployments are structured as Public-Private Partnerships under National Treasury Regulation 16 and the PFMA. The PPP framework provides the legal architecture for government co-investment in G.O.D.S-operated infrastructure.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800"/>
        <w:gridCol w:w="2200"/>
        <w:gridCol w:w="1000"/>
        <w:gridCol w:w="2960"/>
      </w:tblGrid>
      <w:tr>
        <w:tc>
          <w:tcPr>
            <w:tcW w:type="dxa" w:w="1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PPP Stage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Process</w:t>
            </w:r>
          </w:p>
        </w:tc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G.O.D.S Action</w:t>
            </w:r>
          </w:p>
        </w:tc>
        <w:tc>
          <w:tcPr>
            <w:tcW w:type="dxa" w:w="1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Timeline</w:t>
            </w:r>
          </w:p>
        </w:tc>
        <w:tc>
          <w:tcPr>
            <w:tcW w:type="dxa" w:w="29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Key Risk</w:t>
            </w:r>
          </w:p>
        </w:tc>
      </w:tr>
      <w:tr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1. Feasibility Study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accounting officer approves feasibility study requirement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submits unsolicited proposal with feasibility data + constitutional mandate briefing</w:t>
            </w:r>
          </w:p>
        </w:tc>
        <w:tc>
          <w:tcPr>
            <w:tcW w:type="dxa" w:w="1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1–3</w:t>
            </w:r>
          </w:p>
        </w:tc>
        <w:tc>
          <w:tcPr>
            <w:tcW w:type="dxa" w:w="2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Accounting officer appetite for unsolicited proposals varies by department</w:t>
            </w:r>
          </w:p>
        </w:tc>
      </w:tr>
      <w:tr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2. PPP Agreement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National Treasury PPP Unit reviews and approves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works with government legal team on PPP agreement structure. COB signs off on constitutional alignment.</w:t>
            </w:r>
          </w:p>
        </w:tc>
        <w:tc>
          <w:tcPr>
            <w:tcW w:type="dxa" w:w="1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3–8</w:t>
            </w:r>
          </w:p>
        </w:tc>
        <w:tc>
          <w:tcPr>
            <w:tcW w:type="dxa" w:w="2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PPP Unit capacity constraints — typically 6–9 month review</w:t>
            </w:r>
          </w:p>
        </w:tc>
      </w:tr>
      <w:tr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3. Competitive Tender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Treasury may require competitive tender for major PPPs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responds to competitive tender; price-quality basis. Constitutional architecture is competitive differentiation.</w:t>
            </w:r>
          </w:p>
        </w:tc>
        <w:tc>
          <w:tcPr>
            <w:tcW w:type="dxa" w:w="1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6–12</w:t>
            </w:r>
          </w:p>
        </w:tc>
        <w:tc>
          <w:tcPr>
            <w:tcW w:type="dxa" w:w="2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Competing bids from international technology vendors</w:t>
            </w:r>
          </w:p>
        </w:tc>
      </w:tr>
      <w:tr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4. SPV Registration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Project SPV registered with government as co-shareholder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registers SPV; government equity contribution via land, cash, or in-kind</w:t>
            </w:r>
          </w:p>
        </w:tc>
        <w:tc>
          <w:tcPr>
            <w:tcW w:type="dxa" w:w="1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8–14</w:t>
            </w:r>
          </w:p>
        </w:tc>
        <w:tc>
          <w:tcPr>
            <w:tcW w:type="dxa" w:w="2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equity contribution mechanism may require Parliamentary approval</w:t>
            </w:r>
          </w:p>
        </w:tc>
      </w:tr>
      <w:tr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5. Financial Close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DFI and private capital committed to SPV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 structures blended finance; DFI closing conditions managed</w:t>
            </w:r>
          </w:p>
        </w:tc>
        <w:tc>
          <w:tcPr>
            <w:tcW w:type="dxa" w:w="1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10–18</w:t>
            </w:r>
          </w:p>
        </w:tc>
        <w:tc>
          <w:tcPr>
            <w:tcW w:type="dxa" w:w="2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DFI conditionality must not conflict with Constitutional Pillars</w:t>
            </w:r>
          </w:p>
        </w:tc>
      </w:tr>
      <w:tr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6. Construction and Operations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executes using S.E.T.H.S workforce; government oversight via SPV board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Monthly reporting to SPV board; UDOC governs project AI systems; COB quarterly oversight</w:t>
            </w:r>
          </w:p>
        </w:tc>
        <w:tc>
          <w:tcPr>
            <w:tcW w:type="dxa" w:w="1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14+</w:t>
            </w:r>
          </w:p>
        </w:tc>
        <w:tc>
          <w:tcPr>
            <w:tcW w:type="dxa" w:w="2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Project delivery quality; workforce retention; weather/supply chain</w:t>
            </w:r>
          </w:p>
        </w:tc>
      </w:tr>
    </w:tbl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6. PFMA &amp; MFMA COMPLIANCE ARCHITECTURE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Legislative Requirement</w:t>
            </w:r>
          </w:p>
        </w:tc>
        <w:tc>
          <w:tcPr>
            <w:tcW w:type="dxa" w:w="63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G.O.D.S Compliance Mechanism</w:t>
            </w:r>
          </w:p>
        </w:tc>
      </w:tr>
      <w:tr>
        <w:tc>
          <w:tcPr>
            <w:tcW w:type="dxa" w:w="3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PFMA Section 38: Accounting officer accountability for public funds</w:t>
            </w:r>
          </w:p>
        </w:tc>
        <w:tc>
          <w:tcPr>
            <w:tcW w:type="dxa" w:w="6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All government contracts include designated accounting officer. UDOC provides independent audit trail for every rand of public funding.</w:t>
            </w:r>
          </w:p>
        </w:tc>
      </w:tr>
      <w:tr>
        <w:tc>
          <w:tcPr>
            <w:tcW w:type="dxa" w:w="3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PFMA Section 51: Internal controls and audit</w:t>
            </w:r>
          </w:p>
        </w:tc>
        <w:tc>
          <w:tcPr>
            <w:tcW w:type="dxa" w:w="6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deployed as independent audit infrastructure — government can verify G.O.D.S programme delivery independently, without G.O.D.S intermediation.</w:t>
            </w:r>
          </w:p>
        </w:tc>
      </w:tr>
      <w:tr>
        <w:tc>
          <w:tcPr>
            <w:tcW w:type="dxa" w:w="3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National Treasury SCM Policy: Procurement documentation</w:t>
            </w:r>
          </w:p>
        </w:tc>
        <w:tc>
          <w:tcPr>
            <w:tcW w:type="dxa" w:w="6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maintains full SCM-compliant documentation for all government contracts. B-BBEE compliance verified by accredited verifier.</w:t>
            </w:r>
          </w:p>
        </w:tc>
      </w:tr>
      <w:tr>
        <w:tc>
          <w:tcPr>
            <w:tcW w:type="dxa" w:w="3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MFMA Section 66: Municipal borrowing and finance</w:t>
            </w:r>
          </w:p>
        </w:tc>
        <w:tc>
          <w:tcPr>
            <w:tcW w:type="dxa" w:w="6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SPVs structured to not create municipal borrowing triggers. SPV equity is investment, not debt.</w:t>
            </w:r>
          </w:p>
        </w:tc>
      </w:tr>
      <w:tr>
        <w:tc>
          <w:tcPr>
            <w:tcW w:type="dxa" w:w="3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B-BBEE Act: Preferential procurement</w:t>
            </w:r>
          </w:p>
        </w:tc>
        <w:tc>
          <w:tcPr>
            <w:tcW w:type="dxa" w:w="6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designed with equity and transformation at core. B-BBEE scorecard available. S.E.T.H.S serves designated groups by programme design.</w:t>
            </w:r>
          </w:p>
        </w:tc>
      </w:tr>
      <w:tr>
        <w:tc>
          <w:tcPr>
            <w:tcW w:type="dxa" w:w="3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Public Protector jurisdiction</w:t>
            </w:r>
          </w:p>
        </w:tc>
        <w:tc>
          <w:tcPr>
            <w:tcW w:type="dxa" w:w="6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All G.O.D.S public-interest deployments within Public Protector oversight. No attempt to exclude from accountability mechanisms.</w:t>
            </w:r>
          </w:p>
        </w:tc>
      </w:tr>
      <w:tr>
        <w:tc>
          <w:tcPr>
            <w:tcW w:type="dxa" w:w="3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PAIA (Promotion of Access to Information Act)</w:t>
            </w:r>
          </w:p>
        </w:tc>
        <w:tc>
          <w:tcPr>
            <w:tcW w:type="dxa" w:w="6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All public interest programme data accessible via PAIA requests. UDOC audit logs structured for PAIA compliance.</w:t>
            </w:r>
          </w:p>
        </w:tc>
      </w:tr>
      <w:tr>
        <w:tc>
          <w:tcPr>
            <w:tcW w:type="dxa" w:w="3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COGTA Municipal oversight</w:t>
            </w:r>
          </w:p>
        </w:tc>
        <w:tc>
          <w:tcPr>
            <w:tcW w:type="dxa" w:w="6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municipal contracts structured with COGTA-aligned reporting. M.A.D.I.B.A SPV structures meet Section 66 debt requirements.</w:t>
            </w:r>
          </w:p>
        </w:tc>
      </w:tr>
    </w:tbl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7. 12-MONTH GOVERNMENT ENGAGEMENT CALENDAR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300"/>
        <w:gridCol w:w="2300"/>
        <w:gridCol w:w="2300"/>
        <w:gridCol w:w="1860"/>
      </w:tblGrid>
      <w:tr>
        <w:tc>
          <w:tcPr>
            <w:tcW w:type="dxa" w:w="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Month</w:t>
            </w:r>
          </w:p>
        </w:tc>
        <w:tc>
          <w:tcPr>
            <w:tcW w:type="dxa" w:w="23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S.E.T.H.S Action</w:t>
            </w:r>
          </w:p>
        </w:tc>
        <w:tc>
          <w:tcPr>
            <w:tcW w:type="dxa" w:w="23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UDOC Action</w:t>
            </w:r>
          </w:p>
        </w:tc>
        <w:tc>
          <w:tcPr>
            <w:tcW w:type="dxa" w:w="23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T.S Action</w:t>
            </w:r>
          </w:p>
        </w:tc>
        <w:tc>
          <w:tcPr>
            <w:tcW w:type="dxa" w:w="18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Responsible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1–2</w:t>
            </w:r>
          </w:p>
        </w:tc>
        <w:tc>
          <w:tcPr>
            <w:tcW w:type="dxa" w:w="2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First DSD, DoL, DCS introductory meetings. Relationship establishment, not contract close.</w:t>
            </w:r>
          </w:p>
        </w:tc>
        <w:tc>
          <w:tcPr>
            <w:tcW w:type="dxa" w:w="2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DPSA and SITA introductory meetings. Present UDOC as national AI governance solution.</w:t>
            </w:r>
          </w:p>
        </w:tc>
        <w:tc>
          <w:tcPr>
            <w:tcW w:type="dxa" w:w="2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DMRE and DHS project pipeline research. CIDB registration initiated.</w:t>
            </w:r>
          </w:p>
        </w:tc>
        <w:tc>
          <w:tcPr>
            <w:tcW w:type="dxa" w:w="18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Founder + COO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3–4</w:t>
            </w:r>
          </w:p>
        </w:tc>
        <w:tc>
          <w:tcPr>
            <w:tcW w:type="dxa" w:w="2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MOU negotiations — DSD or DoL. Submit SEF/EPWP proposal.</w:t>
            </w:r>
          </w:p>
        </w:tc>
        <w:tc>
          <w:tcPr>
            <w:tcW w:type="dxa" w:w="2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SITA technical working group engagement. Submit G-Cloud registration application.</w:t>
            </w:r>
          </w:p>
        </w:tc>
        <w:tc>
          <w:tcPr>
            <w:tcW w:type="dxa" w:w="2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CIDB registration complete. First government project feasibility submission.</w:t>
            </w:r>
          </w:p>
        </w:tc>
        <w:tc>
          <w:tcPr>
            <w:tcW w:type="dxa" w:w="18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COO + S.E.T.H.S Head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5–6</w:t>
            </w:r>
          </w:p>
        </w:tc>
        <w:tc>
          <w:tcPr>
            <w:tcW w:type="dxa" w:w="2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First MOU signed. S.E.T.H.S pilot cohort commences under MOU framework.</w:t>
            </w:r>
          </w:p>
        </w:tc>
        <w:tc>
          <w:tcPr>
            <w:tcW w:type="dxa" w:w="2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DPSA/SITA pilot scoping agreement. 1 government department beta pilot.</w:t>
            </w:r>
          </w:p>
        </w:tc>
        <w:tc>
          <w:tcPr>
            <w:tcW w:type="dxa" w:w="2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project LOI for first T.S project (energy or housing).</w:t>
            </w:r>
          </w:p>
        </w:tc>
        <w:tc>
          <w:tcPr>
            <w:tcW w:type="dxa" w:w="18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Programme Heads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7–9</w:t>
            </w:r>
          </w:p>
        </w:tc>
        <w:tc>
          <w:tcPr>
            <w:tcW w:type="dxa" w:w="2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placement data accumulating. Government outcome reports submitted monthly.</w:t>
            </w:r>
          </w:p>
        </w:tc>
        <w:tc>
          <w:tcPr>
            <w:tcW w:type="dxa" w:w="2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pilot live. First audit logs for public AI system generated.</w:t>
            </w:r>
          </w:p>
        </w:tc>
        <w:tc>
          <w:tcPr>
            <w:tcW w:type="dxa" w:w="2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project SPV design submitted to government partner.</w:t>
            </w:r>
          </w:p>
        </w:tc>
        <w:tc>
          <w:tcPr>
            <w:tcW w:type="dxa" w:w="18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Division Heads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10–12</w:t>
            </w:r>
          </w:p>
        </w:tc>
        <w:tc>
          <w:tcPr>
            <w:tcW w:type="dxa" w:w="2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master contract negotiation based on pilot outcomes.</w:t>
            </w:r>
          </w:p>
        </w:tc>
        <w:tc>
          <w:tcPr>
            <w:tcW w:type="dxa" w:w="2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National AI governance contract submission to SITA transversal framework.</w:t>
            </w:r>
          </w:p>
        </w:tc>
        <w:tc>
          <w:tcPr>
            <w:tcW w:type="dxa" w:w="2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project SPV registration. Financial close target.</w:t>
            </w:r>
          </w:p>
        </w:tc>
        <w:tc>
          <w:tcPr>
            <w:tcW w:type="dxa" w:w="18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COO + Founder</w:t>
            </w:r>
          </w:p>
        </w:tc>
      </w:tr>
    </w:tbl>
    <w:p>
      <w:pPr>
        <w:pBdr>
          <w:bottom w:val="single" w:color="C9A84C" w:sz="6"/>
        </w:pBdr>
        <w:spacing w:before="160" w:after="160"/>
      </w:pPr>
    </w:p>
    <w:p>
      <w:pPr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| Government Procurement Strategy | March 2026 | CONFIDENTIAL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A84C" w:sz="4"/>
      </w:pBdr>
      <w:jc w:val="center"/>
    </w:pPr>
    <w:r>
      <w:rPr>
        <w:color w:val="8A8A9A"/>
        <w:sz w:val="14"/>
        <w:szCs w:val="14"/>
        <w:rFonts w:ascii="Arial" w:cs="Arial" w:eastAsia="Arial" w:hAnsi="Arial"/>
      </w:rPr>
      <w:t xml:space="preserve">CONFIDENTIAL  |  © 2026 G.O.D.S Holdings (Pty) Ltd  |  Johannesburg, South Africa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84C" w:sz="6"/>
      </w:pBdr>
    </w:pPr>
    <w:r>
      <w:rPr>
        <w:color w:val="8A8A9A"/>
        <w:sz w:val="16"/>
        <w:szCs w:val="16"/>
        <w:rFonts w:ascii="Arial" w:cs="Arial" w:eastAsia="Arial" w:hAnsi="Arial"/>
      </w:rPr>
      <w:t xml:space="preserve">G.O.D.S Holdings (Pty) Ltd  |  Government Procurement Strategy  |  CONFIDENTIAL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0"/>
        <w:szCs w:val="20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20"/>
      <w:outlineLvl w:val="0"/>
    </w:pPr>
    <w:rPr>
      <w:b/>
      <w:bCs/>
      <w:color w:val="C9A84C"/>
      <w:sz w:val="34"/>
      <w:szCs w:val="34"/>
      <w:rFonts w:ascii="Georgia" w:cs="Georgia" w:eastAsia="Georgia" w:hAnsi="Georgia"/>
    </w:rPr>
  </w:style>
  <w:style w:type="paragraph" w:styleId="Heading2">
    <w:name w:val="Heading 2"/>
    <w:basedOn w:val="Normal"/>
    <w:next w:val="Normal"/>
    <w:qFormat/>
    <w:pPr>
      <w:spacing w:before="240" w:after="100"/>
      <w:outlineLvl w:val="1"/>
    </w:pPr>
    <w:rPr>
      <w:b/>
      <w:bCs/>
      <w:color w:val="060E1C"/>
      <w:sz w:val="28"/>
      <w:szCs w:val="28"/>
      <w:rFonts w:ascii="Georgia" w:cs="Georgia" w:eastAsia="Georgia" w:hAnsi="Georgia"/>
    </w:rPr>
  </w:style>
  <w:style w:type="paragraph" w:styleId="Heading3">
    <w:name w:val="Heading 3"/>
    <w:basedOn w:val="Normal"/>
    <w:next w:val="Normal"/>
    <w:qFormat/>
    <w:pPr>
      <w:spacing w:before="160" w:after="80"/>
      <w:outlineLvl w:val="2"/>
    </w:pPr>
    <w:rPr>
      <w:b/>
      <w:bCs/>
      <w:color w:val="333355"/>
      <w:sz w:val="22"/>
      <w:szCs w:val="22"/>
      <w:rFonts w:ascii="Arial" w:cs="Arial" w:eastAsia="Arial" w:hAnsi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2026-04-16T06:15:29.296Z</dcterms:created>
  <dcterms:modified xsi:type="dcterms:W3CDTF">2026-04-16T06:15:29.296Z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