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80"/>
      </w:pPr>
    </w:p>
    <w:p>
      <w:pPr>
        <w:spacing w:before="200" w:after="80"/>
        <w:jc w:val="center"/>
      </w:pPr>
      <w:r>
        <w:rPr>
          <w:b/>
          <w:bCs/>
          <w:color w:val="C9A84C"/>
          <w:sz w:val="56"/>
          <w:szCs w:val="56"/>
          <w:rFonts w:ascii="Georgia" w:cs="Georgia" w:eastAsia="Georgia" w:hAnsi="Georgia"/>
        </w:rPr>
        <w:t xml:space="preserve">G.O.D.S</w:t>
      </w:r>
    </w:p>
    <w:p>
      <w:pPr>
        <w:spacing w:before="60" w:after="60"/>
        <w:jc w:val="center"/>
      </w:pPr>
      <w:r>
        <w:rPr>
          <w:color w:val="F5F0E8"/>
          <w:sz w:val="22"/>
          <w:szCs w:val="22"/>
          <w:rFonts w:ascii="Arial" w:cs="Arial" w:eastAsia="Arial" w:hAnsi="Arial"/>
        </w:rPr>
        <w:t xml:space="preserve">Good Orderly Directional Systems</w:t>
      </w:r>
    </w:p>
    <w:p>
      <w:pPr>
        <w:pBdr>
          <w:bottom w:val="single" w:color="C9A84C" w:sz="6"/>
        </w:pBdr>
        <w:spacing w:before="160" w:after="160"/>
      </w:pPr>
    </w:p>
    <w:p>
      <w:pPr>
        <w:spacing w:before="60" w:after="60"/>
        <w:jc w:val="center"/>
      </w:pPr>
      <w:r>
        <w:rPr>
          <w:color w:val="F5F0E8"/>
          <w:sz w:val="22"/>
          <w:szCs w:val="22"/>
          <w:rFonts w:ascii="Arial" w:cs="Arial" w:eastAsia="Arial" w:hAnsi="Arial"/>
        </w:rPr>
        <w:t xml:space="preserve">THEORY OF CHANGE</w:t>
      </w:r>
    </w:p>
    <w:p>
      <w:pPr>
        <w:spacing w:before="60" w:after="60"/>
        <w:jc w:val="center"/>
      </w:pPr>
      <w:r>
        <w:rPr>
          <w:color w:val="F5F0E8"/>
          <w:sz w:val="22"/>
          <w:szCs w:val="22"/>
          <w:rFonts w:ascii="Arial" w:cs="Arial" w:eastAsia="Arial" w:hAnsi="Arial"/>
        </w:rPr>
        <w:t xml:space="preserve">&amp; SOCIAL RETURN ON INVESTMENT (SROI) FRAMEWORK</w:t>
      </w:r>
    </w:p>
    <w:p>
      <w:pPr>
        <w:spacing w:before="80"/>
      </w:pPr>
    </w:p>
    <w:p>
      <w:pPr>
        <w:spacing w:before="40" w:after="40"/>
        <w:jc w:val="center"/>
      </w:pPr>
      <w:r>
        <w:rPr>
          <w:color w:val="8A8A9A"/>
          <w:sz w:val="18"/>
          <w:szCs w:val="18"/>
          <w:rFonts w:ascii="Arial" w:cs="Arial" w:eastAsia="Arial" w:hAnsi="Arial"/>
        </w:rPr>
        <w:t xml:space="preserve">G.O.D.S Holdings (Pty) Ltd | March 2026 | For Impact Investors, DFIs &amp; Government Partners</w:t>
      </w:r>
    </w:p>
    <w:p>
      <w:pPr>
        <w:spacing w:before="80"/>
      </w:pPr>
    </w:p>
    <w:p>
      <w:pPr>
        <w:spacing w:before="40" w:after="40"/>
        <w:jc w:val="center"/>
      </w:pPr>
      <w:r>
        <w:rPr>
          <w:i/>
          <w:iCs/>
          <w:color w:val="8A8A9A"/>
          <w:sz w:val="14"/>
          <w:szCs w:val="14"/>
          <w:rFonts w:ascii="Arial" w:cs="Arial" w:eastAsia="Arial" w:hAnsi="Arial"/>
        </w:rPr>
        <w:t xml:space="preserve">CONFIDENTIAL — THEORY OF CHANGE &amp; SROI — G.O.D.S Holdings (Pty) Ltd — March 2026</w:t>
      </w:r>
    </w:p>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1. THEORY OF CHANGE — OVERVIEW</w:t>
      </w:r>
    </w:p>
    <w:p>
      <w:pPr>
        <w:pBdr>
          <w:top w:val="single" w:color="E8E4DA" w:sz="4"/>
          <w:bottom w:val="single" w:color="E8E4DA" w:sz="4"/>
          <w:left w:val="single" w:color="C9A84C" w:sz="12"/>
          <w:right w:val="single" w:color="E8E4DA" w:sz="4"/>
        </w:pBdr>
        <w:spacing w:before="160" w:after="160"/>
      </w:pPr>
      <w:r>
        <w:rPr>
          <w:i/>
          <w:iCs/>
          <w:color w:val="060E1C"/>
          <w:sz w:val="22"/>
          <w:szCs w:val="22"/>
          <w:rFonts w:ascii="Georgia" w:cs="Georgia" w:eastAsia="Georgia" w:hAnsi="Georgia"/>
        </w:rPr>
        <w:t xml:space="preserve">G.O.D.S does not address symptoms. It redesigns the system that produces them. The Theory of Change is not a linear pathway — it is a compounding loop that multiplies impact with each cycle.</w:t>
      </w:r>
    </w:p>
    <w:p>
      <w:pPr>
        <w:spacing w:before="80" w:after="80"/>
      </w:pPr>
      <w:r>
        <w:rPr>
          <w:color w:val="1A1A2E"/>
          <w:sz w:val="20"/>
          <w:szCs w:val="20"/>
          <w:rFonts w:ascii="Arial" w:cs="Arial" w:eastAsia="Arial" w:hAnsi="Arial"/>
        </w:rPr>
        <w:t xml:space="preserve">The G.O.D.S Theory of Change is grounded in one empirical observation: preventable human instability is not caused by a shortage of solutions. It is caused by the structural disconnection between available solutions. Workforce training programmes produce graduates with no employment destination. Infrastructure projects are built by contractors with no community workforce. Governance reform produces laws with no enforcement architecture. Capital sits in institutional holding accounts while infrastructure gaps widen.</w:t>
      </w:r>
    </w:p>
    <w:p>
      <w:pPr>
        <w:spacing w:before="80" w:after="80"/>
      </w:pPr>
      <w:r>
        <w:rPr>
          <w:color w:val="1A1A2E"/>
          <w:sz w:val="20"/>
          <w:szCs w:val="20"/>
          <w:rFonts w:ascii="Arial" w:cs="Arial" w:eastAsia="Arial" w:hAnsi="Arial"/>
        </w:rPr>
        <w:t xml:space="preserve">G.O.D.S's Theory of Change holds that connecting these solutions in the correct sequence — and making them structurally interdependent — transforms one-time interventions into compounding systemic change.</w:t>
      </w:r>
    </w:p>
    <w:p>
      <w:pPr>
        <w:pStyle w:val="Heading2"/>
        <w:spacing w:before="240" w:after="100"/>
      </w:pPr>
      <w:r>
        <w:rPr>
          <w:b/>
          <w:bCs/>
          <w:color w:val="060E1C"/>
          <w:sz w:val="28"/>
          <w:szCs w:val="28"/>
          <w:rFonts w:ascii="Georgia" w:cs="Georgia" w:eastAsia="Georgia" w:hAnsi="Georgia"/>
        </w:rPr>
        <w:t xml:space="preserve">1.1 The Change Logic — Input → Activity → Output → Outcome → Impact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100"/>
        <w:gridCol w:w="2100"/>
        <w:gridCol w:w="2100"/>
        <w:gridCol w:w="1860"/>
      </w:tblGrid>
      <w:tr>
        <w:tc>
          <w:tcPr>
            <w:tcW w:type="dxa" w:w="1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Stage</w:t>
            </w:r>
          </w:p>
        </w:tc>
        <w:tc>
          <w:tcPr>
            <w:tcW w:type="dxa" w:w="21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S.E.T.H.S</w:t>
            </w:r>
          </w:p>
        </w:tc>
        <w:tc>
          <w:tcPr>
            <w:tcW w:type="dxa" w:w="21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T.S Industries</w:t>
            </w:r>
          </w:p>
        </w:tc>
        <w:tc>
          <w:tcPr>
            <w:tcW w:type="dxa" w:w="21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UDOC</w:t>
            </w:r>
          </w:p>
        </w:tc>
        <w:tc>
          <w:tcPr>
            <w:tcW w:type="dxa" w:w="18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M.A.D.I.B.A</w:t>
            </w:r>
          </w:p>
        </w:tc>
      </w:tr>
      <w:tr>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INPUTS</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R12–18M seed capital, government MOU, employer network, facility</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S.E.T.H.S graduates, government infrastructure mandate, SPV equity</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Engineering team, enterprise client pipeline, government pilot data</w:t>
            </w:r>
          </w:p>
        </w:tc>
        <w:tc>
          <w:tcPr>
            <w:tcW w:type="dxa" w:w="18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Phase 1–3 proof, DFI relationships, sovereign partner network</w:t>
            </w:r>
          </w:p>
        </w:tc>
      </w:tr>
      <w:tr>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ACTIVITIES</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Intake, assessment, psychosocial stabilisation, skills training, placement, monitoring</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Solar EPC, vertical farming, water infrastructure, housing construction</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AI audit log deployment, bias detection, compliance reporting, sovereignty verification</w:t>
            </w:r>
          </w:p>
        </w:tc>
        <w:tc>
          <w:tcPr>
            <w:tcW w:type="dxa" w:w="18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Fund structuring, SPV co-ownership, advisory mandates, capital deployment</w:t>
            </w:r>
          </w:p>
        </w:tc>
      </w:tr>
      <w:tr>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OUTPUTS</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50→500 participants employed/year. AI-literacy curriculum. Employer network 150+. Alumni data.</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R5M–R500M infrastructure/project. 50–500 direct jobs/project. SPV assets.</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3→25 enterprise clients. Government sovereign deployments. AI governance events audited.</w:t>
            </w:r>
          </w:p>
        </w:tc>
        <w:tc>
          <w:tcPr>
            <w:tcW w:type="dxa" w:w="18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R2B fund I, R10B fund II. 5–10 SPVs co-owned. Government capital deployed.</w:t>
            </w:r>
          </w:p>
        </w:tc>
      </w:tr>
      <w:tr>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OUTCOMES</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Structural unemployment reduced. AI displacement managed. Correctional recidivism reduced.</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Energy security improved. Food sovereignty. Housing delivery. Water access.</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AI accountability restored. Citizen trust rebuilt. Sovereignty regained.</w:t>
            </w:r>
          </w:p>
        </w:tc>
        <w:tc>
          <w:tcPr>
            <w:tcW w:type="dxa" w:w="18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Infrastructure deficit closed. Capital deployed at scale. Investor returns.</w:t>
            </w:r>
          </w:p>
        </w:tc>
      </w:tr>
      <w:tr>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IMPACT</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Human dignity elevated. Economic contribution increased. Social stability improved.</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Civilisational infrastructure built. Climate resilience strengthened.</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Constitutional governance operational. Democratic legitimacy restored.</w:t>
            </w:r>
          </w:p>
        </w:tc>
        <w:tc>
          <w:tcPr>
            <w:tcW w:type="dxa" w:w="18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Sustainable economic development. Generational wealth creation.</w:t>
            </w:r>
          </w:p>
        </w:tc>
      </w:tr>
    </w:tbl>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2. S.E.T.H.S — THEORY OF CHANGE (DETAILED)</w:t>
      </w:r>
    </w:p>
    <w:p>
      <w:pPr>
        <w:pStyle w:val="Heading2"/>
        <w:spacing w:before="240" w:after="100"/>
      </w:pPr>
      <w:r>
        <w:rPr>
          <w:b/>
          <w:bCs/>
          <w:color w:val="060E1C"/>
          <w:sz w:val="28"/>
          <w:szCs w:val="28"/>
          <w:rFonts w:ascii="Georgia" w:cs="Georgia" w:eastAsia="Georgia" w:hAnsi="Georgia"/>
        </w:rPr>
        <w:t xml:space="preserve">2.1 Problem Statement</w:t>
      </w:r>
    </w:p>
    <w:p>
      <w:pPr>
        <w:spacing w:before="80" w:after="80"/>
      </w:pPr>
      <w:r>
        <w:rPr>
          <w:color w:val="1A1A2E"/>
          <w:sz w:val="20"/>
          <w:szCs w:val="20"/>
          <w:rFonts w:ascii="Arial" w:cs="Arial" w:eastAsia="Arial" w:hAnsi="Arial"/>
        </w:rPr>
        <w:t xml:space="preserve">Structural unemployment in South Africa is not primarily caused by individual failure — it is caused by three simultaneous system failures: (i) welfare systems that do not invest in capability development; (ii) justice systems that do not prepare participants for economic re-entry; and (iii) labour markets that have no structured pathway for people without clean records or continuous employment histories. These systems fail simultaneously, producing a cycle of exclusion that benefits no one.</w:t>
      </w:r>
    </w:p>
    <w:p>
      <w:pPr>
        <w:pStyle w:val="Heading2"/>
        <w:spacing w:before="240" w:after="100"/>
      </w:pPr>
      <w:r>
        <w:rPr>
          <w:b/>
          <w:bCs/>
          <w:color w:val="060E1C"/>
          <w:sz w:val="28"/>
          <w:szCs w:val="28"/>
          <w:rFonts w:ascii="Georgia" w:cs="Georgia" w:eastAsia="Georgia" w:hAnsi="Georgia"/>
        </w:rPr>
        <w:t xml:space="preserve">2.2 S.E.T.H.S Change Pathway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2400"/>
        <w:gridCol w:w="2760"/>
      </w:tblGrid>
      <w:tr>
        <w:tc>
          <w:tcPr>
            <w:tcW w:type="dxa" w:w="18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Change Level</w:t>
            </w:r>
          </w:p>
        </w:tc>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Mechanism</w:t>
            </w:r>
          </w:p>
        </w:tc>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Indicator</w:t>
            </w:r>
          </w:p>
        </w:tc>
        <w:tc>
          <w:tcPr>
            <w:tcW w:type="dxa" w:w="27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Measurement</w:t>
            </w:r>
          </w:p>
        </w:tc>
      </w:tr>
      <w:tr>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Individual (Participant)</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Psychosocial stabilisation + identity reconstruction + skills certification</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Employment at 90 days, 6 months, 12 months</w:t>
            </w:r>
          </w:p>
        </w:tc>
        <w:tc>
          <w:tcPr>
            <w:tcW w:type="dxa" w:w="27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Case manager tracking + employer confirmation letters</w:t>
            </w:r>
          </w:p>
        </w:tc>
      </w:tr>
      <w:tr>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Household</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Participant income increase → household stability → children in school</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Household income 3× baseline. Children in education.</w:t>
            </w:r>
          </w:p>
        </w:tc>
        <w:tc>
          <w:tcPr>
            <w:tcW w:type="dxa" w:w="27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Annual household survey at 12 months post-placement</w:t>
            </w:r>
          </w:p>
        </w:tc>
      </w:tr>
      <w:tr>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Community</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Reduced crime, reduced recidivism, increased economic participation in catchment area</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Catchment area crime rate. NEET rate. Household income.</w:t>
            </w:r>
          </w:p>
        </w:tc>
        <w:tc>
          <w:tcPr>
            <w:tcW w:type="dxa" w:w="27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Annual community survey; SAPS crime statistics</w:t>
            </w:r>
          </w:p>
        </w:tc>
      </w:tr>
      <w:tr>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Economic System</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S.E.T.H.S graduates employed in T.S infrastructure → compounding economic output</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T.S project value created using S.E.T.H.S workforce</w:t>
            </w:r>
          </w:p>
        </w:tc>
        <w:tc>
          <w:tcPr>
            <w:tcW w:type="dxa" w:w="27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T.S project financial reports; SPV impact assessments</w:t>
            </w:r>
          </w:p>
        </w:tc>
      </w:tr>
      <w:tr>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Civilisational</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Structural unemployment as solvable problem — replicable model proof</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Programme scale, placement rate, cost-per-outcome vs public alternatives</w:t>
            </w:r>
          </w:p>
        </w:tc>
        <w:tc>
          <w:tcPr>
            <w:tcW w:type="dxa" w:w="27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Independent academic evaluation at Year 3, Year 10</w:t>
            </w:r>
          </w:p>
        </w:tc>
      </w:tr>
    </w:tbl>
    <w:p>
      <w:pPr>
        <w:pStyle w:val="Heading2"/>
        <w:spacing w:before="240" w:after="100"/>
      </w:pPr>
      <w:r>
        <w:rPr>
          <w:b/>
          <w:bCs/>
          <w:color w:val="060E1C"/>
          <w:sz w:val="28"/>
          <w:szCs w:val="28"/>
          <w:rFonts w:ascii="Georgia" w:cs="Georgia" w:eastAsia="Georgia" w:hAnsi="Georgia"/>
        </w:rPr>
        <w:t xml:space="preserve">2.3 S.E.T.H.S SROI Calculation</w:t>
      </w:r>
    </w:p>
    <w:p>
      <w:pPr>
        <w:spacing w:before="80" w:after="80"/>
      </w:pPr>
      <w:r>
        <w:rPr>
          <w:color w:val="1A1A2E"/>
          <w:sz w:val="20"/>
          <w:szCs w:val="20"/>
          <w:rFonts w:ascii="Arial" w:cs="Arial" w:eastAsia="Arial" w:hAnsi="Arial"/>
        </w:rPr>
        <w:t xml:space="preserve">Social Return on Investment (SROI) measures the value created for society relative to the investment required. The S.E.T.H.S SROI model considers three primary value streams: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1200"/>
        <w:gridCol w:w="1200"/>
        <w:gridCol w:w="2160"/>
      </w:tblGrid>
      <w:tr>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Value Stream</w:t>
            </w:r>
          </w:p>
        </w:tc>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Calculation Basis</w:t>
            </w:r>
          </w:p>
        </w:tc>
        <w:tc>
          <w:tcPr>
            <w:tcW w:type="dxa" w:w="1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Year 1 (50 pax)</w:t>
            </w:r>
          </w:p>
        </w:tc>
        <w:tc>
          <w:tcPr>
            <w:tcW w:type="dxa" w:w="1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Year 3 (500 pax)</w:t>
            </w:r>
          </w:p>
        </w:tc>
        <w:tc>
          <w:tcPr>
            <w:tcW w:type="dxa" w:w="21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Year 5 (5,000 pax)</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Employment Income Generated</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Average R8,500/month × 35 placements × 12 months</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R3.57M</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R42M</w:t>
            </w:r>
          </w:p>
        </w:tc>
        <w:tc>
          <w:tcPr>
            <w:tcW w:type="dxa" w:w="2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R510M</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Fiscal Savings — Welfare Reduction</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R2,800/month welfare avoided × 35 × 12 months</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R1.18M</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R14.1M</w:t>
            </w:r>
          </w:p>
        </w:tc>
        <w:tc>
          <w:tcPr>
            <w:tcW w:type="dxa" w:w="21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R170M</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Fiscal Savings — Correctional (CJS cohort)</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R10,000/month incarceration avoided × 15 ex-offenders × 12</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R1.8M</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R18M</w:t>
            </w:r>
          </w:p>
        </w:tc>
        <w:tc>
          <w:tcPr>
            <w:tcW w:type="dxa" w:w="2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R180M</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Healthcare Cost Reduction</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Substance abuse treatment avoided × placed participants</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R420K</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R5M</w:t>
            </w:r>
          </w:p>
        </w:tc>
        <w:tc>
          <w:tcPr>
            <w:tcW w:type="dxa" w:w="21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R60M</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TOTAL SOCIAL VALUE CREATED</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R6.97M</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R79.1M</w:t>
            </w:r>
          </w:p>
        </w:tc>
        <w:tc>
          <w:tcPr>
            <w:tcW w:type="dxa" w:w="2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R920M</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TOTAL PROGRAMME COST</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R8.78M</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R44M</w:t>
            </w:r>
          </w:p>
        </w:tc>
        <w:tc>
          <w:tcPr>
            <w:tcW w:type="dxa" w:w="21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R280M</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SROI RATIO</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Social value ÷ cost</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0.79:1</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1.8:1</w:t>
            </w:r>
          </w:p>
        </w:tc>
        <w:tc>
          <w:tcPr>
            <w:tcW w:type="dxa" w:w="2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3.3:1</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5-Year Cumulative SROI</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3-year payback; 5-year compounding</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w:t>
            </w:r>
          </w:p>
        </w:tc>
        <w:tc>
          <w:tcPr>
            <w:tcW w:type="dxa" w:w="21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4.2:1</w:t>
            </w:r>
          </w:p>
        </w:tc>
      </w:tr>
    </w:tbl>
    <w:p>
      <w:pPr>
        <w:spacing w:before="80" w:after="80"/>
      </w:pPr>
      <w:r>
        <w:rPr>
          <w:color w:val="1A1A2E"/>
          <w:sz w:val="20"/>
          <w:szCs w:val="20"/>
          <w:rFonts w:ascii="Arial" w:cs="Arial" w:eastAsia="Arial" w:hAnsi="Arial"/>
        </w:rPr>
        <w:t xml:space="preserve">Note: SROI ratio improves significantly with scale. Phase 5 (5,000+ participants) target SROI exceeds 4:1, meaning every rand invested returns R4+ in measurable social value. These calculations are conservative and do not include second-order effects (household stability, community crime reduction, economic multiplier effects).</w:t>
      </w:r>
    </w:p>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3. UDOC — GOVERNANCE VALUE CREATION</w:t>
      </w:r>
    </w:p>
    <w:p>
      <w:pPr>
        <w:pStyle w:val="Heading2"/>
        <w:spacing w:before="240" w:after="100"/>
      </w:pPr>
      <w:r>
        <w:rPr>
          <w:b/>
          <w:bCs/>
          <w:color w:val="060E1C"/>
          <w:sz w:val="28"/>
          <w:szCs w:val="28"/>
          <w:rFonts w:ascii="Georgia" w:cs="Georgia" w:eastAsia="Georgia" w:hAnsi="Georgia"/>
        </w:rPr>
        <w:t xml:space="preserve">3.1 Governance Theory of Change</w:t>
      </w:r>
    </w:p>
    <w:p>
      <w:pPr>
        <w:spacing w:before="80" w:after="80"/>
      </w:pPr>
      <w:r>
        <w:rPr>
          <w:color w:val="1A1A2E"/>
          <w:sz w:val="20"/>
          <w:szCs w:val="20"/>
          <w:rFonts w:ascii="Arial" w:cs="Arial" w:eastAsia="Arial" w:hAnsi="Arial"/>
        </w:rPr>
        <w:t xml:space="preserve">UDOC's Theory of Change holds that AI governance infrastructure is not an overhead cost — it is the foundation on which institutional trust is rebuilt. Without auditable, transparent AI governance, democratic legitimacy erodes as citizens are governed by systems they cannot understand or challenge.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000"/>
        <w:gridCol w:w="4360"/>
      </w:tblGrid>
      <w:tr>
        <w:tc>
          <w:tcPr>
            <w:tcW w:type="dxa" w:w="20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Governance Level</w:t>
            </w:r>
          </w:p>
        </w:tc>
        <w:tc>
          <w:tcPr>
            <w:tcW w:type="dxa" w:w="30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UDOC Intervention</w:t>
            </w:r>
          </w:p>
        </w:tc>
        <w:tc>
          <w:tcPr>
            <w:tcW w:type="dxa" w:w="43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Measurable Outcome</w:t>
            </w:r>
          </w:p>
        </w:tc>
      </w:tr>
      <w:tr>
        <w:tc>
          <w:tcPr>
            <w:tcW w:type="dxa" w:w="2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Individual Citizen</w:t>
            </w:r>
          </w:p>
        </w:tc>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AI decisions affecting welfare, justice, healthcare are auditable and explainable on request</w:t>
            </w:r>
          </w:p>
        </w:tc>
        <w:tc>
          <w:tcPr>
            <w:tcW w:type="dxa" w:w="4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Citizens can challenge algorithmic decisions. Appeal rates. SAHRC complaints resolved.</w:t>
            </w:r>
          </w:p>
        </w:tc>
      </w:tr>
      <w:tr>
        <w:tc>
          <w:tcPr>
            <w:tcW w:type="dxa" w:w="2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Enterprise</w:t>
            </w:r>
          </w:p>
        </w:tc>
        <w:tc>
          <w:tcPr>
            <w:tcW w:type="dxa" w:w="3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Regulated industries operate AI with documented governance, reducing liability and compliance risk</w:t>
            </w:r>
          </w:p>
        </w:tc>
        <w:tc>
          <w:tcPr>
            <w:tcW w:type="dxa" w:w="4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Regulatory fines avoided. Insurance premium reduction. Board governance certification.</w:t>
            </w:r>
          </w:p>
        </w:tc>
      </w:tr>
      <w:tr>
        <w:tc>
          <w:tcPr>
            <w:tcW w:type="dxa" w:w="2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Government Department</w:t>
            </w:r>
          </w:p>
        </w:tc>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All AI decisions in public administration produce cryptographic audit trail</w:t>
            </w:r>
          </w:p>
        </w:tc>
        <w:tc>
          <w:tcPr>
            <w:tcW w:type="dxa" w:w="4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Audit clean opinions maintained. Parliamentary committee reporting capability. Corruption forensics enabled.</w:t>
            </w:r>
          </w:p>
        </w:tc>
      </w:tr>
      <w:tr>
        <w:tc>
          <w:tcPr>
            <w:tcW w:type="dxa" w:w="2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National Sovereignty</w:t>
            </w:r>
          </w:p>
        </w:tc>
        <w:tc>
          <w:tcPr>
            <w:tcW w:type="dxa" w:w="3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Sovereign data remains in ZA jurisdiction. No foreign cloud dependency.</w:t>
            </w:r>
          </w:p>
        </w:tc>
        <w:tc>
          <w:tcPr>
            <w:tcW w:type="dxa" w:w="4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Foreign data breach incidents: zero. POPIA compliance maintained. CLOUD Act exposure: zero.</w:t>
            </w:r>
          </w:p>
        </w:tc>
      </w:tr>
      <w:tr>
        <w:tc>
          <w:tcPr>
            <w:tcW w:type="dxa" w:w="2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Continental</w:t>
            </w:r>
          </w:p>
        </w:tc>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SADC nations interconnect via AQGN (African Quantum Governance Network)</w:t>
            </w:r>
          </w:p>
        </w:tc>
        <w:tc>
          <w:tcPr>
            <w:tcW w:type="dxa" w:w="4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Number of sovereign UDOC deployments. Cross-border AI governance events. AU Digital Strategy alignment.</w:t>
            </w:r>
          </w:p>
        </w:tc>
      </w:tr>
    </w:tbl>
    <w:p>
      <w:pPr>
        <w:pStyle w:val="Heading2"/>
        <w:spacing w:before="240" w:after="100"/>
      </w:pPr>
      <w:r>
        <w:rPr>
          <w:b/>
          <w:bCs/>
          <w:color w:val="060E1C"/>
          <w:sz w:val="28"/>
          <w:szCs w:val="28"/>
          <w:rFonts w:ascii="Georgia" w:cs="Georgia" w:eastAsia="Georgia" w:hAnsi="Georgia"/>
        </w:rPr>
        <w:t xml:space="preserve">3.2 UDOC Economic Value Creation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600"/>
        <w:gridCol w:w="3560"/>
      </w:tblGrid>
      <w:tr>
        <w:tc>
          <w:tcPr>
            <w:tcW w:type="dxa" w:w="2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Value Category</w:t>
            </w:r>
          </w:p>
        </w:tc>
        <w:tc>
          <w:tcPr>
            <w:tcW w:type="dxa" w:w="36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Mechanism</w:t>
            </w:r>
          </w:p>
        </w:tc>
        <w:tc>
          <w:tcPr>
            <w:tcW w:type="dxa" w:w="35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Estimated Value (Year 5)</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Procurement Corruption Reduction</w:t>
            </w:r>
          </w:p>
        </w:tc>
        <w:tc>
          <w:tcPr>
            <w:tcW w:type="dxa" w:w="3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Immutable audit trail on all government AI-assisted procurement decisions</w:t>
            </w:r>
          </w:p>
        </w:tc>
        <w:tc>
          <w:tcPr>
            <w:tcW w:type="dxa" w:w="35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R500M–R2B/year (estimated 5–10% of R30–60B annual procurement leakage)</w:t>
            </w:r>
          </w:p>
        </w:tc>
      </w:tr>
      <w:tr>
        <w:tc>
          <w:tcPr>
            <w:tcW w:type="dxa" w:w="2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Regulatory Compliance Cost Avoidance</w:t>
            </w:r>
          </w:p>
        </w:tc>
        <w:tc>
          <w:tcPr>
            <w:tcW w:type="dxa" w:w="3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Automated EU AI Act, POPIA, FSCA compliance reporting</w:t>
            </w:r>
          </w:p>
        </w:tc>
        <w:tc>
          <w:tcPr>
            <w:tcW w:type="dxa" w:w="35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R200M–R500M/year across 100+ enterprise clients</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Litigation Cost Avoidance</w:t>
            </w:r>
          </w:p>
        </w:tc>
        <w:tc>
          <w:tcPr>
            <w:tcW w:type="dxa" w:w="3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Explainability layer eliminates black-box liability exposure</w:t>
            </w:r>
          </w:p>
        </w:tc>
        <w:tc>
          <w:tcPr>
            <w:tcW w:type="dxa" w:w="35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R100M–R300M/year across regulated industries</w:t>
            </w:r>
          </w:p>
        </w:tc>
      </w:tr>
      <w:tr>
        <w:tc>
          <w:tcPr>
            <w:tcW w:type="dxa" w:w="2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Sovereign Data Security Value</w:t>
            </w:r>
          </w:p>
        </w:tc>
        <w:tc>
          <w:tcPr>
            <w:tcW w:type="dxa" w:w="3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Post-quantum encryption prevents harvest-now-decrypt-later attacks</w:t>
            </w:r>
          </w:p>
        </w:tc>
        <w:tc>
          <w:tcPr>
            <w:tcW w:type="dxa" w:w="35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Incalculable — strategic national security asset</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TOTAL ECONOMIC VALUE</w:t>
            </w:r>
          </w:p>
        </w:tc>
        <w:tc>
          <w:tcPr>
            <w:tcW w:type="dxa" w:w="3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w:t>
            </w:r>
          </w:p>
        </w:tc>
        <w:tc>
          <w:tcPr>
            <w:tcW w:type="dxa" w:w="35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R800M–R2.8B/year at Year 5 scale</w:t>
            </w:r>
          </w:p>
        </w:tc>
      </w:tr>
    </w:tbl>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4. IMPACT MEASUREMENT FRAMEWORK</w:t>
      </w:r>
    </w:p>
    <w:p>
      <w:pPr>
        <w:pStyle w:val="Heading2"/>
        <w:spacing w:before="240" w:after="100"/>
      </w:pPr>
      <w:r>
        <w:rPr>
          <w:b/>
          <w:bCs/>
          <w:color w:val="060E1C"/>
          <w:sz w:val="28"/>
          <w:szCs w:val="28"/>
          <w:rFonts w:ascii="Georgia" w:cs="Georgia" w:eastAsia="Georgia" w:hAnsi="Georgia"/>
        </w:rPr>
        <w:t xml:space="preserve">4.1 Primary Impact Metrics — Quarterly Reporting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200"/>
        <w:gridCol w:w="2400"/>
        <w:gridCol w:w="1440"/>
        <w:gridCol w:w="1920"/>
      </w:tblGrid>
      <w:tr>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Metric</w:t>
            </w:r>
          </w:p>
        </w:tc>
        <w:tc>
          <w:tcPr>
            <w:tcW w:type="dxa" w:w="1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Division</w:t>
            </w:r>
          </w:p>
        </w:tc>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Measurement Method</w:t>
            </w:r>
          </w:p>
        </w:tc>
        <w:tc>
          <w:tcPr>
            <w:tcW w:type="dxa" w:w="144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Year 1 Target</w:t>
            </w:r>
          </w:p>
        </w:tc>
        <w:tc>
          <w:tcPr>
            <w:tcW w:type="dxa" w:w="192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Year 5 Target</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Employment Rate at 90 Days</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S.E.T.H.S</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Case manager tracking + employer confirmation</w:t>
            </w:r>
          </w:p>
        </w:tc>
        <w:tc>
          <w:tcPr>
            <w:tcW w:type="dxa" w:w="144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70%</w:t>
            </w:r>
          </w:p>
        </w:tc>
        <w:tc>
          <w:tcPr>
            <w:tcW w:type="dxa" w:w="19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85%</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Employment Retention at 12 Months</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S.E.T.H.S</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Annual alumni survey</w:t>
            </w:r>
          </w:p>
        </w:tc>
        <w:tc>
          <w:tcPr>
            <w:tcW w:type="dxa" w:w="144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60%</w:t>
            </w:r>
          </w:p>
        </w:tc>
        <w:tc>
          <w:tcPr>
            <w:tcW w:type="dxa" w:w="19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75%</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Participant Income Increase vs Baseline</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S.E.T.H.S</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Financial wellbeing survey at placement and Year 1</w:t>
            </w:r>
          </w:p>
        </w:tc>
        <w:tc>
          <w:tcPr>
            <w:tcW w:type="dxa" w:w="144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baseline</w:t>
            </w:r>
          </w:p>
        </w:tc>
        <w:tc>
          <w:tcPr>
            <w:tcW w:type="dxa" w:w="19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5× baseline</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Correctional Recidivism Rate (CJS cohort)</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S.E.T.H.S</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DCS data cross-reference at 24 months</w:t>
            </w:r>
          </w:p>
        </w:tc>
        <w:tc>
          <w:tcPr>
            <w:tcW w:type="dxa" w:w="144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&lt;15%</w:t>
            </w:r>
          </w:p>
        </w:tc>
        <w:tc>
          <w:tcPr>
            <w:tcW w:type="dxa" w:w="19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&lt;10%</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AI Governance Events Audited</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UDOC</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Platform dashboard — automated</w:t>
            </w:r>
          </w:p>
        </w:tc>
        <w:tc>
          <w:tcPr>
            <w:tcW w:type="dxa" w:w="144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500,000+/year</w:t>
            </w:r>
          </w:p>
        </w:tc>
        <w:tc>
          <w:tcPr>
            <w:tcW w:type="dxa" w:w="19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100M+/year</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Government AI Systems under UDOC Governance</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UDOC</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System registry count</w:t>
            </w:r>
          </w:p>
        </w:tc>
        <w:tc>
          <w:tcPr>
            <w:tcW w:type="dxa" w:w="144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1 pilot</w:t>
            </w:r>
          </w:p>
        </w:tc>
        <w:tc>
          <w:tcPr>
            <w:tcW w:type="dxa" w:w="19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15 sovereign</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Sovereign Data Breach Incidents</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UDOC</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Platform security logs + independent audit</w:t>
            </w:r>
          </w:p>
        </w:tc>
        <w:tc>
          <w:tcPr>
            <w:tcW w:type="dxa" w:w="144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0</w:t>
            </w:r>
          </w:p>
        </w:tc>
        <w:tc>
          <w:tcPr>
            <w:tcW w:type="dxa" w:w="19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0</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Infrastructure Deployed (ZAR)</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T.S</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Project financial reports + SPV valuations</w:t>
            </w:r>
          </w:p>
        </w:tc>
        <w:tc>
          <w:tcPr>
            <w:tcW w:type="dxa" w:w="144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R5M+</w:t>
            </w:r>
          </w:p>
        </w:tc>
        <w:tc>
          <w:tcPr>
            <w:tcW w:type="dxa" w:w="19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R2B+</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S.E.T.H.S Graduates Employed in T.S Projects</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T.S + S.E.T.H.S</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Payroll cross-reference</w:t>
            </w:r>
          </w:p>
        </w:tc>
        <w:tc>
          <w:tcPr>
            <w:tcW w:type="dxa" w:w="144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15+</w:t>
            </w:r>
          </w:p>
        </w:tc>
        <w:tc>
          <w:tcPr>
            <w:tcW w:type="dxa" w:w="19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1,500+</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Capital Deployed via M.A.D.I.B.A</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M.A.D.I.B.A</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Fund accounting</w:t>
            </w:r>
          </w:p>
        </w:tc>
        <w:tc>
          <w:tcPr>
            <w:tcW w:type="dxa" w:w="144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R0</w:t>
            </w:r>
          </w:p>
        </w:tc>
        <w:tc>
          <w:tcPr>
            <w:tcW w:type="dxa" w:w="19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R5B</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Constitutional Pillar Violations</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All</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COB quarterly audit</w:t>
            </w:r>
          </w:p>
        </w:tc>
        <w:tc>
          <w:tcPr>
            <w:tcW w:type="dxa" w:w="144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0</w:t>
            </w:r>
          </w:p>
        </w:tc>
        <w:tc>
          <w:tcPr>
            <w:tcW w:type="dxa" w:w="19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0</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SROI Ratio (S.E.T.H.S)</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S.E.T.H.S</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Annual SROI model</w:t>
            </w:r>
          </w:p>
        </w:tc>
        <w:tc>
          <w:tcPr>
            <w:tcW w:type="dxa" w:w="144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0.79:1</w:t>
            </w:r>
          </w:p>
        </w:tc>
        <w:tc>
          <w:tcPr>
            <w:tcW w:type="dxa" w:w="19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4.2:1+</w:t>
            </w:r>
          </w:p>
        </w:tc>
      </w:tr>
    </w:tbl>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5. ALIGNMENT WITH INTERNATIONAL FRAMEWORKS</w:t>
      </w:r>
    </w:p>
    <w:p>
      <w:pPr>
        <w:spacing w:before="80" w:after="80"/>
      </w:pPr>
      <w:r>
        <w:rPr>
          <w:color w:val="1A1A2E"/>
          <w:sz w:val="20"/>
          <w:szCs w:val="20"/>
          <w:rFonts w:ascii="Arial" w:cs="Arial" w:eastAsia="Arial" w:hAnsi="Arial"/>
        </w:rPr>
        <w:t xml:space="preserve">G.O.D.S impact measurement aligns with the following international frameworks used by DFIs, sovereign wealth funds, and impact investors: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000"/>
        <w:gridCol w:w="4160"/>
      </w:tblGrid>
      <w:tr>
        <w:tc>
          <w:tcPr>
            <w:tcW w:type="dxa" w:w="2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Framework</w:t>
            </w:r>
          </w:p>
        </w:tc>
        <w:tc>
          <w:tcPr>
            <w:tcW w:type="dxa" w:w="30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Alignment</w:t>
            </w:r>
          </w:p>
        </w:tc>
        <w:tc>
          <w:tcPr>
            <w:tcW w:type="dxa" w:w="41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G.O.D.S Application</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UN Sustainable Development Goals (SDGs)</w:t>
            </w:r>
          </w:p>
        </w:tc>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SDG 1 (No Poverty), 8 (Decent Work), 10 (Reduced Inequalities), 11 (Sustainable Cities), 16 (Peace/Justice/Institutions)</w:t>
            </w:r>
          </w:p>
        </w:tc>
        <w:tc>
          <w:tcPr>
            <w:tcW w:type="dxa" w:w="4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S.E.T.H.S: SDG 1, 8, 10. T.S: SDG 7, 11. UDOC: SDG 16. M.A.D.I.B.A: SDG 17.</w:t>
            </w:r>
          </w:p>
        </w:tc>
      </w:tr>
      <w:tr>
        <w:tc>
          <w:tcPr>
            <w:tcW w:type="dxa" w:w="2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IRIS+ Impact Measurement</w:t>
            </w:r>
          </w:p>
        </w:tc>
        <w:tc>
          <w:tcPr>
            <w:tcW w:type="dxa" w:w="3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IRIS+ metrics for employment, community development, energy access</w:t>
            </w:r>
          </w:p>
        </w:tc>
        <w:tc>
          <w:tcPr>
            <w:tcW w:type="dxa" w:w="41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M.A.D.I.B.A fund uses IRIS+ reporting framework. All SPV investments report IRIS+ metrics quarterly.</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GRI Standards</w:t>
            </w:r>
          </w:p>
        </w:tc>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GRI 200 (Economic), GRI 300 (Environmental), GRI 400 (Social)</w:t>
            </w:r>
          </w:p>
        </w:tc>
        <w:tc>
          <w:tcPr>
            <w:tcW w:type="dxa" w:w="4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Annual sustainability report from Year 2. GRI-aligned reporting to all major DFI and sovereign fund partners.</w:t>
            </w:r>
          </w:p>
        </w:tc>
      </w:tr>
      <w:tr>
        <w:tc>
          <w:tcPr>
            <w:tcW w:type="dxa" w:w="2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B Impact Assessment</w:t>
            </w:r>
          </w:p>
        </w:tc>
        <w:tc>
          <w:tcPr>
            <w:tcW w:type="dxa" w:w="3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B Corp-equivalent constitutional architecture</w:t>
            </w:r>
          </w:p>
        </w:tc>
        <w:tc>
          <w:tcPr>
            <w:tcW w:type="dxa" w:w="41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Constitutional Oversight Board mirrors B Corp governance requirements. Pillar alignment documented.</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IFC Performance Standards</w:t>
            </w:r>
          </w:p>
        </w:tc>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Environmental and social governance for DFI co-investments</w:t>
            </w:r>
          </w:p>
        </w:tc>
        <w:tc>
          <w:tcPr>
            <w:tcW w:type="dxa" w:w="4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T.S projects comply with IFC PS 1–8. M.A.D.I.B.A fund deployment subject to IFC PS compliance.</w:t>
            </w:r>
          </w:p>
        </w:tc>
      </w:tr>
      <w:tr>
        <w:tc>
          <w:tcPr>
            <w:tcW w:type="dxa" w:w="2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TCFD Climate Disclosure</w:t>
            </w:r>
          </w:p>
        </w:tc>
        <w:tc>
          <w:tcPr>
            <w:tcW w:type="dxa" w:w="3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Task Force on Climate-Related Financial Disclosures</w:t>
            </w:r>
          </w:p>
        </w:tc>
        <w:tc>
          <w:tcPr>
            <w:tcW w:type="dxa" w:w="41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T.S environmental impact assessment for all projects. Carbon accounting from Phase 2.</w:t>
            </w:r>
          </w:p>
        </w:tc>
      </w:tr>
    </w:tbl>
    <w:p>
      <w:pPr>
        <w:pBdr>
          <w:bottom w:val="single" w:color="C9A84C" w:sz="6"/>
        </w:pBdr>
        <w:spacing w:before="160" w:after="160"/>
      </w:pPr>
    </w:p>
    <w:p>
      <w:pPr>
        <w:jc w:val="center"/>
      </w:pPr>
      <w:r>
        <w:rPr>
          <w:color w:val="8A8A9A"/>
          <w:sz w:val="18"/>
          <w:szCs w:val="18"/>
          <w:rFonts w:ascii="Arial" w:cs="Arial" w:eastAsia="Arial" w:hAnsi="Arial"/>
        </w:rPr>
        <w:t xml:space="preserve">G.O.D.S Holdings (Pty) Ltd | Theory of Change &amp; SROI Framework | March 2026 | CONFIDENTIAL</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jc w:val="center"/>
    </w:pPr>
    <w:r>
      <w:rPr>
        <w:color w:val="8A8A9A"/>
        <w:sz w:val="14"/>
        <w:szCs w:val="14"/>
        <w:rFonts w:ascii="Arial" w:cs="Arial" w:eastAsia="Arial" w:hAnsi="Arial"/>
      </w:rPr>
      <w:t xml:space="preserve">CONFIDENTIAL  |  © 2026 G.O.D.S Holdings (Pty) Ltd  |  Johannesburg, South Africa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6"/>
      </w:pBdr>
    </w:pPr>
    <w:r>
      <w:rPr>
        <w:color w:val="8A8A9A"/>
        <w:sz w:val="16"/>
        <w:szCs w:val="16"/>
        <w:rFonts w:ascii="Arial" w:cs="Arial" w:eastAsia="Arial" w:hAnsi="Arial"/>
      </w:rPr>
      <w:t xml:space="preserve">G.O.D.S Holdings (Pty) Ltd  |  Theory of Change &amp; SROI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0"/>
        <w:szCs w:val="20"/>
        <w:rFonts w:ascii="Arial" w:cs="Arial" w:eastAsia="Arial" w:hAnsi="Aria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20"/>
      <w:outlineLvl w:val="0"/>
    </w:pPr>
    <w:rPr>
      <w:b/>
      <w:bCs/>
      <w:color w:val="C9A84C"/>
      <w:sz w:val="34"/>
      <w:szCs w:val="34"/>
      <w:rFonts w:ascii="Georgia" w:cs="Georgia" w:eastAsia="Georgia" w:hAnsi="Georgia"/>
    </w:rPr>
  </w:style>
  <w:style w:type="paragraph" w:styleId="Heading2">
    <w:name w:val="Heading 2"/>
    <w:basedOn w:val="Normal"/>
    <w:next w:val="Normal"/>
    <w:qFormat/>
    <w:pPr>
      <w:spacing w:before="240" w:after="100"/>
      <w:outlineLvl w:val="1"/>
    </w:pPr>
    <w:rPr>
      <w:b/>
      <w:bCs/>
      <w:color w:val="060E1C"/>
      <w:sz w:val="28"/>
      <w:szCs w:val="28"/>
      <w:rFonts w:ascii="Georgia" w:cs="Georgia" w:eastAsia="Georgia" w:hAnsi="Georgia"/>
    </w:rPr>
  </w:style>
  <w:style w:type="paragraph" w:styleId="Heading3">
    <w:name w:val="Heading 3"/>
    <w:basedOn w:val="Normal"/>
    <w:next w:val="Normal"/>
    <w:qFormat/>
    <w:pPr>
      <w:spacing w:before="160" w:after="80"/>
      <w:outlineLvl w:val="2"/>
    </w:pPr>
    <w:rPr>
      <w:b/>
      <w:bCs/>
      <w:color w:val="333355"/>
      <w:sz w:val="22"/>
      <w:szCs w:val="22"/>
      <w:rFonts w:ascii="Arial" w:cs="Arial" w:eastAsia="Arial" w:hAnsi="Arial"/>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2026-04-12T22:20:39.601Z</dcterms:created>
  <dcterms:modified xsi:type="dcterms:W3CDTF">2026-04-12T22:20:39.601Z</dcterms:modified>
</cp:coreProperties>
</file>

<file path=docProps/custom.xml><?xml version="1.0" encoding="utf-8"?>
<Properties xmlns="http://schemas.openxmlformats.org/officeDocument/2006/custom-properties" xmlns:vt="http://schemas.openxmlformats.org/officeDocument/2006/docPropsVTypes"/>
</file>