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after="200"/>
      </w:pPr>
    </w:p>
    <w:p>
      <w:pPr>
        <w:spacing w:before="0" w:after="60"/>
        <w:jc w:val="center"/>
      </w:pPr>
      <w:r>
        <w:rPr>
          <w:rFonts w:ascii="Georgia" w:cs="Georgia" w:eastAsia="Georgia" w:hAnsi="Georgia"/>
          <w:b/>
          <w:bCs/>
          <w:color w:val="060E1C"/>
          <w:sz w:val="80"/>
          <w:szCs w:val="80"/>
        </w:rPr>
        <w:t xml:space="preserve">G.O.D.S.</w:t>
      </w:r>
    </w:p>
    <w:p>
      <w:pPr>
        <w:spacing w:before="0" w:after="60"/>
        <w:jc w:val="center"/>
      </w:pPr>
      <w:r>
        <w:rPr>
          <w:rFonts w:ascii="Calibri" w:cs="Calibri" w:eastAsia="Calibri" w:hAnsi="Calibri"/>
          <w:color w:val="C9A84C"/>
          <w:spacing w:val="120"/>
          <w:sz w:val="26"/>
          <w:szCs w:val="26"/>
        </w:rPr>
        <w:t xml:space="preserve">WORLD PROBLEMS &amp; IMPLEMENTATION ROLLOUT</w:t>
      </w:r>
    </w:p>
    <w:p>
      <w:pPr>
        <w:pBdr>
          <w:bottom w:val="single" w:color="C9A84C" w:sz="4" w:space="1"/>
        </w:pBdr>
        <w:spacing w:before="60" w:after="60"/>
      </w:pPr>
    </w:p>
    <w:p>
      <w:pPr>
        <w:spacing w:before="120" w:after="80"/>
      </w:pPr>
    </w:p>
    <w:p>
      <w:pPr>
        <w:spacing w:before="0" w:after="60"/>
        <w:jc w:val="center"/>
      </w:pPr>
      <w:r>
        <w:rPr>
          <w:rFonts w:ascii="Georgia" w:cs="Georgia" w:eastAsia="Georgia" w:hAnsi="Georgia"/>
          <w:i/>
          <w:iCs/>
          <w:color w:val="3A3A3A"/>
          <w:sz w:val="26"/>
          <w:szCs w:val="26"/>
        </w:rPr>
        <w:t xml:space="preserve">A comprehensive mapping of global structural failures and the G.O.D.S. response architecture</w:t>
      </w:r>
    </w:p>
    <w:p>
      <w:pPr>
        <w:spacing w:before="0" w:after="40"/>
        <w:jc w:val="center"/>
      </w:pPr>
      <w:r>
        <w:rPr>
          <w:rFonts w:ascii="Calibri" w:cs="Calibri" w:eastAsia="Calibri" w:hAnsi="Calibri"/>
          <w:color w:val="8B8B8B"/>
          <w:sz w:val="20"/>
          <w:szCs w:val="20"/>
        </w:rPr>
        <w:t xml:space="preserve">Version 1.0  ·  March 2026  ·  Confidential</w:t>
      </w:r>
    </w:p>
    <w:p>
      <w:pPr>
        <w:spacing w:before="400" w:after="200"/>
      </w:pPr>
    </w:p>
    <w:p>
      <w:pPr>
        <w:jc w:val="center"/>
      </w:pPr>
      <w:r>
        <w:rPr>
          <w:rFonts w:ascii="Calibri" w:cs="Calibri" w:eastAsia="Calibri" w:hAnsi="Calibri"/>
          <w:color w:val="060E1C"/>
          <w:sz w:val="22"/>
          <w:szCs w:val="22"/>
        </w:rPr>
        <w:t xml:space="preserve">Sashin J. Singh  ·  Founder &amp; Systems Architect  ·  G.O.D.S Holdings (Pty) Ltd</w:t>
      </w:r>
    </w:p>
    <w:p>
      <w:r>
        <w:br w:type="page"/>
      </w:r>
    </w:p>
    <w:p>
      <w:pPr>
        <w:pStyle w:val="Heading1"/>
        <w:spacing w:before="400" w:after="120"/>
      </w:pPr>
      <w:r>
        <w:rPr>
          <w:rFonts w:ascii="Georgia" w:cs="Georgia" w:eastAsia="Georgia" w:hAnsi="Georgia"/>
          <w:b/>
          <w:bCs/>
          <w:color w:val="060E1C"/>
          <w:sz w:val="40"/>
          <w:szCs w:val="40"/>
        </w:rPr>
        <w:t xml:space="preserve">01  Framing — The Systems Failure</w:t>
      </w:r>
    </w:p>
    <w:p>
      <w:pPr>
        <w:pBdr>
          <w:bottom w:val="single" w:color="C9A84C" w:sz="6" w:space="1"/>
        </w:pBdr>
        <w:spacing w:before="60" w:after="60"/>
      </w:pP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line="380"/>
            </w:pPr>
            <w:r>
              <w:rPr>
                <w:rFonts w:ascii="Calibri" w:cs="Calibri" w:eastAsia="Calibri" w:hAnsi="Calibri"/>
                <w:color w:val="1A1A1A"/>
                <w:sz w:val="22"/>
                <w:szCs w:val="22"/>
              </w:rPr>
              <w:t xml:space="preserve">The world's most urgent problems are not technology problems. They are systems integration problems. The knowledge to solve hunger, unemployment, governance failure, and infrastructure deficit exists. The technology exists. What does not exist is a system that integrates these solutions into a single self-sustaining architecture that can be deployed at the community, national, and regional scale without dependency on foreign actors. G.O.D.S. is that system.</w:t>
            </w:r>
          </w:p>
        </w:tc>
      </w:tr>
    </w:tbl>
    <w:p>
      <w:pPr>
        <w:spacing w:before="120" w:after="80"/>
      </w:pPr>
    </w:p>
    <w:p>
      <w:pPr>
        <w:spacing w:before="80" w:after="120" w:line="360"/>
      </w:pPr>
      <w:r>
        <w:rPr>
          <w:rFonts w:ascii="Calibri" w:cs="Calibri" w:eastAsia="Calibri" w:hAnsi="Calibri"/>
          <w:color w:val="2C2C2C"/>
          <w:sz w:val="22"/>
          <w:szCs w:val="22"/>
        </w:rPr>
        <w:t xml:space="preserve">This document maps the eight most critical structural problems facing emerging market economies in 2026, the current gap in existing responses, and the specific G.O.D.S. division and intervention that addresses each problem. The final section maps the full implementation rollout from South Africa through SADC and to global replication.</w:t>
      </w:r>
    </w:p>
    <w:p>
      <w:pPr>
        <w:spacing w:before="200" w:after="80"/>
      </w:pPr>
    </w:p>
    <w:p>
      <w:pPr>
        <w:pStyle w:val="Heading1"/>
        <w:spacing w:before="400" w:after="120"/>
      </w:pPr>
      <w:r>
        <w:rPr>
          <w:rFonts w:ascii="Georgia" w:cs="Georgia" w:eastAsia="Georgia" w:hAnsi="Georgia"/>
          <w:b/>
          <w:bCs/>
          <w:color w:val="060E1C"/>
          <w:sz w:val="40"/>
          <w:szCs w:val="40"/>
        </w:rPr>
        <w:t xml:space="preserve">02  The Eight Problems — And the G.O.D.S. Response</w:t>
      </w:r>
    </w:p>
    <w:p>
      <w:pPr>
        <w:pBdr>
          <w:bottom w:val="single" w:color="C9A84C" w:sz="6" w:space="1"/>
        </w:pBdr>
        <w:spacing w:before="60" w:after="60"/>
      </w:pPr>
    </w:p>
    <w:p>
      <w:pPr>
        <w:spacing w:before="80" w:after="80"/>
      </w:pPr>
    </w:p>
    <w:p>
      <w:pPr>
        <w:spacing w:before="200" w:after="60"/>
      </w:pPr>
      <w:r>
        <w:rPr>
          <w:rFonts w:ascii="Calibri" w:cs="Calibri" w:eastAsia="Calibri" w:hAnsi="Calibri"/>
          <w:b/>
          <w:bCs/>
          <w:color w:val="C9A84C"/>
          <w:spacing w:val="120"/>
          <w:sz w:val="18"/>
          <w:szCs w:val="18"/>
        </w:rPr>
        <w:t xml:space="preserve">PROBLEM 1 — STRUCTURAL UNEMPLOYMENT &amp; WORKFORCE DISPLACEMENT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Structural unemployment is not cyclical — it is architectural. In South Africa, the unemployment rate exceeds 33%. Globally, AI automation is eliminating traditional employment categories faster than replacement infrastructure can be built. The workforce transition infrastructure does not exist.</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33% unemployment in South Africa. 800 million people globally estimated to be at risk of job displacement from automation by 2030. NEET population in South Africa: 3.3 million young people.</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S.E.T.H.S. — the human capital engine — provides the structured transition infrastructure: intake, assessment, skills development, placement, and long-term alumni support. Every participant is moved from structural unemployment to verified employment within 36 weeks.</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S.E.T.H.S. (Division 1)</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2 — ENERGY INSECURITY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South Africa loses an estimated R900M per day in economic output from load-shedding. 600 million people across Sub-Saharan Africa have no reliable electricity access. Energy insecurity is the primary brake on economic development across the SADC region.</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600M Africans without reliable electricity access. SA load-shedding: estimated R900M daily economic cost. 17 of 54 African Union member states classified as energy-insecure.</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T.S. — Transition Systems — deploys solar energy infrastructure using S.E.T.H.S.-trained workforce. Projects are designed as community-scale solutions (not utility-scale), creating local employment and local energy sovereignty simultaneously.</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T.S. — Transition Systems (Division 2)  ·  Solar Energy Programme</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3 — FOOD INSECURITY &amp; AGRICULTURAL VULNERABILITY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South Africa ranks among the top 10 most food-insecure countries relative to its income level. 20% of South African children experience chronic malnutrition. Climate change is reducing the viability of traditional agriculture in SADC's semi-arid zones. Food sovereignty requires climate-resilient production systems.</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20% of SA children chronically malnourished. 282 million people across Africa classified as food insecure. SADC food import bill exceeds $30B annually.</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T.S. Vertical Farming Programme: controlled environment agriculture deployed in urban and peri-urban settings, producing food year-round regardless of climate conditions. Operated by S.E.T.H.S.-trained agricultural workforce. Community-scale food production reduces dependence on import supply chains.</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T.S. — Transition Systems (Division 2)  ·  Vertical Farming Programme</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4 — WATER SCARCITY &amp; INFRASTRUCTURE FAILURE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South Africa is a water-scarce country. Median annual rainfall is below global averages. Water infrastructure in municipalities is failing faster than it is being repaired — 37% of municipal water is lost to leaks. The 2018 Cape Town Day Zero crisis was a preview, not an anomaly.</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37% of South African municipal water lost to leaks. Day Zero risk present in multiple South African cities. SADC faces water deficit conditions by 2030 under current usage trajectories.</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T.S. Water Systems Programme: water infrastructure rehabilitation, rainwater harvesting systems, greywater recycling installations, and community water security infrastructure — installed and maintained by trained S.E.T.H.S. graduates.</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T.S. — Transition Systems (Division 2)  ·  Water Systems Programme</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5 — HOUSING DEFICIT &amp; INFORMAL SETTLEMENT GROWTH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South Africa faces a housing backlog of 3.7 million units. Informal settlements house 1.9 million households in substandard conditions. Construction capacity is insufficient, and existing programs move too slowly to address the structural deficit.</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3.7M unit housing backlog in South Africa. 1.9M households in informal settlements. SADC housing deficit estimated at 18M units.</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T.S. Construction Programme: affordable modular housing construction projects deployed using S.E.T.H.S.-trained construction workforce (Stream A). Projects are structured as community employment and housing solutions simultaneously — addressing both the skills gap and the housing gap in a single intervention.</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T.S. — Transition Systems (Division 2)  ·  Affordable Housing Programme</w:t>
            </w:r>
          </w:p>
        </w:tc>
      </w:tr>
    </w:tbl>
    <w:p>
      <w:pPr>
        <w:spacing w:before="120" w:after="80"/>
      </w:pPr>
    </w:p>
    <w:p>
      <w:r>
        <w:br w:type="page"/>
      </w:r>
    </w:p>
    <w:p>
      <w:pPr>
        <w:spacing w:before="200" w:after="60"/>
      </w:pPr>
      <w:r>
        <w:rPr>
          <w:rFonts w:ascii="Calibri" w:cs="Calibri" w:eastAsia="Calibri" w:hAnsi="Calibri"/>
          <w:b/>
          <w:bCs/>
          <w:color w:val="C9A84C"/>
          <w:spacing w:val="120"/>
          <w:sz w:val="18"/>
          <w:szCs w:val="18"/>
        </w:rPr>
        <w:t xml:space="preserve">PROBLEM 6 — GOVERNANCE FAILURE &amp; INSTITUTIONAL MISTRUST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Trust in public institutions across South Africa and the SADC region is at generational lows. Corruption, incompetence, and opacity have created a governance credibility crisis. AI systems are now making consequential public decisions without audit trails, oversight, or accountability mechanisms. Citizens have no visibility into how algorithmic decisions affect their lives.</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SA Corruption Perceptions Index rank: 83 of 180. AI systems operating in public administration without oversight: estimated 78% of government AI deployments globally lack adequate audit infrastructure. Institutional trust index in SADC: below 30% in 11 of 16 member states.</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UDOC — Unified Digital Oversight &amp; Coordination — provides the technical infrastructure to make governance auditable, AI decisions explainable, and citizen data sovereign. For the first time, a government can demonstrate genuine accountability through cryptographic audit trails that cannot be falsified.</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UDOC (Division 3)</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7 — DIGITAL SOVEREIGNTY &amp; FOREIGN INFRASTRUCTURE DEPENDENCY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The majority of African Union member state governments operate critical public services on infrastructure owned by Amazon, Microsoft, or Google — all American corporations operating under US legal frameworks including the CLOUD Act. This means African governments' citizen data is, in practice, subject to US law enforcement access regardless of physical server location.</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65–70% of global public cloud owned by 3 US corporations. 54 of 55 African Union member states rely on foreign cloud for critical public services. CLOUD Act jurisdiction: all data on US-company infrastructure subject to US law enforcement access.</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UDOC provides sovereign-first digital governance infrastructure — deployable on government-owned cloud, with zero foreign dependency. Governments recover operational sovereignty over their most sensitive data. African citizen data stays under African legal frameworks.</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UDOC (Division 3)  ·  Sovereign Cloud Architecture</w:t>
            </w:r>
          </w:p>
        </w:tc>
      </w:tr>
    </w:tbl>
    <w:p>
      <w:pPr>
        <w:spacing w:before="120" w:after="80"/>
      </w:pPr>
    </w:p>
    <w:p>
      <w:pPr>
        <w:spacing w:before="200" w:after="60"/>
      </w:pPr>
      <w:r>
        <w:rPr>
          <w:rFonts w:ascii="Calibri" w:cs="Calibri" w:eastAsia="Calibri" w:hAnsi="Calibri"/>
          <w:b/>
          <w:bCs/>
          <w:color w:val="C9A84C"/>
          <w:spacing w:val="120"/>
          <w:sz w:val="18"/>
          <w:szCs w:val="18"/>
        </w:rPr>
        <w:t xml:space="preserve">PROBLEM 8 — CAPITAL MISALLOCATION &amp; INFRASTRUCTURE FUNDING GAP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vAlign w:val="center"/>
          </w:tcPr>
          <w:p>
            <w:r>
              <w:rPr>
                <w:rFonts w:ascii="Calibri" w:cs="Calibri" w:eastAsia="Calibri" w:hAnsi="Calibri"/>
                <w:b/>
                <w:bCs/>
                <w:color w:val="C9A84C"/>
                <w:sz w:val="18"/>
                <w:szCs w:val="18"/>
              </w:rPr>
              <w:t xml:space="preserve">THE PROBLEM</w:t>
            </w:r>
          </w:p>
        </w:tc>
        <w:tc>
          <w:tcPr>
            <w:tcW w:type="dxa" w:w="7160"/>
            <w:tcBorders>
              <w:top w:val="single" w:color="DDDDDD" w:sz="1"/>
              <w:left w:val="single" w:color="DDDDDD" w:sz="1"/>
              <w:bottom w:val="single" w:color="DDDDDD" w:sz="1"/>
              <w:right w:val="single" w:color="DDDDDD" w:sz="1"/>
            </w:tcBorders>
            <w:shd w:fill="FFF8F0" w:val="clear"/>
            <w:tcMar>
              <w:top w:type="dxa" w:w="100"/>
              <w:left w:type="dxa" w:w="140"/>
              <w:bottom w:type="dxa" w:w="100"/>
              <w:right w:type="dxa" w:w="140"/>
            </w:tcMar>
          </w:tcPr>
          <w:p>
            <w:r>
              <w:rPr>
                <w:rFonts w:ascii="Calibri" w:cs="Calibri" w:eastAsia="Calibri" w:hAnsi="Calibri"/>
                <w:b/>
                <w:bCs/>
                <w:color w:val="1A1A1A"/>
                <w:sz w:val="21"/>
                <w:szCs w:val="21"/>
              </w:rPr>
              <w:t xml:space="preserve">DFIs, sovereign wealth funds, and impact investors collectively hold trillions earmarked for emerging market infrastructure, workforce development, and governance modernisation. The bottleneck is not capital — it is credible, integrated, absorptive deployment vehicles. Capital sits in institutional holding accounts while infrastructure deficits grow, because investable vehicles do not exist at the required scale.</w:t>
            </w:r>
          </w:p>
        </w:tc>
      </w:tr>
      <w:tr>
        <w:tc>
          <w:tcPr>
            <w:tcW w:type="dxa" w:w="2200"/>
            <w:tcBorders>
              <w:top w:val="single" w:color="DDDDDD" w:sz="1"/>
              <w:left w:val="single" w:color="DDDDDD" w:sz="1"/>
              <w:bottom w:val="single" w:color="DDDDDD" w:sz="1"/>
              <w:right w:val="single" w:color="DDDDDD" w:sz="1"/>
            </w:tcBorders>
            <w:shd w:fill="3A3A3A" w:val="clear"/>
            <w:tcMar>
              <w:top w:type="dxa" w:w="100"/>
              <w:left w:type="dxa" w:w="140"/>
              <w:bottom w:type="dxa" w:w="100"/>
              <w:right w:type="dxa" w:w="140"/>
            </w:tcMar>
            <w:vAlign w:val="center"/>
          </w:tcPr>
          <w:p>
            <w:r>
              <w:rPr>
                <w:rFonts w:ascii="Calibri" w:cs="Calibri" w:eastAsia="Calibri" w:hAnsi="Calibri"/>
                <w:b/>
                <w:bCs/>
                <w:color w:val="CCCCCC"/>
                <w:sz w:val="18"/>
                <w:szCs w:val="18"/>
              </w:rPr>
              <w:t xml:space="preserve">SCALE</w:t>
            </w:r>
          </w:p>
        </w:tc>
        <w:tc>
          <w:tcPr>
            <w:tcW w:type="dxa" w:w="7160"/>
            <w:tcBorders>
              <w:top w:val="single" w:color="DDDDDD" w:sz="1"/>
              <w:left w:val="single" w:color="DDDDDD" w:sz="1"/>
              <w:bottom w:val="single" w:color="DDDDDD" w:sz="1"/>
              <w:right w:val="single" w:color="DDDDDD" w:sz="1"/>
            </w:tcBorders>
            <w:shd w:fill="F5F5F5" w:val="clear"/>
            <w:tcMar>
              <w:top w:type="dxa" w:w="100"/>
              <w:left w:type="dxa" w:w="140"/>
              <w:bottom w:type="dxa" w:w="100"/>
              <w:right w:type="dxa" w:w="140"/>
            </w:tcMar>
          </w:tcPr>
          <w:p>
            <w:r>
              <w:rPr>
                <w:rFonts w:ascii="Calibri" w:cs="Calibri" w:eastAsia="Calibri" w:hAnsi="Calibri"/>
                <w:color w:val="3A3A3A"/>
                <w:sz w:val="21"/>
                <w:szCs w:val="21"/>
              </w:rPr>
              <w:t xml:space="preserve">Africa infrastructure funding gap: $68–108B annually. DFI deployable capital earmarked for Africa: estimated $200B+ available but un-deployed. Reason for under-deployment: insufficient bankable project pipeline.</w:t>
            </w:r>
          </w:p>
        </w:tc>
      </w:tr>
      <w:tr>
        <w:tc>
          <w:tcPr>
            <w:tcW w:type="dxa" w:w="2200"/>
            <w:tcBorders>
              <w:top w:val="single" w:color="DDDDDD" w:sz="1"/>
              <w:left w:val="single" w:color="DDDDDD" w:sz="1"/>
              <w:bottom w:val="single" w:color="DDDDDD" w:sz="1"/>
              <w:right w:val="single" w:color="DDDDDD" w:sz="1"/>
            </w:tcBorders>
            <w:shd w:fill="1A5C1A"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G.O.D.S. RESPONSE</w:t>
            </w:r>
          </w:p>
        </w:tc>
        <w:tc>
          <w:tcPr>
            <w:tcW w:type="dxa" w:w="7160"/>
            <w:tcBorders>
              <w:top w:val="single" w:color="DDDDDD" w:sz="1"/>
              <w:left w:val="single" w:color="DDDDDD" w:sz="1"/>
              <w:bottom w:val="single" w:color="DDDDDD" w:sz="1"/>
              <w:right w:val="single" w:color="DDDDDD" w:sz="1"/>
            </w:tcBorders>
            <w:shd w:fill="F0FFF0" w:val="clear"/>
            <w:tcMar>
              <w:top w:type="dxa" w:w="100"/>
              <w:left w:type="dxa" w:w="140"/>
              <w:bottom w:type="dxa" w:w="100"/>
              <w:right w:type="dxa" w:w="140"/>
            </w:tcMar>
          </w:tcPr>
          <w:p>
            <w:r>
              <w:rPr>
                <w:rFonts w:ascii="Calibri" w:cs="Calibri" w:eastAsia="Calibri" w:hAnsi="Calibri"/>
                <w:color w:val="1A1A1A"/>
                <w:sz w:val="21"/>
                <w:szCs w:val="21"/>
              </w:rPr>
              <w:t xml:space="preserve">M.A.D.I.B.A. — the capital architecture layer — creates the institutional vehicle to connect sovereign and development capital to proven G.O.D.S. infrastructure projects. By the time M.A.D.I.B.A. is operational, S.E.T.H.S. has demonstrated workforce outcomes, T.S. has delivered infrastructure projects, and UDOC has proven governance capability. Capital now has a credible destination.</w:t>
            </w:r>
          </w:p>
        </w:tc>
      </w:tr>
      <w:tr>
        <w:tc>
          <w:tcPr>
            <w:tcW w:type="dxa" w:w="2200"/>
            <w:tcBorders>
              <w:top w:val="single" w:color="DDDDDD" w:sz="1"/>
              <w:left w:val="single" w:color="DDDDDD" w:sz="1"/>
              <w:bottom w:val="single" w:color="DDDDDD" w:sz="1"/>
              <w:right w:val="single" w:color="DDDDDD" w:sz="1"/>
            </w:tcBorders>
            <w:shd w:fill="8B6914" w:val="clear"/>
            <w:tcMar>
              <w:top w:type="dxa" w:w="100"/>
              <w:left w:type="dxa" w:w="140"/>
              <w:bottom w:type="dxa" w:w="100"/>
              <w:right w:type="dxa" w:w="140"/>
            </w:tcMar>
            <w:vAlign w:val="center"/>
          </w:tcPr>
          <w:p>
            <w:r>
              <w:rPr>
                <w:rFonts w:ascii="Calibri" w:cs="Calibri" w:eastAsia="Calibri" w:hAnsi="Calibri"/>
                <w:b/>
                <w:bCs/>
                <w:color w:val="FFFFFF"/>
                <w:sz w:val="18"/>
                <w:szCs w:val="18"/>
              </w:rPr>
              <w:t xml:space="preserve">DIVISION</w:t>
            </w:r>
          </w:p>
        </w:tc>
        <w:tc>
          <w:tcPr>
            <w:tcW w:type="dxa" w:w="7160"/>
            <w:tcBorders>
              <w:top w:val="single" w:color="DDDDDD" w:sz="1"/>
              <w:left w:val="single" w:color="DDDDDD" w:sz="1"/>
              <w:bottom w:val="single" w:color="DDDDDD" w:sz="1"/>
              <w:right w:val="single" w:color="DDDDDD" w:sz="1"/>
            </w:tcBorders>
            <w:shd w:fill="FFFDE8" w:val="clear"/>
            <w:tcMar>
              <w:top w:type="dxa" w:w="100"/>
              <w:left w:type="dxa" w:w="140"/>
              <w:bottom w:type="dxa" w:w="100"/>
              <w:right w:type="dxa" w:w="140"/>
            </w:tcMar>
          </w:tcPr>
          <w:p>
            <w:r>
              <w:rPr>
                <w:rFonts w:ascii="Calibri" w:cs="Calibri" w:eastAsia="Calibri" w:hAnsi="Calibri"/>
                <w:b/>
                <w:bCs/>
                <w:color w:val="C9A84C"/>
                <w:sz w:val="21"/>
                <w:szCs w:val="21"/>
              </w:rPr>
              <w:t xml:space="preserve">M.A.D.I.B.A. (Division 4)</w:t>
            </w:r>
          </w:p>
        </w:tc>
      </w:tr>
    </w:tbl>
    <w:p>
      <w:r>
        <w:br w:type="page"/>
      </w:r>
    </w:p>
    <w:p>
      <w:pPr>
        <w:pStyle w:val="Heading1"/>
        <w:spacing w:before="400" w:after="120"/>
      </w:pPr>
      <w:r>
        <w:rPr>
          <w:rFonts w:ascii="Georgia" w:cs="Georgia" w:eastAsia="Georgia" w:hAnsi="Georgia"/>
          <w:b/>
          <w:bCs/>
          <w:color w:val="060E1C"/>
          <w:sz w:val="40"/>
          <w:szCs w:val="40"/>
        </w:rPr>
        <w:t xml:space="preserve">03  Implementation Rollout — Country by Country</w:t>
      </w:r>
    </w:p>
    <w:p>
      <w:pPr>
        <w:pBdr>
          <w:bottom w:val="single" w:color="C9A84C" w:sz="6" w:space="1"/>
        </w:pBdr>
        <w:spacing w:before="60" w:after="60"/>
      </w:pPr>
    </w:p>
    <w:p>
      <w:pPr>
        <w:spacing w:before="80" w:after="80"/>
      </w:pPr>
    </w:p>
    <w:p>
      <w:pPr>
        <w:spacing w:before="80" w:after="120" w:line="360"/>
      </w:pPr>
      <w:r>
        <w:rPr>
          <w:rFonts w:ascii="Calibri" w:cs="Calibri" w:eastAsia="Calibri" w:hAnsi="Calibri"/>
          <w:color w:val="2C2C2C"/>
          <w:sz w:val="22"/>
          <w:szCs w:val="22"/>
        </w:rPr>
        <w:t xml:space="preserve">G.O.D.S. rolls out through a deliberate sequencing designed to maximise proof generation and credibility transfer. South Africa is not just the first country — it is the demonstration case that unlocks every subsequent country.</w:t>
      </w:r>
    </w:p>
    <w:p>
      <w:pPr>
        <w:spacing w:before="120" w:after="80"/>
      </w:pPr>
    </w:p>
    <w:p>
      <w:pPr>
        <w:pStyle w:val="Heading2"/>
        <w:spacing w:before="300" w:after="100"/>
      </w:pPr>
      <w:r>
        <w:rPr>
          <w:rFonts w:ascii="Georgia" w:cs="Georgia" w:eastAsia="Georgia" w:hAnsi="Georgia"/>
          <w:b/>
          <w:bCs/>
          <w:color w:val="060E1C"/>
          <w:sz w:val="30"/>
          <w:szCs w:val="30"/>
        </w:rPr>
        <w:t xml:space="preserve">Stage 1 — Republic of South Africa (2025–2027)</w:t>
      </w:r>
    </w:p>
    <w:p>
      <w:pPr>
        <w:pBdr>
          <w:bottom w:val="single" w:color="DDDDDD" w:sz="2" w:space="1"/>
        </w:pBdr>
        <w:spacing w:before="60" w:after="60"/>
      </w:pPr>
    </w:p>
    <w:p>
      <w:pPr>
        <w:spacing w:before="60" w:after="60"/>
      </w:pPr>
    </w:p>
    <w:p>
      <w:pPr>
        <w:spacing w:before="80" w:after="120" w:line="360"/>
      </w:pPr>
      <w:r>
        <w:rPr>
          <w:rFonts w:ascii="Calibri" w:cs="Calibri" w:eastAsia="Calibri" w:hAnsi="Calibri"/>
          <w:color w:val="2C2C2C"/>
          <w:sz w:val="22"/>
          <w:szCs w:val="22"/>
        </w:rPr>
        <w:t xml:space="preserve">South Africa is the proof of concept. The full four-division architecture is deployed here in sequence, generating the operational proof required for international replication.</w:t>
      </w:r>
    </w:p>
    <w:p>
      <w:pPr>
        <w:spacing w:before="80" w:after="80"/>
      </w:pPr>
    </w:p>
    <w:p>
      <w:pPr>
        <w:spacing w:before="200" w:after="60"/>
      </w:pPr>
      <w:r>
        <w:rPr>
          <w:rFonts w:ascii="Calibri" w:cs="Calibri" w:eastAsia="Calibri" w:hAnsi="Calibri"/>
          <w:b/>
          <w:bCs/>
          <w:color w:val="C9A84C"/>
          <w:spacing w:val="120"/>
          <w:sz w:val="18"/>
          <w:szCs w:val="18"/>
        </w:rPr>
        <w:t xml:space="preserve">YEAR 1 — S.E.T.H.S. ACTIVATION</w:t>
      </w:r>
    </w:p>
    <w:p>
      <w:pPr>
        <w:pStyle w:val="ListParagraph"/>
        <w:numPr>
          <w:ilvl w:val="0"/>
          <w:numId w:val="2"/>
        </w:numPr>
        <w:spacing w:before="60" w:after="60" w:line="320"/>
      </w:pPr>
      <w:r>
        <w:rPr>
          <w:rFonts w:ascii="Calibri" w:cs="Calibri" w:eastAsia="Calibri" w:hAnsi="Calibri"/>
          <w:color w:val="3A3A3A"/>
          <w:sz w:val="21"/>
          <w:szCs w:val="21"/>
        </w:rPr>
        <w:t xml:space="preserve">50-participant S.E.T.H.S. pilot, Gauteng province</w:t>
      </w:r>
    </w:p>
    <w:p>
      <w:pPr>
        <w:pStyle w:val="ListParagraph"/>
        <w:numPr>
          <w:ilvl w:val="0"/>
          <w:numId w:val="2"/>
        </w:numPr>
        <w:spacing w:before="60" w:after="60" w:line="320"/>
      </w:pPr>
      <w:r>
        <w:rPr>
          <w:rFonts w:ascii="Calibri" w:cs="Calibri" w:eastAsia="Calibri" w:hAnsi="Calibri"/>
          <w:color w:val="3A3A3A"/>
          <w:sz w:val="21"/>
          <w:szCs w:val="21"/>
        </w:rPr>
        <w:t xml:space="preserve">Government MOU: collaboration agreement with relevant department (Social Development, Employment and Labour)</w:t>
      </w:r>
    </w:p>
    <w:p>
      <w:pPr>
        <w:pStyle w:val="ListParagraph"/>
        <w:numPr>
          <w:ilvl w:val="0"/>
          <w:numId w:val="2"/>
        </w:numPr>
        <w:spacing w:before="60" w:after="60" w:line="320"/>
      </w:pPr>
      <w:r>
        <w:rPr>
          <w:rFonts w:ascii="Calibri" w:cs="Calibri" w:eastAsia="Calibri" w:hAnsi="Calibri"/>
          <w:color w:val="3A3A3A"/>
          <w:sz w:val="21"/>
          <w:szCs w:val="21"/>
        </w:rPr>
        <w:t xml:space="preserve">Employer partnership agreements: minimum 10 anchor employers confirmed before cohort intake</w:t>
      </w:r>
    </w:p>
    <w:p>
      <w:pPr>
        <w:pStyle w:val="ListParagraph"/>
        <w:numPr>
          <w:ilvl w:val="0"/>
          <w:numId w:val="2"/>
        </w:numPr>
        <w:spacing w:before="60" w:after="60" w:line="320"/>
      </w:pPr>
      <w:r>
        <w:rPr>
          <w:rFonts w:ascii="Calibri" w:cs="Calibri" w:eastAsia="Calibri" w:hAnsi="Calibri"/>
          <w:color w:val="3A3A3A"/>
          <w:sz w:val="21"/>
          <w:szCs w:val="21"/>
        </w:rPr>
        <w:t xml:space="preserve">Constitutional Oversight Board established</w:t>
      </w:r>
    </w:p>
    <w:p>
      <w:pPr>
        <w:pStyle w:val="ListParagraph"/>
        <w:numPr>
          <w:ilvl w:val="0"/>
          <w:numId w:val="2"/>
        </w:numPr>
        <w:spacing w:before="60" w:after="60" w:line="320"/>
      </w:pPr>
      <w:r>
        <w:rPr>
          <w:rFonts w:ascii="Calibri" w:cs="Calibri" w:eastAsia="Calibri" w:hAnsi="Calibri"/>
          <w:color w:val="3A3A3A"/>
          <w:sz w:val="21"/>
          <w:szCs w:val="21"/>
        </w:rPr>
        <w:t xml:space="preserve">UDOC enterprise SaaS development commences</w:t>
      </w:r>
    </w:p>
    <w:p>
      <w:pPr>
        <w:spacing w:before="80" w:after="80"/>
      </w:pPr>
    </w:p>
    <w:p>
      <w:pPr>
        <w:spacing w:before="200" w:after="60"/>
      </w:pPr>
      <w:r>
        <w:rPr>
          <w:rFonts w:ascii="Calibri" w:cs="Calibri" w:eastAsia="Calibri" w:hAnsi="Calibri"/>
          <w:b/>
          <w:bCs/>
          <w:color w:val="C9A84C"/>
          <w:spacing w:val="120"/>
          <w:sz w:val="18"/>
          <w:szCs w:val="18"/>
        </w:rPr>
        <w:t xml:space="preserve">YEAR 2 — T.S. INFRASTRUCTURE &amp; SCALE</w:t>
      </w:r>
    </w:p>
    <w:p>
      <w:pPr>
        <w:pStyle w:val="ListParagraph"/>
        <w:numPr>
          <w:ilvl w:val="0"/>
          <w:numId w:val="2"/>
        </w:numPr>
        <w:spacing w:before="60" w:after="60" w:line="320"/>
      </w:pPr>
      <w:r>
        <w:rPr>
          <w:rFonts w:ascii="Calibri" w:cs="Calibri" w:eastAsia="Calibri" w:hAnsi="Calibri"/>
          <w:color w:val="3A3A3A"/>
          <w:sz w:val="21"/>
          <w:szCs w:val="21"/>
        </w:rPr>
        <w:t xml:space="preserve">First T.S. solar installation project using S.E.T.H.S. Stream A graduates</w:t>
      </w:r>
    </w:p>
    <w:p>
      <w:pPr>
        <w:pStyle w:val="ListParagraph"/>
        <w:numPr>
          <w:ilvl w:val="0"/>
          <w:numId w:val="2"/>
        </w:numPr>
        <w:spacing w:before="60" w:after="60" w:line="320"/>
      </w:pPr>
      <w:r>
        <w:rPr>
          <w:rFonts w:ascii="Calibri" w:cs="Calibri" w:eastAsia="Calibri" w:hAnsi="Calibri"/>
          <w:color w:val="3A3A3A"/>
          <w:sz w:val="21"/>
          <w:szCs w:val="21"/>
        </w:rPr>
        <w:t xml:space="preserve">S.E.T.H.S. cohort 2: 100 participants</w:t>
      </w:r>
    </w:p>
    <w:p>
      <w:pPr>
        <w:pStyle w:val="ListParagraph"/>
        <w:numPr>
          <w:ilvl w:val="0"/>
          <w:numId w:val="2"/>
        </w:numPr>
        <w:spacing w:before="60" w:after="60" w:line="320"/>
      </w:pPr>
      <w:r>
        <w:rPr>
          <w:rFonts w:ascii="Calibri" w:cs="Calibri" w:eastAsia="Calibri" w:hAnsi="Calibri"/>
          <w:color w:val="3A3A3A"/>
          <w:sz w:val="21"/>
          <w:szCs w:val="21"/>
        </w:rPr>
        <w:t xml:space="preserve">First vertical farming pilot in partnership with municipality</w:t>
      </w:r>
    </w:p>
    <w:p>
      <w:pPr>
        <w:pStyle w:val="ListParagraph"/>
        <w:numPr>
          <w:ilvl w:val="0"/>
          <w:numId w:val="2"/>
        </w:numPr>
        <w:spacing w:before="60" w:after="60" w:line="320"/>
      </w:pPr>
      <w:r>
        <w:rPr>
          <w:rFonts w:ascii="Calibri" w:cs="Calibri" w:eastAsia="Calibri" w:hAnsi="Calibri"/>
          <w:color w:val="3A3A3A"/>
          <w:sz w:val="21"/>
          <w:szCs w:val="21"/>
        </w:rPr>
        <w:t xml:space="preserve">UDOC MVP enterprise deployment with 3–5 private sector beta clients</w:t>
      </w:r>
    </w:p>
    <w:p>
      <w:pPr>
        <w:pStyle w:val="ListParagraph"/>
        <w:numPr>
          <w:ilvl w:val="0"/>
          <w:numId w:val="2"/>
        </w:numPr>
        <w:spacing w:before="60" w:after="60" w:line="320"/>
      </w:pPr>
      <w:r>
        <w:rPr>
          <w:rFonts w:ascii="Calibri" w:cs="Calibri" w:eastAsia="Calibri" w:hAnsi="Calibri"/>
          <w:color w:val="3A3A3A"/>
          <w:sz w:val="21"/>
          <w:szCs w:val="21"/>
        </w:rPr>
        <w:t xml:space="preserve">Government conversations: DPSA or SARS UDOC pilot proposal</w:t>
      </w:r>
    </w:p>
    <w:p>
      <w:pPr>
        <w:spacing w:before="80" w:after="80"/>
      </w:pPr>
    </w:p>
    <w:p>
      <w:pPr>
        <w:spacing w:before="200" w:after="60"/>
      </w:pPr>
      <w:r>
        <w:rPr>
          <w:rFonts w:ascii="Calibri" w:cs="Calibri" w:eastAsia="Calibri" w:hAnsi="Calibri"/>
          <w:b/>
          <w:bCs/>
          <w:color w:val="C9A84C"/>
          <w:spacing w:val="120"/>
          <w:sz w:val="18"/>
          <w:szCs w:val="18"/>
        </w:rPr>
        <w:t xml:space="preserve">YEAR 3 — FULL ARCHITECTURE PROOF</w:t>
      </w:r>
    </w:p>
    <w:p>
      <w:pPr>
        <w:pStyle w:val="ListParagraph"/>
        <w:numPr>
          <w:ilvl w:val="0"/>
          <w:numId w:val="2"/>
        </w:numPr>
        <w:spacing w:before="60" w:after="60" w:line="320"/>
      </w:pPr>
      <w:r>
        <w:rPr>
          <w:rFonts w:ascii="Calibri" w:cs="Calibri" w:eastAsia="Calibri" w:hAnsi="Calibri"/>
          <w:color w:val="3A3A3A"/>
          <w:sz w:val="21"/>
          <w:szCs w:val="21"/>
        </w:rPr>
        <w:t xml:space="preserve">S.E.T.H.S. at 300+ participants, multiple cohorts</w:t>
      </w:r>
    </w:p>
    <w:p>
      <w:pPr>
        <w:pStyle w:val="ListParagraph"/>
        <w:numPr>
          <w:ilvl w:val="0"/>
          <w:numId w:val="2"/>
        </w:numPr>
        <w:spacing w:before="60" w:after="60" w:line="320"/>
      </w:pPr>
      <w:r>
        <w:rPr>
          <w:rFonts w:ascii="Calibri" w:cs="Calibri" w:eastAsia="Calibri" w:hAnsi="Calibri"/>
          <w:color w:val="3A3A3A"/>
          <w:sz w:val="21"/>
          <w:szCs w:val="21"/>
        </w:rPr>
        <w:t xml:space="preserve">T.S. with 3+ active infrastructure projects across Gauteng and Western Cape</w:t>
      </w:r>
    </w:p>
    <w:p>
      <w:pPr>
        <w:pStyle w:val="ListParagraph"/>
        <w:numPr>
          <w:ilvl w:val="0"/>
          <w:numId w:val="2"/>
        </w:numPr>
        <w:spacing w:before="60" w:after="60" w:line="320"/>
      </w:pPr>
      <w:r>
        <w:rPr>
          <w:rFonts w:ascii="Calibri" w:cs="Calibri" w:eastAsia="Calibri" w:hAnsi="Calibri"/>
          <w:color w:val="3A3A3A"/>
          <w:sz w:val="21"/>
          <w:szCs w:val="21"/>
        </w:rPr>
        <w:t xml:space="preserve">UDOC government pilot active with at least one national department</w:t>
      </w:r>
    </w:p>
    <w:p>
      <w:pPr>
        <w:pStyle w:val="ListParagraph"/>
        <w:numPr>
          <w:ilvl w:val="0"/>
          <w:numId w:val="2"/>
        </w:numPr>
        <w:spacing w:before="60" w:after="60" w:line="320"/>
      </w:pPr>
      <w:r>
        <w:rPr>
          <w:rFonts w:ascii="Calibri" w:cs="Calibri" w:eastAsia="Calibri" w:hAnsi="Calibri"/>
          <w:color w:val="3A3A3A"/>
          <w:sz w:val="21"/>
          <w:szCs w:val="21"/>
        </w:rPr>
        <w:t xml:space="preserve">M.A.D.I.B.A. capital vehicle formalised — first institutional investor engagement</w:t>
      </w:r>
    </w:p>
    <w:p>
      <w:pPr>
        <w:spacing w:before="120" w:after="80"/>
      </w:pPr>
    </w:p>
    <w:p>
      <w:pPr>
        <w:pStyle w:val="Heading2"/>
        <w:spacing w:before="300" w:after="100"/>
      </w:pPr>
      <w:r>
        <w:rPr>
          <w:rFonts w:ascii="Georgia" w:cs="Georgia" w:eastAsia="Georgia" w:hAnsi="Georgia"/>
          <w:b/>
          <w:bCs/>
          <w:color w:val="060E1C"/>
          <w:sz w:val="30"/>
          <w:szCs w:val="30"/>
        </w:rPr>
        <w:t xml:space="preserve">Stage 2 — SADC Priority Markets (2027–2030)</w:t>
      </w:r>
    </w:p>
    <w:p>
      <w:pPr>
        <w:pBdr>
          <w:bottom w:val="single" w:color="DDDDDD" w:sz="2" w:space="1"/>
        </w:pBdr>
        <w:spacing w:before="60" w:after="60"/>
      </w:pPr>
    </w:p>
    <w:p>
      <w:pPr>
        <w:spacing w:before="60" w:after="60"/>
      </w:pPr>
    </w:p>
    <w:p>
      <w:pPr>
        <w:spacing w:before="80" w:after="120" w:line="360"/>
      </w:pPr>
      <w:r>
        <w:rPr>
          <w:rFonts w:ascii="Calibri" w:cs="Calibri" w:eastAsia="Calibri" w:hAnsi="Calibri"/>
          <w:color w:val="2C2C2C"/>
          <w:sz w:val="22"/>
          <w:szCs w:val="22"/>
        </w:rPr>
        <w:t xml:space="preserve">SADC replication begins once South Africa proof of concept is established. Entry into each SADC market follows a consistent playbook: government partnership first, S.E.T.H.S. pilot second, T.S. infrastructure third.</w:t>
      </w:r>
    </w:p>
    <w:p>
      <w:pPr>
        <w:spacing w:before="80" w:after="80"/>
      </w:pPr>
    </w:p>
    <w:p>
      <w:pPr>
        <w:spacing w:before="200" w:after="60"/>
      </w:pPr>
      <w:r>
        <w:rPr>
          <w:rFonts w:ascii="Calibri" w:cs="Calibri" w:eastAsia="Calibri" w:hAnsi="Calibri"/>
          <w:b/>
          <w:bCs/>
          <w:color w:val="C9A84C"/>
          <w:spacing w:val="120"/>
          <w:sz w:val="18"/>
          <w:szCs w:val="18"/>
        </w:rPr>
        <w:t xml:space="preserve">ZIMBABWE</w:t>
      </w:r>
    </w:p>
    <w:p>
      <w:pPr>
        <w:spacing w:before="80" w:after="120" w:line="360"/>
      </w:pPr>
      <w:r>
        <w:rPr>
          <w:rFonts w:ascii="Calibri" w:cs="Calibri" w:eastAsia="Calibri" w:hAnsi="Calibri"/>
          <w:color w:val="2C2C2C"/>
          <w:sz w:val="22"/>
          <w:szCs w:val="22"/>
        </w:rPr>
        <w:t xml:space="preserve">Entry vector: post-recovery economic reconstruction. Zimbabwe's economic rehabilitation creates a natural demand for all four G.O.D.S. divisions. S.E.T.H.S. addresses 26% unemployment; T.S. addresses energy and agriculture gaps; UDOC addresses governance modernisation; M.A.D.I.B.A. channels development capital into the reconstruction economy.</w:t>
      </w:r>
    </w:p>
    <w:p>
      <w:pPr>
        <w:spacing w:before="60" w:after="60"/>
      </w:pPr>
    </w:p>
    <w:p>
      <w:pPr>
        <w:spacing w:before="200" w:after="60"/>
      </w:pPr>
      <w:r>
        <w:rPr>
          <w:rFonts w:ascii="Calibri" w:cs="Calibri" w:eastAsia="Calibri" w:hAnsi="Calibri"/>
          <w:b/>
          <w:bCs/>
          <w:color w:val="C9A84C"/>
          <w:spacing w:val="120"/>
          <w:sz w:val="18"/>
          <w:szCs w:val="18"/>
        </w:rPr>
        <w:t xml:space="preserve">ZAMBIA</w:t>
      </w:r>
    </w:p>
    <w:p>
      <w:pPr>
        <w:spacing w:before="80" w:after="120" w:line="360"/>
      </w:pPr>
      <w:r>
        <w:rPr>
          <w:rFonts w:ascii="Calibri" w:cs="Calibri" w:eastAsia="Calibri" w:hAnsi="Calibri"/>
          <w:color w:val="2C2C2C"/>
          <w:sz w:val="22"/>
          <w:szCs w:val="22"/>
        </w:rPr>
        <w:t xml:space="preserve">Entry vector: mining economy workforce transition and agricultural development. Zambia's economy faces automation pressure in mining and processing. S.E.T.H.S. provides transition pathway. T.S. vertical farming addresses Zambia's food sovereignty agenda. UDOC aligns with Zambia's digital governance reform programme.</w:t>
      </w:r>
    </w:p>
    <w:p>
      <w:pPr>
        <w:spacing w:before="60" w:after="60"/>
      </w:pPr>
    </w:p>
    <w:p>
      <w:pPr>
        <w:spacing w:before="200" w:after="60"/>
      </w:pPr>
      <w:r>
        <w:rPr>
          <w:rFonts w:ascii="Calibri" w:cs="Calibri" w:eastAsia="Calibri" w:hAnsi="Calibri"/>
          <w:b/>
          <w:bCs/>
          <w:color w:val="C9A84C"/>
          <w:spacing w:val="120"/>
          <w:sz w:val="18"/>
          <w:szCs w:val="18"/>
        </w:rPr>
        <w:t xml:space="preserve">MOZAMBIQUE</w:t>
      </w:r>
    </w:p>
    <w:p>
      <w:pPr>
        <w:spacing w:before="80" w:after="120" w:line="360"/>
      </w:pPr>
      <w:r>
        <w:rPr>
          <w:rFonts w:ascii="Calibri" w:cs="Calibri" w:eastAsia="Calibri" w:hAnsi="Calibri"/>
          <w:color w:val="2C2C2C"/>
          <w:sz w:val="22"/>
          <w:szCs w:val="22"/>
        </w:rPr>
        <w:t xml:space="preserve">Entry vector: LNG economy infrastructure and coastal resilience. Mozambique's emerging natural gas economy creates infrastructure demand that T.S. can service. Cyclone-resilient food and energy systems are a national security priority. UDOC addresses governance transparency demands from international LNG investors.</w:t>
      </w:r>
    </w:p>
    <w:p>
      <w:pPr>
        <w:spacing w:before="60" w:after="60"/>
      </w:pPr>
    </w:p>
    <w:p>
      <w:pPr>
        <w:spacing w:before="200" w:after="60"/>
      </w:pPr>
      <w:r>
        <w:rPr>
          <w:rFonts w:ascii="Calibri" w:cs="Calibri" w:eastAsia="Calibri" w:hAnsi="Calibri"/>
          <w:b/>
          <w:bCs/>
          <w:color w:val="C9A84C"/>
          <w:spacing w:val="120"/>
          <w:sz w:val="18"/>
          <w:szCs w:val="18"/>
        </w:rPr>
        <w:t xml:space="preserve">BOTSWANA</w:t>
      </w:r>
    </w:p>
    <w:p>
      <w:pPr>
        <w:spacing w:before="80" w:after="120" w:line="360"/>
      </w:pPr>
      <w:r>
        <w:rPr>
          <w:rFonts w:ascii="Calibri" w:cs="Calibri" w:eastAsia="Calibri" w:hAnsi="Calibri"/>
          <w:color w:val="2C2C2C"/>
          <w:sz w:val="22"/>
          <w:szCs w:val="22"/>
        </w:rPr>
        <w:t xml:space="preserve">Entry vector: post-diamond economy diversification. Botswana's government is actively seeking post-diamond economic diversification vehicles. G.O.D.S. offers a complete alternative economy architecture — human capital, infrastructure, governance, and capital — that aligns with Botswana's Vision 2036 development plan.</w:t>
      </w:r>
    </w:p>
    <w:p>
      <w:pPr>
        <w:spacing w:before="60" w:after="60"/>
      </w:pPr>
    </w:p>
    <w:p>
      <w:pPr>
        <w:spacing w:before="200" w:after="60"/>
      </w:pPr>
      <w:r>
        <w:rPr>
          <w:rFonts w:ascii="Calibri" w:cs="Calibri" w:eastAsia="Calibri" w:hAnsi="Calibri"/>
          <w:b/>
          <w:bCs/>
          <w:color w:val="C9A84C"/>
          <w:spacing w:val="120"/>
          <w:sz w:val="18"/>
          <w:szCs w:val="18"/>
        </w:rPr>
        <w:t xml:space="preserve">NAMIBIA</w:t>
      </w:r>
    </w:p>
    <w:p>
      <w:pPr>
        <w:spacing w:before="80" w:after="120" w:line="360"/>
      </w:pPr>
      <w:r>
        <w:rPr>
          <w:rFonts w:ascii="Calibri" w:cs="Calibri" w:eastAsia="Calibri" w:hAnsi="Calibri"/>
          <w:color w:val="2C2C2C"/>
          <w:sz w:val="22"/>
          <w:szCs w:val="22"/>
        </w:rPr>
        <w:t xml:space="preserve">Entry vector: green hydrogen economy workforce and governance. Namibia's ambitious green hydrogen programme creates demand for technical workforce (S.E.T.H.S. Stream A), infrastructure systems (T.S. solar and water), and governance infrastructure (UDOC) for sovereign management of a transformative energy economy.</w:t>
      </w:r>
    </w:p>
    <w:p>
      <w:pPr>
        <w:spacing w:before="120" w:after="80"/>
      </w:pPr>
    </w:p>
    <w:p>
      <w:pPr>
        <w:pStyle w:val="Heading2"/>
        <w:spacing w:before="300" w:after="100"/>
      </w:pPr>
      <w:r>
        <w:rPr>
          <w:rFonts w:ascii="Georgia" w:cs="Georgia" w:eastAsia="Georgia" w:hAnsi="Georgia"/>
          <w:b/>
          <w:bCs/>
          <w:color w:val="060E1C"/>
          <w:sz w:val="30"/>
          <w:szCs w:val="30"/>
        </w:rPr>
        <w:t xml:space="preserve">Stage 3 — Broader African Union (2030–2035)</w:t>
      </w:r>
    </w:p>
    <w:p>
      <w:pPr>
        <w:pBdr>
          <w:bottom w:val="single" w:color="DDDDDD" w:sz="2" w:space="1"/>
        </w:pBdr>
        <w:spacing w:before="60" w:after="60"/>
      </w:pPr>
    </w:p>
    <w:p>
      <w:pPr>
        <w:spacing w:before="60" w:after="60"/>
      </w:pPr>
    </w:p>
    <w:p>
      <w:pPr>
        <w:spacing w:before="80" w:after="120" w:line="360"/>
      </w:pPr>
      <w:r>
        <w:rPr>
          <w:rFonts w:ascii="Calibri" w:cs="Calibri" w:eastAsia="Calibri" w:hAnsi="Calibri"/>
          <w:color w:val="2C2C2C"/>
          <w:sz w:val="22"/>
          <w:szCs w:val="22"/>
        </w:rPr>
        <w:t xml:space="preserve">Following SADC proof, the G.O.D.S. model is positioned as a Pan-African infrastructure system. Target markets in Stage 3 include Nigeria, Ghana, Kenya, Ethiopia, and Egypt — representing the largest African economies outside SADC. Entry in Stage 3 is through M.A.D.I.B.A. sovereign partnerships and African Union institutional frameworks.</w:t>
      </w:r>
    </w:p>
    <w:p>
      <w:pPr>
        <w:spacing w:before="120" w:after="80"/>
      </w:pPr>
    </w:p>
    <w:p>
      <w:pPr>
        <w:pStyle w:val="Heading2"/>
        <w:spacing w:before="300" w:after="100"/>
      </w:pPr>
      <w:r>
        <w:rPr>
          <w:rFonts w:ascii="Georgia" w:cs="Georgia" w:eastAsia="Georgia" w:hAnsi="Georgia"/>
          <w:b/>
          <w:bCs/>
          <w:color w:val="060E1C"/>
          <w:sz w:val="30"/>
          <w:szCs w:val="30"/>
        </w:rPr>
        <w:t xml:space="preserve">Stage 4 — Global South Replication (2035+)</w:t>
      </w:r>
    </w:p>
    <w:p>
      <w:pPr>
        <w:pBdr>
          <w:bottom w:val="single" w:color="DDDDDD" w:sz="2" w:space="1"/>
        </w:pBdr>
        <w:spacing w:before="60" w:after="60"/>
      </w:pPr>
    </w:p>
    <w:p>
      <w:pPr>
        <w:spacing w:before="60" w:after="60"/>
      </w:pPr>
    </w:p>
    <w:p>
      <w:pPr>
        <w:spacing w:before="80" w:after="120" w:line="360"/>
      </w:pPr>
      <w:r>
        <w:rPr>
          <w:rFonts w:ascii="Calibri" w:cs="Calibri" w:eastAsia="Calibri" w:hAnsi="Calibri"/>
          <w:color w:val="2C2C2C"/>
          <w:sz w:val="22"/>
          <w:szCs w:val="22"/>
        </w:rPr>
        <w:t xml:space="preserve">By Stage 4, the G.O.D.S. model is a proven, replicated architecture with operational proof across 10+ countries. Stage 4 targets the broader Global South: Southeast Asia, South Asia, Caribbean, and Pacific Island economies facing comparable combinations of workforce displacement, infrastructure deficit, governance gaps, and digital sovereignty concerns.</w:t>
      </w:r>
    </w:p>
    <w:p>
      <w:r>
        <w:br w:type="page"/>
      </w:r>
    </w:p>
    <w:p>
      <w:pPr>
        <w:pStyle w:val="Heading1"/>
        <w:spacing w:before="400" w:after="120"/>
      </w:pPr>
      <w:r>
        <w:rPr>
          <w:rFonts w:ascii="Georgia" w:cs="Georgia" w:eastAsia="Georgia" w:hAnsi="Georgia"/>
          <w:b/>
          <w:bCs/>
          <w:color w:val="060E1C"/>
          <w:sz w:val="40"/>
          <w:szCs w:val="40"/>
        </w:rPr>
        <w:t xml:space="preserve">04  Implementation Activation Map — G.O.D.S. vs. Problem</w:t>
      </w:r>
    </w:p>
    <w:p>
      <w:pPr>
        <w:pBdr>
          <w:bottom w:val="single" w:color="C9A84C" w:sz="6" w:space="1"/>
        </w:pBdr>
        <w:spacing w:before="60" w:after="60"/>
      </w:pPr>
    </w:p>
    <w:p>
      <w:pP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440"/>
        <w:gridCol w:w="1440"/>
        <w:gridCol w:w="1440"/>
        <w:gridCol w:w="1440"/>
        <w:gridCol w:w="1600"/>
      </w:tblGrid>
      <w:tr>
        <w:tc>
          <w:tcPr>
            <w:tcW w:type="dxa" w:w="30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World Problem</w:t>
            </w:r>
          </w:p>
        </w:tc>
        <w:tc>
          <w:tcPr>
            <w:tcW w:type="dxa" w:w="14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S.E.T.H.S.</w:t>
            </w:r>
          </w:p>
        </w:tc>
        <w:tc>
          <w:tcPr>
            <w:tcW w:type="dxa" w:w="14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T.S.</w:t>
            </w:r>
          </w:p>
        </w:tc>
        <w:tc>
          <w:tcPr>
            <w:tcW w:type="dxa" w:w="14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UDOC</w:t>
            </w:r>
          </w:p>
        </w:tc>
        <w:tc>
          <w:tcPr>
            <w:tcW w:type="dxa" w:w="144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M.A.D.I.B.A.</w:t>
            </w:r>
          </w:p>
        </w:tc>
        <w:tc>
          <w:tcPr>
            <w:tcW w:type="dxa" w:w="1600"/>
            <w:tcBorders>
              <w:top w:val="single" w:color="DDDDDD" w:sz="1"/>
              <w:left w:val="single" w:color="DDDDDD" w:sz="1"/>
              <w:bottom w:val="single" w:color="DDDDDD" w:sz="1"/>
              <w:right w:val="single" w:color="DDDDDD" w:sz="1"/>
            </w:tcBorders>
            <w:shd w:fill="060E1C" w:val="clear"/>
            <w:tcMar>
              <w:top w:type="dxa" w:w="100"/>
              <w:left w:type="dxa" w:w="140"/>
              <w:bottom w:type="dxa" w:w="100"/>
              <w:right w:type="dxa" w:w="140"/>
            </w:tcMar>
          </w:tcPr>
          <w:p>
            <w:r>
              <w:rPr>
                <w:rFonts w:ascii="Calibri" w:cs="Calibri" w:eastAsia="Calibri" w:hAnsi="Calibri"/>
                <w:b/>
                <w:bCs/>
                <w:color w:val="FFFFFF"/>
                <w:sz w:val="19"/>
                <w:szCs w:val="19"/>
              </w:rPr>
              <w:t xml:space="preserve">SA Stage</w:t>
            </w:r>
          </w:p>
        </w:tc>
      </w:tr>
      <w:tr>
        <w:tc>
          <w:tcPr>
            <w:tcW w:type="dxa" w:w="30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060E1C"/>
                <w:sz w:val="19"/>
                <w:szCs w:val="19"/>
              </w:rPr>
              <w:t xml:space="preserve">Structural Unemployment</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Secondary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Support</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C9A84C"/>
                <w:sz w:val="18"/>
                <w:szCs w:val="18"/>
              </w:rPr>
              <w:t xml:space="preserve">Year 1</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060E1C"/>
                <w:sz w:val="19"/>
                <w:szCs w:val="19"/>
              </w:rPr>
              <w:t xml:space="preserve">Energy Insecurity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Workforce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Governance</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060E1C"/>
                <w:sz w:val="19"/>
                <w:szCs w:val="19"/>
              </w:rPr>
              <w:t xml:space="preserve">Food Insecurity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Workforce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Data</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060E1C"/>
                <w:sz w:val="19"/>
                <w:szCs w:val="19"/>
              </w:rPr>
              <w:t xml:space="preserve">Water Infrastructure</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Workforce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Data</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060E1C"/>
                <w:sz w:val="19"/>
                <w:szCs w:val="19"/>
              </w:rPr>
              <w:t xml:space="preserve">Housing Deficit</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Workforce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Support</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060E1C"/>
                <w:sz w:val="19"/>
                <w:szCs w:val="19"/>
              </w:rPr>
              <w:t xml:space="preserve">Governance Failure</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Trust anchor</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Evidence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Capital</w:t>
            </w:r>
          </w:p>
        </w:tc>
        <w:tc>
          <w:tcPr>
            <w:tcW w:type="dxa" w:w="16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060E1C"/>
                <w:sz w:val="19"/>
                <w:szCs w:val="19"/>
              </w:rPr>
              <w:t xml:space="preserve">Digital Sovereignty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Infrastructure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44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w:t>
            </w:r>
          </w:p>
        </w:tc>
        <w:tc>
          <w:tcPr>
            <w:tcW w:type="dxa" w:w="1600"/>
            <w:tcBorders>
              <w:top w:val="single" w:color="DDDDDD" w:sz="1"/>
              <w:left w:val="single" w:color="DDDDDD" w:sz="1"/>
              <w:bottom w:val="single" w:color="DDDDDD" w:sz="1"/>
              <w:right w:val="single" w:color="DDDDDD" w:sz="1"/>
            </w:tcBorders>
            <w:shd w:fill="F7F3E8" w:val="clear"/>
            <w:tcMar>
              <w:top w:type="dxa" w:w="80"/>
              <w:left w:type="dxa" w:w="140"/>
              <w:bottom w:type="dxa" w:w="80"/>
              <w:right w:type="dxa" w:w="140"/>
            </w:tcMar>
          </w:tcPr>
          <w:p>
            <w:r>
              <w:rPr>
                <w:rFonts w:ascii="Calibri" w:cs="Calibri" w:eastAsia="Calibri" w:hAnsi="Calibri"/>
                <w:b/>
                <w:bCs/>
                <w:color w:val="C9A84C"/>
                <w:sz w:val="18"/>
                <w:szCs w:val="18"/>
              </w:rPr>
              <w:t xml:space="preserve">Year 2</w:t>
            </w:r>
          </w:p>
        </w:tc>
      </w:tr>
      <w:tr>
        <w:tc>
          <w:tcPr>
            <w:tcW w:type="dxa" w:w="30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060E1C"/>
                <w:sz w:val="19"/>
                <w:szCs w:val="19"/>
              </w:rPr>
              <w:t xml:space="preserve">Capital Misallocation</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Outcomes</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Projects</w:t>
            </w:r>
          </w:p>
        </w:tc>
        <w:tc>
          <w:tcPr>
            <w:tcW w:type="dxa" w:w="144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val="false"/>
                <w:bCs w:val="false"/>
                <w:color w:val="555555"/>
                <w:sz w:val="18"/>
                <w:szCs w:val="18"/>
              </w:rPr>
              <w:t xml:space="preserve">Governance</w:t>
            </w:r>
          </w:p>
        </w:tc>
        <w:tc>
          <w:tcPr>
            <w:tcW w:type="dxa" w:w="1440"/>
            <w:tcBorders>
              <w:top w:val="single" w:color="DDDDDD" w:sz="1"/>
              <w:left w:val="single" w:color="DDDDDD" w:sz="1"/>
              <w:bottom w:val="single" w:color="DDDDDD" w:sz="1"/>
              <w:right w:val="single" w:color="DDDDDD" w:sz="1"/>
            </w:tcBorders>
            <w:shd w:fill="F0FFF0" w:val="clear"/>
            <w:tcMar>
              <w:top w:type="dxa" w:w="80"/>
              <w:left w:type="dxa" w:w="140"/>
              <w:bottom w:type="dxa" w:w="80"/>
              <w:right w:type="dxa" w:w="140"/>
            </w:tcMar>
          </w:tcPr>
          <w:p>
            <w:r>
              <w:rPr>
                <w:rFonts w:ascii="Calibri" w:cs="Calibri" w:eastAsia="Calibri" w:hAnsi="Calibri"/>
                <w:b/>
                <w:bCs/>
                <w:color w:val="1A5C1A"/>
                <w:sz w:val="18"/>
                <w:szCs w:val="18"/>
              </w:rPr>
              <w:t xml:space="preserve">PRIMARY</w:t>
            </w:r>
          </w:p>
        </w:tc>
        <w:tc>
          <w:tcPr>
            <w:tcW w:type="dxa" w:w="1600"/>
            <w:tcBorders>
              <w:top w:val="single" w:color="DDDDDD" w:sz="1"/>
              <w:left w:val="single" w:color="DDDDDD" w:sz="1"/>
              <w:bottom w:val="single" w:color="DDDDDD" w:sz="1"/>
              <w:right w:val="single" w:color="DDDDDD" w:sz="1"/>
            </w:tcBorders>
            <w:shd w:fill="FFFFFF" w:val="clear"/>
            <w:tcMar>
              <w:top w:type="dxa" w:w="80"/>
              <w:left w:type="dxa" w:w="140"/>
              <w:bottom w:type="dxa" w:w="80"/>
              <w:right w:type="dxa" w:w="140"/>
            </w:tcMar>
          </w:tcPr>
          <w:p>
            <w:r>
              <w:rPr>
                <w:rFonts w:ascii="Calibri" w:cs="Calibri" w:eastAsia="Calibri" w:hAnsi="Calibri"/>
                <w:b/>
                <w:bCs/>
                <w:color w:val="C9A84C"/>
                <w:sz w:val="18"/>
                <w:szCs w:val="18"/>
              </w:rPr>
              <w:t xml:space="preserve">Year 3</w:t>
            </w:r>
          </w:p>
        </w:tc>
      </w:tr>
    </w:tbl>
    <w:p>
      <w:pPr>
        <w:spacing w:before="20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A84C" w:sz="2"/>
              <w:left w:val="single" w:color="C9A84C" w:sz="8"/>
              <w:bottom w:val="single" w:color="C9A84C" w:sz="2"/>
              <w:right w:val="none" w:color="FFFFFF" w:sz="0"/>
            </w:tcBorders>
            <w:shd w:fill="F7F3E8" w:val="clear"/>
            <w:tcMar>
              <w:top w:type="dxa" w:w="160"/>
              <w:left w:type="dxa" w:w="240"/>
              <w:bottom w:type="dxa" w:w="160"/>
              <w:right w:type="dxa" w:w="240"/>
            </w:tcMar>
          </w:tcPr>
          <w:p>
            <w:pPr>
              <w:spacing w:before="80" w:after="80"/>
            </w:pPr>
            <w:r>
              <w:rPr>
                <w:rFonts w:ascii="Georgia" w:cs="Georgia" w:eastAsia="Georgia" w:hAnsi="Georgia"/>
                <w:i/>
                <w:iCs/>
                <w:color w:val="060E1C"/>
                <w:sz w:val="24"/>
                <w:szCs w:val="24"/>
              </w:rPr>
              <w:t xml:space="preserve">The power of the G.O.D.S. architecture is this: every problem addressed makes the next solution more credible, more fundable, and more impactful. A workforce trained by S.E.T.H.S. makes T.S. infrastructure cheaper. T.S. infrastructure generates data for UDOC. UDOC governance generates confidence for M.A.D.I.B.A. capital. M.A.D.I.B.A. capital funds more S.E.T.H.S. The loop compounds. The problems shrink.</w:t>
            </w:r>
          </w:p>
        </w:tc>
      </w:tr>
    </w:tbl>
    <w:p>
      <w:pPr>
        <w:spacing w:before="200" w:after="80"/>
      </w:pPr>
    </w:p>
    <w:p>
      <w:pPr>
        <w:spacing w:before="0" w:after="40"/>
      </w:pPr>
      <w:r>
        <w:rPr>
          <w:rFonts w:ascii="Calibri" w:cs="Calibri" w:eastAsia="Calibri" w:hAnsi="Calibri"/>
          <w:color w:val="8B8B8B"/>
          <w:sz w:val="20"/>
          <w:szCs w:val="20"/>
        </w:rPr>
        <w:t xml:space="preserve">Sashin J. Singh  ·  Founder &amp; Systems Architect  ·  G.O.D.S Holdings (Pty) Ltd  ·  March 2026</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2" w:space="1"/>
      </w:pBdr>
      <w:tabs>
        <w:tab w:val="right" w:pos="9026"/>
      </w:tabs>
      <w:spacing w:before="120" w:after="0"/>
    </w:pPr>
    <w:r>
      <w:rPr>
        <w:rFonts w:ascii="Calibri" w:cs="Calibri" w:eastAsia="Calibri" w:hAnsi="Calibri"/>
        <w:color w:val="8B8B8B"/>
        <w:sz w:val="17"/>
        <w:szCs w:val="17"/>
      </w:rPr>
      <w:t xml:space="preserve">G.O.D.S Holdings (Pty) Ltd  ·  Sashin J. Singh  ·  © 2026</w:t>
    </w:r>
    <w:r>
      <w:rPr>
        <w:rFonts w:ascii="Calibri" w:cs="Calibri" w:eastAsia="Calibri" w:hAnsi="Calibri"/>
        <w:sz w:val="17"/>
        <w:szCs w:val="17"/>
      </w:rPr>
      <w:t xml:space="preserve">	</w:t>
    </w:r>
    <w:r>
      <w:rPr>
        <w:rFonts w:ascii="Calibri" w:cs="Calibri" w:eastAsia="Calibri" w:hAnsi="Calibri"/>
        <w:color w:val="C9A84C"/>
        <w:sz w:val="17"/>
        <w:szCs w:val="17"/>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4" w:space="1"/>
      </w:pBdr>
      <w:tabs>
        <w:tab w:val="right" w:pos="9026"/>
      </w:tabs>
      <w:spacing w:before="0" w:after="120"/>
    </w:pPr>
    <w:r>
      <w:rPr>
        <w:rFonts w:ascii="Calibri" w:cs="Calibri" w:eastAsia="Calibri" w:hAnsi="Calibri"/>
        <w:color w:val="8B8B8B"/>
        <w:sz w:val="18"/>
        <w:szCs w:val="18"/>
      </w:rPr>
      <w:t xml:space="preserve">G.O.D.S.  ·  WORLD PROBLEMS &amp; IMPLEMENTATION ROLLOUT</w:t>
    </w:r>
    <w:r>
      <w:rPr>
        <w:rFonts w:ascii="Calibri" w:cs="Calibri" w:eastAsia="Calibri" w:hAnsi="Calibri"/>
        <w:sz w:val="18"/>
        <w:szCs w:val="18"/>
      </w:rPr>
      <w:t xml:space="preserve">	</w:t>
    </w:r>
    <w:r>
      <w:rPr>
        <w:rFonts w:ascii="Calibri" w:cs="Calibri" w:eastAsia="Calibri" w:hAnsi="Calibri"/>
        <w:color w:val="C9A84C"/>
        <w:sz w:val="18"/>
        <w:szCs w:val="18"/>
      </w:rPr>
      <w:t xml:space="preserve">CONFIDENTIAL  ·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00" w:after="120"/>
      <w:outlineLvl w:val="0"/>
    </w:pPr>
    <w:rPr>
      <w:rFonts w:ascii="Georgia" w:cs="Georgia" w:eastAsia="Georgia" w:hAnsi="Georgia"/>
      <w:b/>
      <w:bCs/>
      <w:color w:val="060E1C"/>
      <w:sz w:val="40"/>
      <w:szCs w:val="40"/>
    </w:rPr>
  </w:style>
  <w:style w:type="paragraph" w:styleId="Heading2">
    <w:name w:val="Heading 2"/>
    <w:basedOn w:val="Normal"/>
    <w:next w:val="Normal"/>
    <w:qFormat/>
    <w:pPr>
      <w:spacing w:before="300" w:after="100"/>
      <w:outlineLvl w:val="1"/>
    </w:pPr>
    <w:rPr>
      <w:rFonts w:ascii="Georgia" w:cs="Georgia" w:eastAsia="Georgia" w:hAnsi="Georgia"/>
      <w:b/>
      <w:bCs/>
      <w:color w:val="060E1C"/>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2026-03-10T12:42:35.356Z</dcterms:created>
  <dcterms:modified xsi:type="dcterms:W3CDTF">2026-03-10T12:42:35.357Z</dcterms:modified>
</cp:coreProperties>
</file>

<file path=docProps/custom.xml><?xml version="1.0" encoding="utf-8"?>
<Properties xmlns="http://schemas.openxmlformats.org/officeDocument/2006/custom-properties" xmlns:vt="http://schemas.openxmlformats.org/officeDocument/2006/docPropsVTypes"/>
</file>