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after="200"/>
      </w:pPr>
    </w:p>
    <w:p>
      <w:pPr>
        <w:spacing w:before="0" w:after="60"/>
        <w:jc w:val="center"/>
      </w:pPr>
      <w:r>
        <w:rPr>
          <w:rFonts w:ascii="Georgia" w:cs="Georgia" w:eastAsia="Georgia" w:hAnsi="Georgia"/>
          <w:b/>
          <w:bCs/>
          <w:color w:val="060E1C"/>
          <w:sz w:val="96"/>
          <w:szCs w:val="96"/>
        </w:rPr>
        <w:t xml:space="preserve">S.E.T.H.S.</w:t>
      </w:r>
    </w:p>
    <w:p>
      <w:pPr>
        <w:spacing w:before="0" w:after="80"/>
        <w:jc w:val="center"/>
      </w:pPr>
      <w:r>
        <w:rPr>
          <w:rFonts w:ascii="Calibri" w:cs="Calibri" w:eastAsia="Calibri" w:hAnsi="Calibri"/>
          <w:color w:val="C9A84C"/>
          <w:spacing w:val="200"/>
          <w:sz w:val="22"/>
          <w:szCs w:val="22"/>
        </w:rPr>
        <w:t xml:space="preserve">SKILLS · EMPLOYMENT · TRAINING · HUMAN SYSTEMS</w:t>
      </w:r>
    </w:p>
    <w:p>
      <w:pPr>
        <w:pBdr>
          <w:bottom w:val="single" w:color="C9A84C" w:sz="4" w:space="1"/>
        </w:pBdr>
        <w:spacing w:before="60" w:after="60"/>
      </w:pPr>
    </w:p>
    <w:p>
      <w:pPr>
        <w:spacing w:before="120" w:after="120"/>
      </w:pPr>
    </w:p>
    <w:p>
      <w:pPr>
        <w:spacing w:before="0" w:after="80"/>
        <w:jc w:val="center"/>
      </w:pPr>
      <w:r>
        <w:rPr>
          <w:rFonts w:ascii="Georgia" w:cs="Georgia" w:eastAsia="Georgia" w:hAnsi="Georgia"/>
          <w:b w:val="false"/>
          <w:bCs w:val="false"/>
          <w:color w:val="3A3A3A"/>
          <w:sz w:val="36"/>
          <w:szCs w:val="36"/>
        </w:rPr>
        <w:t xml:space="preserve">COMPLETE PROGRAM DOCUMENT</w:t>
      </w:r>
    </w:p>
    <w:p>
      <w:pPr>
        <w:spacing w:before="0" w:after="40"/>
        <w:jc w:val="center"/>
      </w:pPr>
      <w:r>
        <w:rPr>
          <w:rFonts w:ascii="Calibri" w:cs="Calibri" w:eastAsia="Calibri" w:hAnsi="Calibri"/>
          <w:color w:val="8B8B8B"/>
          <w:sz w:val="22"/>
          <w:szCs w:val="22"/>
        </w:rPr>
        <w:t xml:space="preserve">Architecture · Curriculum · Operations · Positions · Outcomes</w:t>
      </w:r>
    </w:p>
    <w:p>
      <w:pPr>
        <w:spacing w:before="0" w:after="40"/>
        <w:jc w:val="center"/>
      </w:pPr>
      <w:r>
        <w:rPr>
          <w:rFonts w:ascii="Calibri" w:cs="Calibri" w:eastAsia="Calibri" w:hAnsi="Calibri"/>
          <w:color w:val="8B8B8B"/>
          <w:sz w:val="20"/>
          <w:szCs w:val="20"/>
        </w:rPr>
        <w:t xml:space="preserve">Version 1.0  ·  March 2026  ·  Confidential</w:t>
      </w:r>
    </w:p>
    <w:p>
      <w:pPr>
        <w:spacing w:before="400" w:after="200"/>
      </w:pPr>
    </w:p>
    <w:p>
      <w:pPr>
        <w:jc w:val="center"/>
      </w:pPr>
      <w:r>
        <w:rPr>
          <w:rFonts w:ascii="Calibri" w:cs="Calibri" w:eastAsia="Calibri" w:hAnsi="Calibri"/>
          <w:color w:val="060E1C"/>
          <w:sz w:val="22"/>
          <w:szCs w:val="22"/>
        </w:rPr>
        <w:t xml:space="preserve">Sashin J. Singh  ·  Founder &amp; Systems Architect  ·  G.O.D.S Holdings (Pty) Ltd</w:t>
      </w:r>
    </w:p>
    <w:p>
      <w:r>
        <w:br w:type="page"/>
      </w:r>
    </w:p>
    <w:p>
      <w:pPr>
        <w:pStyle w:val="Heading1"/>
        <w:spacing w:before="400" w:after="120"/>
      </w:pPr>
      <w:r>
        <w:rPr>
          <w:rFonts w:ascii="Georgia" w:cs="Georgia" w:eastAsia="Georgia" w:hAnsi="Georgia"/>
          <w:b/>
          <w:bCs/>
          <w:color w:val="060E1C"/>
          <w:sz w:val="40"/>
          <w:szCs w:val="40"/>
        </w:rPr>
        <w:t xml:space="preserve">01  Program Overview</w:t>
      </w:r>
    </w:p>
    <w:p>
      <w:pPr>
        <w:pBdr>
          <w:bottom w:val="single" w:color="C9A84C" w:sz="6" w:space="1"/>
        </w:pBdr>
        <w:spacing w:before="60" w:after="60"/>
      </w:pP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line="380"/>
            </w:pPr>
            <w:r>
              <w:rPr>
                <w:rFonts w:ascii="Calibri" w:cs="Calibri" w:eastAsia="Calibri" w:hAnsi="Calibri"/>
                <w:color w:val="1A1A1A"/>
                <w:sz w:val="22"/>
                <w:szCs w:val="22"/>
              </w:rPr>
              <w:t xml:space="preserve">S.E.T.H.S. (Skills, Employment, Training, Human Systems) is the human capital engine of G.O.D.S. It is the first operational proof of the G.O.D.S. compounding loop, and the credibility foundation on which T.S., UDOC, and M.A.D.I.B.A. are built. S.E.T.H.S. is not a social program. It is a human capital development system that transforms structurally unemployed individuals into productive, AI-era citizens — and feeds that transformed capacity directly into the infrastructure, governance, and capital engines of G.O.D.S.</w:t>
            </w:r>
          </w:p>
        </w:tc>
      </w:tr>
    </w:tbl>
    <w:p>
      <w:pPr>
        <w:spacing w:before="120" w:after="80"/>
      </w:pPr>
    </w:p>
    <w:p>
      <w:pPr>
        <w:spacing w:before="80" w:after="120" w:line="360"/>
      </w:pPr>
      <w:r>
        <w:rPr>
          <w:rFonts w:ascii="Calibri" w:cs="Calibri" w:eastAsia="Calibri" w:hAnsi="Calibri"/>
          <w:b w:val="false"/>
          <w:bCs w:val="false"/>
          <w:i w:val="false"/>
          <w:iCs w:val="false"/>
          <w:color w:val="2C2C2C"/>
          <w:sz w:val="22"/>
          <w:szCs w:val="22"/>
        </w:rPr>
        <w:t xml:space="preserve">S.E.T.H.S. originated in 2016 under the Seth Empires concept — a rehabilitation and workforce reintegration initiative for individuals exiting the criminal justice system, long-term unemployment, or extreme social marginalisation. By 2026, the program has evolved from a concept into a full systems architecture that can be applied to any marginalised population cohort, not exclusively criminal justice alumni.</w:t>
      </w: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program operates on a 24-week primary cycle with a 12-week follow-on placement and monitoring phase — totalling 36 weeks per cohort from intake to verified employment outcome.</w:t>
      </w:r>
    </w:p>
    <w:p>
      <w:pPr>
        <w:spacing w:before="200" w:after="80"/>
      </w:pPr>
    </w:p>
    <w:p>
      <w:pPr>
        <w:pStyle w:val="Heading1"/>
        <w:spacing w:before="400" w:after="120"/>
      </w:pPr>
      <w:r>
        <w:rPr>
          <w:rFonts w:ascii="Georgia" w:cs="Georgia" w:eastAsia="Georgia" w:hAnsi="Georgia"/>
          <w:b/>
          <w:bCs/>
          <w:color w:val="060E1C"/>
          <w:sz w:val="40"/>
          <w:szCs w:val="40"/>
        </w:rPr>
        <w:t xml:space="preserve">02  Target Population</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S.E.T.H.S. is designed for the population that no existing system adequately serves — the structurally unemployed, the system-involved, and the economically invisible. Eligibility criteria are deliberately broad, with intake designed around potential rather than credentials.</w:t>
      </w:r>
    </w:p>
    <w:p>
      <w:pPr>
        <w:spacing w:before="80" w:after="80"/>
      </w:pPr>
    </w:p>
    <w:p>
      <w:pPr>
        <w:spacing w:before="200" w:after="60"/>
      </w:pPr>
      <w:r>
        <w:rPr>
          <w:rFonts w:ascii="Calibri" w:cs="Calibri" w:eastAsia="Calibri" w:hAnsi="Calibri"/>
          <w:b/>
          <w:bCs/>
          <w:color w:val="C9A84C"/>
          <w:spacing w:val="120"/>
          <w:sz w:val="18"/>
          <w:szCs w:val="18"/>
        </w:rPr>
        <w:t xml:space="preserve">PRIMARY TARGET GROUPS</w:t>
      </w:r>
    </w:p>
    <w:p>
      <w:pPr>
        <w:pStyle w:val="ListParagraph"/>
        <w:numPr>
          <w:ilvl w:val="0"/>
          <w:numId w:val="2"/>
        </w:numPr>
        <w:spacing w:before="60" w:after="60" w:line="320"/>
      </w:pPr>
      <w:r>
        <w:rPr>
          <w:rFonts w:ascii="Calibri" w:cs="Calibri" w:eastAsia="Calibri" w:hAnsi="Calibri"/>
          <w:color w:val="3A3A3A"/>
          <w:sz w:val="21"/>
          <w:szCs w:val="21"/>
        </w:rPr>
        <w:t xml:space="preserve">Individuals exiting the criminal justice system (post-incarceration reintegration)</w:t>
      </w:r>
    </w:p>
    <w:p>
      <w:pPr>
        <w:pStyle w:val="ListParagraph"/>
        <w:numPr>
          <w:ilvl w:val="0"/>
          <w:numId w:val="2"/>
        </w:numPr>
        <w:spacing w:before="60" w:after="60" w:line="320"/>
      </w:pPr>
      <w:r>
        <w:rPr>
          <w:rFonts w:ascii="Calibri" w:cs="Calibri" w:eastAsia="Calibri" w:hAnsi="Calibri"/>
          <w:color w:val="3A3A3A"/>
          <w:sz w:val="21"/>
          <w:szCs w:val="21"/>
        </w:rPr>
        <w:t xml:space="preserve">Long-term unemployed individuals (24+ months without formal employment)</w:t>
      </w:r>
    </w:p>
    <w:p>
      <w:pPr>
        <w:pStyle w:val="ListParagraph"/>
        <w:numPr>
          <w:ilvl w:val="0"/>
          <w:numId w:val="2"/>
        </w:numPr>
        <w:spacing w:before="60" w:after="60" w:line="320"/>
      </w:pPr>
      <w:r>
        <w:rPr>
          <w:rFonts w:ascii="Calibri" w:cs="Calibri" w:eastAsia="Calibri" w:hAnsi="Calibri"/>
          <w:color w:val="3A3A3A"/>
          <w:sz w:val="21"/>
          <w:szCs w:val="21"/>
        </w:rPr>
        <w:t xml:space="preserve">Youth not in employment, education, or training (NEET population)</w:t>
      </w:r>
    </w:p>
    <w:p>
      <w:pPr>
        <w:pStyle w:val="ListParagraph"/>
        <w:numPr>
          <w:ilvl w:val="0"/>
          <w:numId w:val="2"/>
        </w:numPr>
        <w:spacing w:before="60" w:after="60" w:line="320"/>
      </w:pPr>
      <w:r>
        <w:rPr>
          <w:rFonts w:ascii="Calibri" w:cs="Calibri" w:eastAsia="Calibri" w:hAnsi="Calibri"/>
          <w:color w:val="3A3A3A"/>
          <w:sz w:val="21"/>
          <w:szCs w:val="21"/>
        </w:rPr>
        <w:t xml:space="preserve">Survivors of gender-based violence transitioning to economic independence</w:t>
      </w:r>
    </w:p>
    <w:p>
      <w:pPr>
        <w:pStyle w:val="ListParagraph"/>
        <w:numPr>
          <w:ilvl w:val="0"/>
          <w:numId w:val="2"/>
        </w:numPr>
        <w:spacing w:before="60" w:after="60" w:line="320"/>
      </w:pPr>
      <w:r>
        <w:rPr>
          <w:rFonts w:ascii="Calibri" w:cs="Calibri" w:eastAsia="Calibri" w:hAnsi="Calibri"/>
          <w:color w:val="3A3A3A"/>
          <w:sz w:val="21"/>
          <w:szCs w:val="21"/>
        </w:rPr>
        <w:t xml:space="preserve">Individuals displaced by AI automation from prior formal employment</w:t>
      </w:r>
    </w:p>
    <w:p>
      <w:pPr>
        <w:pStyle w:val="ListParagraph"/>
        <w:numPr>
          <w:ilvl w:val="0"/>
          <w:numId w:val="2"/>
        </w:numPr>
        <w:spacing w:before="60" w:after="60" w:line="320"/>
      </w:pPr>
      <w:r>
        <w:rPr>
          <w:rFonts w:ascii="Calibri" w:cs="Calibri" w:eastAsia="Calibri" w:hAnsi="Calibri"/>
          <w:color w:val="3A3A3A"/>
          <w:sz w:val="21"/>
          <w:szCs w:val="21"/>
        </w:rPr>
        <w:t xml:space="preserve">Informal sector workers seeking formalisation and upskilling</w:t>
      </w:r>
    </w:p>
    <w:p>
      <w:pPr>
        <w:spacing w:before="80" w:after="80"/>
      </w:pPr>
    </w:p>
    <w:p>
      <w:pPr>
        <w:spacing w:before="200" w:after="60"/>
      </w:pPr>
      <w:r>
        <w:rPr>
          <w:rFonts w:ascii="Calibri" w:cs="Calibri" w:eastAsia="Calibri" w:hAnsi="Calibri"/>
          <w:b/>
          <w:bCs/>
          <w:color w:val="C9A84C"/>
          <w:spacing w:val="120"/>
          <w:sz w:val="18"/>
          <w:szCs w:val="18"/>
        </w:rPr>
        <w:t xml:space="preserve">ELIGIBILITY CRITERIA</w:t>
      </w:r>
    </w:p>
    <w:p>
      <w:pPr>
        <w:pStyle w:val="ListParagraph"/>
        <w:numPr>
          <w:ilvl w:val="0"/>
          <w:numId w:val="2"/>
        </w:numPr>
        <w:spacing w:before="60" w:after="60" w:line="320"/>
      </w:pPr>
      <w:r>
        <w:rPr>
          <w:rFonts w:ascii="Calibri" w:cs="Calibri" w:eastAsia="Calibri" w:hAnsi="Calibri"/>
          <w:color w:val="3A3A3A"/>
          <w:sz w:val="21"/>
          <w:szCs w:val="21"/>
        </w:rPr>
        <w:t xml:space="preserve">Age: 18–45 (primary range); extended to 55 for specific cohorts</w:t>
      </w:r>
    </w:p>
    <w:p>
      <w:pPr>
        <w:pStyle w:val="ListParagraph"/>
        <w:numPr>
          <w:ilvl w:val="0"/>
          <w:numId w:val="2"/>
        </w:numPr>
        <w:spacing w:before="60" w:after="60" w:line="320"/>
      </w:pPr>
      <w:r>
        <w:rPr>
          <w:rFonts w:ascii="Calibri" w:cs="Calibri" w:eastAsia="Calibri" w:hAnsi="Calibri"/>
          <w:color w:val="3A3A3A"/>
          <w:sz w:val="21"/>
          <w:szCs w:val="21"/>
        </w:rPr>
        <w:t xml:space="preserve">South African citizenship or documented residency</w:t>
      </w:r>
    </w:p>
    <w:p>
      <w:pPr>
        <w:pStyle w:val="ListParagraph"/>
        <w:numPr>
          <w:ilvl w:val="0"/>
          <w:numId w:val="2"/>
        </w:numPr>
        <w:spacing w:before="60" w:after="60" w:line="320"/>
      </w:pPr>
      <w:r>
        <w:rPr>
          <w:rFonts w:ascii="Calibri" w:cs="Calibri" w:eastAsia="Calibri" w:hAnsi="Calibri"/>
          <w:color w:val="3A3A3A"/>
          <w:sz w:val="21"/>
          <w:szCs w:val="21"/>
        </w:rPr>
        <w:t xml:space="preserve">No minimum formal education requirement — literacy and numeracy support provided</w:t>
      </w:r>
    </w:p>
    <w:p>
      <w:pPr>
        <w:pStyle w:val="ListParagraph"/>
        <w:numPr>
          <w:ilvl w:val="0"/>
          <w:numId w:val="2"/>
        </w:numPr>
        <w:spacing w:before="60" w:after="60" w:line="320"/>
      </w:pPr>
      <w:r>
        <w:rPr>
          <w:rFonts w:ascii="Calibri" w:cs="Calibri" w:eastAsia="Calibri" w:hAnsi="Calibri"/>
          <w:color w:val="3A3A3A"/>
          <w:sz w:val="21"/>
          <w:szCs w:val="21"/>
        </w:rPr>
        <w:t xml:space="preserve">Genuine commitment to program participation — assessed at intake</w:t>
      </w:r>
    </w:p>
    <w:p>
      <w:pPr>
        <w:pStyle w:val="ListParagraph"/>
        <w:numPr>
          <w:ilvl w:val="0"/>
          <w:numId w:val="2"/>
        </w:numPr>
        <w:spacing w:before="60" w:after="60" w:line="320"/>
      </w:pPr>
      <w:r>
        <w:rPr>
          <w:rFonts w:ascii="Calibri" w:cs="Calibri" w:eastAsia="Calibri" w:hAnsi="Calibri"/>
          <w:color w:val="3A3A3A"/>
          <w:sz w:val="21"/>
          <w:szCs w:val="21"/>
        </w:rPr>
        <w:t xml:space="preserve">Identified as falling within one of the primary target groups above</w:t>
      </w: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S.E.T.H.S. does not screen for prior success. It screens for potential and commitment. The program is specifically designed for individuals the existing education and employment systems have failed.</w:t>
      </w:r>
    </w:p>
    <w:p>
      <w:r>
        <w:br w:type="page"/>
      </w:r>
    </w:p>
    <w:p>
      <w:pPr>
        <w:pStyle w:val="Heading1"/>
        <w:spacing w:before="400" w:after="120"/>
      </w:pPr>
      <w:r>
        <w:rPr>
          <w:rFonts w:ascii="Georgia" w:cs="Georgia" w:eastAsia="Georgia" w:hAnsi="Georgia"/>
          <w:b/>
          <w:bCs/>
          <w:color w:val="060E1C"/>
          <w:sz w:val="40"/>
          <w:szCs w:val="40"/>
        </w:rPr>
        <w:t xml:space="preserve">03  Program Architecture — 36-Week Journey</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S.E.T.H.S. program is structured across five distinct phases, each with clear objectives, deliverables, and participant outcomes. The 36-week journey is designed as a complete transformation arc — from intake assessment through verified employment and ongoing alumni support.</w:t>
      </w:r>
    </w:p>
    <w:p>
      <w:pPr>
        <w:spacing w:before="120" w:after="80"/>
      </w:pPr>
    </w:p>
    <w:p>
      <w:pPr>
        <w:pStyle w:val="Heading2"/>
        <w:spacing w:before="300" w:after="100"/>
      </w:pPr>
      <w:r>
        <w:rPr>
          <w:rFonts w:ascii="Georgia" w:cs="Georgia" w:eastAsia="Georgia" w:hAnsi="Georgia"/>
          <w:b/>
          <w:bCs/>
          <w:color w:val="060E1C"/>
          <w:sz w:val="30"/>
          <w:szCs w:val="30"/>
        </w:rPr>
        <w:t xml:space="preserve">Phase 1: Foundation &amp; Stabilisation (Weeks 1–4)</w:t>
      </w:r>
    </w:p>
    <w:p>
      <w:pPr>
        <w:pBdr>
          <w:bottom w:val="single" w:color="DDDDDD" w:sz="2" w:space="1"/>
        </w:pBdr>
        <w:spacing w:before="60" w:after="60"/>
      </w:pPr>
    </w:p>
    <w:p>
      <w:pPr>
        <w:spacing w:before="60" w:after="60"/>
      </w:pPr>
    </w:p>
    <w:p>
      <w:pPr>
        <w:spacing w:before="80" w:after="120" w:line="360"/>
      </w:pPr>
      <w:r>
        <w:rPr>
          <w:rFonts w:ascii="Calibri" w:cs="Calibri" w:eastAsia="Calibri" w:hAnsi="Calibri"/>
          <w:b w:val="false"/>
          <w:bCs w:val="false"/>
          <w:i w:val="false"/>
          <w:iCs w:val="false"/>
          <w:color w:val="2C2C2C"/>
          <w:sz w:val="22"/>
          <w:szCs w:val="22"/>
        </w:rPr>
        <w:t xml:space="preserve">The first four weeks are not about skills training. They are about establishing the psychological safety, trust, and baseline stability required for learning to be possible. Many S.E.T.H.S. participants carry significant trauma, financial stress, and mistrust of institutions. Phase 1 addresses these directly before any vocational content begins.</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Week</w:t>
            </w:r>
          </w:p>
        </w:tc>
        <w:tc>
          <w:tcPr>
            <w:tcW w:type="dxa" w:w="7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Activity</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 1</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Intake, comprehensive assessment (cognitive, emotional, vocational potential). Orientation to program. Initial case management assignment.</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 2</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Stabilisation support: housing, nutrition, basic financial assistance where required. Trauma-informed facilitator introduction. Circle work and trust-building.</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 3</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Life skills foundation: financial literacy, communication, self-management. Personal goal-setting. Digital literacy baseline.</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 4</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Cohort bonding, accountability structures established. Phase 1 assessment. Vocational pathway assignment.</w:t>
            </w:r>
          </w:p>
        </w:tc>
      </w:tr>
    </w:tbl>
    <w:p>
      <w:pPr>
        <w:spacing w:before="120" w:after="80"/>
      </w:pPr>
    </w:p>
    <w:p>
      <w:pPr>
        <w:pStyle w:val="Heading2"/>
        <w:spacing w:before="300" w:after="100"/>
      </w:pPr>
      <w:r>
        <w:rPr>
          <w:rFonts w:ascii="Georgia" w:cs="Georgia" w:eastAsia="Georgia" w:hAnsi="Georgia"/>
          <w:b/>
          <w:bCs/>
          <w:color w:val="060E1C"/>
          <w:sz w:val="30"/>
          <w:szCs w:val="30"/>
        </w:rPr>
        <w:t xml:space="preserve">Phase 2: Core Skills Development (Weeks 5–12)</w:t>
      </w:r>
    </w:p>
    <w:p>
      <w:pPr>
        <w:pBdr>
          <w:bottom w:val="single" w:color="DDDDDD" w:sz="2" w:space="1"/>
        </w:pBdr>
        <w:spacing w:before="60" w:after="60"/>
      </w:pPr>
    </w:p>
    <w:p>
      <w:pPr>
        <w:spacing w:before="60" w:after="60"/>
      </w:pPr>
    </w:p>
    <w:p>
      <w:pPr>
        <w:spacing w:before="80" w:after="120" w:line="360"/>
      </w:pPr>
      <w:r>
        <w:rPr>
          <w:rFonts w:ascii="Calibri" w:cs="Calibri" w:eastAsia="Calibri" w:hAnsi="Calibri"/>
          <w:b w:val="false"/>
          <w:bCs w:val="false"/>
          <w:i w:val="false"/>
          <w:iCs w:val="false"/>
          <w:color w:val="2C2C2C"/>
          <w:sz w:val="22"/>
          <w:szCs w:val="22"/>
        </w:rPr>
        <w:t xml:space="preserve">Phase 2 delivers the vocational and transferable skills curriculum. Participants are streamed into one of four vocational pathways based on their Phase 1 assessment and expressed interests. All participants simultaneously receive the core transferable skills curriculum.</w:t>
      </w:r>
    </w:p>
    <w:p>
      <w:pPr>
        <w:spacing w:before="80" w:after="80"/>
      </w:pPr>
    </w:p>
    <w:p>
      <w:pPr>
        <w:spacing w:before="200" w:after="60"/>
      </w:pPr>
      <w:r>
        <w:rPr>
          <w:rFonts w:ascii="Calibri" w:cs="Calibri" w:eastAsia="Calibri" w:hAnsi="Calibri"/>
          <w:b/>
          <w:bCs/>
          <w:color w:val="C9A84C"/>
          <w:spacing w:val="120"/>
          <w:sz w:val="18"/>
          <w:szCs w:val="18"/>
        </w:rPr>
        <w:t xml:space="preserve">CORE TRANSFERABLE SKILLS (ALL PARTICIPANTS)</w:t>
      </w:r>
    </w:p>
    <w:p>
      <w:pPr>
        <w:pStyle w:val="ListParagraph"/>
        <w:numPr>
          <w:ilvl w:val="0"/>
          <w:numId w:val="2"/>
        </w:numPr>
        <w:spacing w:before="60" w:after="60" w:line="320"/>
      </w:pPr>
      <w:r>
        <w:rPr>
          <w:rFonts w:ascii="Calibri" w:cs="Calibri" w:eastAsia="Calibri" w:hAnsi="Calibri"/>
          <w:color w:val="3A3A3A"/>
          <w:sz w:val="21"/>
          <w:szCs w:val="21"/>
        </w:rPr>
        <w:t xml:space="preserve">Digital literacy: computer fundamentals, internet, productivity software, email, workplace communication tools</w:t>
      </w:r>
    </w:p>
    <w:p>
      <w:pPr>
        <w:pStyle w:val="ListParagraph"/>
        <w:numPr>
          <w:ilvl w:val="0"/>
          <w:numId w:val="2"/>
        </w:numPr>
        <w:spacing w:before="60" w:after="60" w:line="320"/>
      </w:pPr>
      <w:r>
        <w:rPr>
          <w:rFonts w:ascii="Calibri" w:cs="Calibri" w:eastAsia="Calibri" w:hAnsi="Calibri"/>
          <w:color w:val="3A3A3A"/>
          <w:sz w:val="21"/>
          <w:szCs w:val="21"/>
        </w:rPr>
        <w:t xml:space="preserve">Financial literacy: budgeting, banking, tax basics, credit management</w:t>
      </w:r>
    </w:p>
    <w:p>
      <w:pPr>
        <w:pStyle w:val="ListParagraph"/>
        <w:numPr>
          <w:ilvl w:val="0"/>
          <w:numId w:val="2"/>
        </w:numPr>
        <w:spacing w:before="60" w:after="60" w:line="320"/>
      </w:pPr>
      <w:r>
        <w:rPr>
          <w:rFonts w:ascii="Calibri" w:cs="Calibri" w:eastAsia="Calibri" w:hAnsi="Calibri"/>
          <w:color w:val="3A3A3A"/>
          <w:sz w:val="21"/>
          <w:szCs w:val="21"/>
        </w:rPr>
        <w:t xml:space="preserve">Communication: professional writing, verbal communication, conflict resolution, meeting conduct</w:t>
      </w:r>
    </w:p>
    <w:p>
      <w:pPr>
        <w:pStyle w:val="ListParagraph"/>
        <w:numPr>
          <w:ilvl w:val="0"/>
          <w:numId w:val="2"/>
        </w:numPr>
        <w:spacing w:before="60" w:after="60" w:line="320"/>
      </w:pPr>
      <w:r>
        <w:rPr>
          <w:rFonts w:ascii="Calibri" w:cs="Calibri" w:eastAsia="Calibri" w:hAnsi="Calibri"/>
          <w:color w:val="3A3A3A"/>
          <w:sz w:val="21"/>
          <w:szCs w:val="21"/>
        </w:rPr>
        <w:t xml:space="preserve">Workplace readiness: punctuality, professional standards, team dynamics, workplace rights and responsibilities</w:t>
      </w:r>
    </w:p>
    <w:p>
      <w:pPr>
        <w:pStyle w:val="ListParagraph"/>
        <w:numPr>
          <w:ilvl w:val="0"/>
          <w:numId w:val="2"/>
        </w:numPr>
        <w:spacing w:before="60" w:after="60" w:line="320"/>
      </w:pPr>
      <w:r>
        <w:rPr>
          <w:rFonts w:ascii="Calibri" w:cs="Calibri" w:eastAsia="Calibri" w:hAnsi="Calibri"/>
          <w:color w:val="3A3A3A"/>
          <w:sz w:val="21"/>
          <w:szCs w:val="21"/>
        </w:rPr>
        <w:t xml:space="preserve">AI literacy: understanding AI tools in the workplace, responsible use, basic prompt literacy</w:t>
      </w:r>
    </w:p>
    <w:p>
      <w:pPr>
        <w:spacing w:before="80" w:after="80"/>
      </w:pPr>
    </w:p>
    <w:p>
      <w:pPr>
        <w:spacing w:before="200" w:after="60"/>
      </w:pPr>
      <w:r>
        <w:rPr>
          <w:rFonts w:ascii="Calibri" w:cs="Calibri" w:eastAsia="Calibri" w:hAnsi="Calibri"/>
          <w:b/>
          <w:bCs/>
          <w:color w:val="C9A84C"/>
          <w:spacing w:val="120"/>
          <w:sz w:val="18"/>
          <w:szCs w:val="18"/>
        </w:rPr>
        <w:t xml:space="preserve">VOCATIONAL PATHWAY STREAM A — CONSTRUCTION &amp; INFRASTRUCTURE</w:t>
      </w:r>
    </w:p>
    <w:p>
      <w:pPr>
        <w:spacing w:before="80" w:after="120" w:line="360"/>
      </w:pPr>
      <w:r>
        <w:rPr>
          <w:rFonts w:ascii="Calibri" w:cs="Calibri" w:eastAsia="Calibri" w:hAnsi="Calibri"/>
          <w:b w:val="false"/>
          <w:bCs w:val="false"/>
          <w:i w:val="false"/>
          <w:iCs w:val="false"/>
          <w:color w:val="2C2C2C"/>
          <w:sz w:val="22"/>
          <w:szCs w:val="22"/>
        </w:rPr>
        <w:t xml:space="preserve">Aligned with T.S. Division. Participants receive practical training in solar panel installation, basic construction, plumbing, electrical fundamentals, and infrastructure maintenance. This pathway directly feeds the T.S. Division's infrastructure project workforce.</w:t>
      </w:r>
    </w:p>
    <w:p>
      <w:pPr>
        <w:spacing w:before="40" w:after="40"/>
      </w:pPr>
    </w:p>
    <w:p>
      <w:pPr>
        <w:spacing w:before="200" w:after="60"/>
      </w:pPr>
      <w:r>
        <w:rPr>
          <w:rFonts w:ascii="Calibri" w:cs="Calibri" w:eastAsia="Calibri" w:hAnsi="Calibri"/>
          <w:b/>
          <w:bCs/>
          <w:color w:val="C9A84C"/>
          <w:spacing w:val="120"/>
          <w:sz w:val="18"/>
          <w:szCs w:val="18"/>
        </w:rPr>
        <w:t xml:space="preserve">VOCATIONAL PATHWAY STREAM B — DIGITAL OPERATIONS</w:t>
      </w:r>
    </w:p>
    <w:p>
      <w:pPr>
        <w:spacing w:before="80" w:after="120" w:line="360"/>
      </w:pPr>
      <w:r>
        <w:rPr>
          <w:rFonts w:ascii="Calibri" w:cs="Calibri" w:eastAsia="Calibri" w:hAnsi="Calibri"/>
          <w:b w:val="false"/>
          <w:bCs w:val="false"/>
          <w:i w:val="false"/>
          <w:iCs w:val="false"/>
          <w:color w:val="2C2C2C"/>
          <w:sz w:val="22"/>
          <w:szCs w:val="22"/>
        </w:rPr>
        <w:t xml:space="preserve">Participants receive training in data entry, customer service operations, basic bookkeeping, administrative systems, and digital support roles. Designed for placement in formal sector administrative roles and G.O.D.S. internal operations.</w:t>
      </w:r>
    </w:p>
    <w:p>
      <w:pPr>
        <w:spacing w:before="40" w:after="40"/>
      </w:pPr>
    </w:p>
    <w:p>
      <w:pPr>
        <w:spacing w:before="200" w:after="60"/>
      </w:pPr>
      <w:r>
        <w:rPr>
          <w:rFonts w:ascii="Calibri" w:cs="Calibri" w:eastAsia="Calibri" w:hAnsi="Calibri"/>
          <w:b/>
          <w:bCs/>
          <w:color w:val="C9A84C"/>
          <w:spacing w:val="120"/>
          <w:sz w:val="18"/>
          <w:szCs w:val="18"/>
        </w:rPr>
        <w:t xml:space="preserve">VOCATIONAL PATHWAY STREAM C — AGRICULTURE &amp; FOOD SYSTEMS</w:t>
      </w:r>
    </w:p>
    <w:p>
      <w:pPr>
        <w:spacing w:before="80" w:after="120" w:line="360"/>
      </w:pPr>
      <w:r>
        <w:rPr>
          <w:rFonts w:ascii="Calibri" w:cs="Calibri" w:eastAsia="Calibri" w:hAnsi="Calibri"/>
          <w:b w:val="false"/>
          <w:bCs w:val="false"/>
          <w:i w:val="false"/>
          <w:iCs w:val="false"/>
          <w:color w:val="2C2C2C"/>
          <w:sz w:val="22"/>
          <w:szCs w:val="22"/>
        </w:rPr>
        <w:t xml:space="preserve">Aligned with T.S. vertical farming and food systems division. Participants receive training in controlled environment agriculture, urban farming operations, food handling and safety, and supply chain basics.</w:t>
      </w:r>
    </w:p>
    <w:p>
      <w:pPr>
        <w:spacing w:before="40" w:after="40"/>
      </w:pPr>
    </w:p>
    <w:p>
      <w:pPr>
        <w:spacing w:before="200" w:after="60"/>
      </w:pPr>
      <w:r>
        <w:rPr>
          <w:rFonts w:ascii="Calibri" w:cs="Calibri" w:eastAsia="Calibri" w:hAnsi="Calibri"/>
          <w:b/>
          <w:bCs/>
          <w:color w:val="C9A84C"/>
          <w:spacing w:val="120"/>
          <w:sz w:val="18"/>
          <w:szCs w:val="18"/>
        </w:rPr>
        <w:t xml:space="preserve">VOCATIONAL PATHWAY STREAM D — COMMUNITY HEALTH &amp; SOCIAL SUPPORT</w:t>
      </w:r>
    </w:p>
    <w:p>
      <w:pPr>
        <w:spacing w:before="80" w:after="120" w:line="360"/>
      </w:pPr>
      <w:r>
        <w:rPr>
          <w:rFonts w:ascii="Calibri" w:cs="Calibri" w:eastAsia="Calibri" w:hAnsi="Calibri"/>
          <w:b w:val="false"/>
          <w:bCs w:val="false"/>
          <w:i w:val="false"/>
          <w:iCs w:val="false"/>
          <w:color w:val="2C2C2C"/>
          <w:sz w:val="22"/>
          <w:szCs w:val="22"/>
        </w:rPr>
        <w:t xml:space="preserve">Participants are trained as community health workers, social support facilitators, early childhood development assistants, and peer mentors. Designed for placement in NGO, government health, and community development sectors.</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Week</w:t>
            </w:r>
          </w:p>
        </w:tc>
        <w:tc>
          <w:tcPr>
            <w:tcW w:type="dxa" w:w="7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Activity</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5–6</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Core transferable skills module delivery. All pathways together.</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Weeks 7–9</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Pathway-specific technical training. Practical workshops and facilitated sessions.</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10–11</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Work simulation exercises. Mock workplace scenarios. Team projects.</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 12</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Phase 2 assessment. Portfolio of evidence compilation. Employer-readiness review.</w:t>
            </w:r>
          </w:p>
        </w:tc>
      </w:tr>
    </w:tbl>
    <w:p>
      <w:pPr>
        <w:spacing w:before="120" w:after="80"/>
      </w:pPr>
    </w:p>
    <w:p>
      <w:pPr>
        <w:pStyle w:val="Heading2"/>
        <w:spacing w:before="300" w:after="100"/>
      </w:pPr>
      <w:r>
        <w:rPr>
          <w:rFonts w:ascii="Georgia" w:cs="Georgia" w:eastAsia="Georgia" w:hAnsi="Georgia"/>
          <w:b/>
          <w:bCs/>
          <w:color w:val="060E1C"/>
          <w:sz w:val="30"/>
          <w:szCs w:val="30"/>
        </w:rPr>
        <w:t xml:space="preserve">Phase 3: Advanced Skills &amp; Work Readiness (Weeks 13–18)</w:t>
      </w:r>
    </w:p>
    <w:p>
      <w:pPr>
        <w:pBdr>
          <w:bottom w:val="single" w:color="DDDDDD" w:sz="2" w:space="1"/>
        </w:pBdr>
        <w:spacing w:before="60" w:after="60"/>
      </w:pPr>
    </w:p>
    <w:p>
      <w:pPr>
        <w:spacing w:before="60" w:after="60"/>
      </w:pPr>
    </w:p>
    <w:p>
      <w:pPr>
        <w:spacing w:before="80" w:after="120" w:line="360"/>
      </w:pPr>
      <w:r>
        <w:rPr>
          <w:rFonts w:ascii="Calibri" w:cs="Calibri" w:eastAsia="Calibri" w:hAnsi="Calibri"/>
          <w:b w:val="false"/>
          <w:bCs w:val="false"/>
          <w:i w:val="false"/>
          <w:iCs w:val="false"/>
          <w:color w:val="2C2C2C"/>
          <w:sz w:val="22"/>
          <w:szCs w:val="22"/>
        </w:rPr>
        <w:t xml:space="preserve">Phase 3 takes participants from foundational capability to employer-ready status. It includes advanced pathway training, mentorship matching, employer introductions, and the first structured workplace exposure through job shadowing and site visits.</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Week</w:t>
            </w:r>
          </w:p>
        </w:tc>
        <w:tc>
          <w:tcPr>
            <w:tcW w:type="dxa" w:w="7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Activity</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 13</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Advanced pathway training commences. Introduction to relevant industry standards and certifications.</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 14</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Mentor matching. Each participant is paired with an industry mentor for the remainder of the program.</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15–16</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Employer introductions. Site visits to partner employers. Job shadowing (minimum 3 days per participant).</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 17</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CV development, interview preparation, professional portfolio finalisation. Mock interview sessions.</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 18</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Phase 3 assessment. Employer-readiness certification. Placement matching begins.</w:t>
            </w:r>
          </w:p>
        </w:tc>
      </w:tr>
    </w:tbl>
    <w:p>
      <w:pPr>
        <w:spacing w:before="120" w:after="80"/>
      </w:pPr>
    </w:p>
    <w:p>
      <w:pPr>
        <w:pStyle w:val="Heading2"/>
        <w:spacing w:before="300" w:after="100"/>
      </w:pPr>
      <w:r>
        <w:rPr>
          <w:rFonts w:ascii="Georgia" w:cs="Georgia" w:eastAsia="Georgia" w:hAnsi="Georgia"/>
          <w:b/>
          <w:bCs/>
          <w:color w:val="060E1C"/>
          <w:sz w:val="30"/>
          <w:szCs w:val="30"/>
        </w:rPr>
        <w:t xml:space="preserve">Phase 4: Placement &amp; Activation (Weeks 19–24)</w:t>
      </w:r>
    </w:p>
    <w:p>
      <w:pPr>
        <w:pBdr>
          <w:bottom w:val="single" w:color="DDDDDD" w:sz="2" w:space="1"/>
        </w:pBdr>
        <w:spacing w:before="60" w:after="60"/>
      </w:pPr>
    </w:p>
    <w:p>
      <w:pPr>
        <w:spacing w:before="60" w:after="60"/>
      </w:pPr>
    </w:p>
    <w:p>
      <w:pPr>
        <w:spacing w:before="80" w:after="120" w:line="360"/>
      </w:pPr>
      <w:r>
        <w:rPr>
          <w:rFonts w:ascii="Calibri" w:cs="Calibri" w:eastAsia="Calibri" w:hAnsi="Calibri"/>
          <w:b w:val="false"/>
          <w:bCs w:val="false"/>
          <w:i w:val="false"/>
          <w:iCs w:val="false"/>
          <w:color w:val="2C2C2C"/>
          <w:sz w:val="22"/>
          <w:szCs w:val="22"/>
        </w:rPr>
        <w:t xml:space="preserve">Phase 4 is the active placement and monitoring phase. Participants enter structured employment, apprenticeships, or entrepreneurship pathways. Case managers maintain weekly contact during this phase. The program does not consider placement alone as success — verified sustained employment at 90 days is the primary outcome metric.</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Week</w:t>
            </w:r>
          </w:p>
        </w:tc>
        <w:tc>
          <w:tcPr>
            <w:tcW w:type="dxa" w:w="7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Activity</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19–20</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Formal employment commencement or apprenticeship activation. Case manager weekly check-in begins.</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Weeks 21–22</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30-day employer review. Participant feedback session. Problem-solving support for workplace integration challenges.</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23–24</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60-day review. Cohort reunion session. Peer support network activation.</w:t>
            </w:r>
          </w:p>
        </w:tc>
      </w:tr>
    </w:tbl>
    <w:p>
      <w:pPr>
        <w:spacing w:before="80" w:after="80"/>
      </w:pPr>
    </w:p>
    <w:p>
      <w:pPr>
        <w:spacing w:before="200" w:after="60"/>
      </w:pPr>
      <w:r>
        <w:rPr>
          <w:rFonts w:ascii="Calibri" w:cs="Calibri" w:eastAsia="Calibri" w:hAnsi="Calibri"/>
          <w:b/>
          <w:bCs/>
          <w:color w:val="C9A84C"/>
          <w:spacing w:val="120"/>
          <w:sz w:val="18"/>
          <w:szCs w:val="18"/>
        </w:rPr>
        <w:t xml:space="preserve">PLACEMENT TARGETS BY PATHWAY</w:t>
      </w:r>
    </w:p>
    <w:p>
      <w:pPr>
        <w:pStyle w:val="ListParagraph"/>
        <w:numPr>
          <w:ilvl w:val="0"/>
          <w:numId w:val="2"/>
        </w:numPr>
        <w:spacing w:before="60" w:after="60" w:line="320"/>
      </w:pPr>
      <w:r>
        <w:rPr>
          <w:rFonts w:ascii="Calibri" w:cs="Calibri" w:eastAsia="Calibri" w:hAnsi="Calibri"/>
          <w:color w:val="3A3A3A"/>
          <w:sz w:val="21"/>
          <w:szCs w:val="21"/>
        </w:rPr>
        <w:t xml:space="preserve">Stream A (Construction): T.S. Division projects (primary), external construction contractors (secondary)</w:t>
      </w:r>
    </w:p>
    <w:p>
      <w:pPr>
        <w:pStyle w:val="ListParagraph"/>
        <w:numPr>
          <w:ilvl w:val="0"/>
          <w:numId w:val="2"/>
        </w:numPr>
        <w:spacing w:before="60" w:after="60" w:line="320"/>
      </w:pPr>
      <w:r>
        <w:rPr>
          <w:rFonts w:ascii="Calibri" w:cs="Calibri" w:eastAsia="Calibri" w:hAnsi="Calibri"/>
          <w:color w:val="3A3A3A"/>
          <w:sz w:val="21"/>
          <w:szCs w:val="21"/>
        </w:rPr>
        <w:t xml:space="preserve">Stream B (Digital Operations): G.O.D.S. internal roles, partner employers, SETA-linked apprenticeships</w:t>
      </w:r>
    </w:p>
    <w:p>
      <w:pPr>
        <w:pStyle w:val="ListParagraph"/>
        <w:numPr>
          <w:ilvl w:val="0"/>
          <w:numId w:val="2"/>
        </w:numPr>
        <w:spacing w:before="60" w:after="60" w:line="320"/>
      </w:pPr>
      <w:r>
        <w:rPr>
          <w:rFonts w:ascii="Calibri" w:cs="Calibri" w:eastAsia="Calibri" w:hAnsi="Calibri"/>
          <w:color w:val="3A3A3A"/>
          <w:sz w:val="21"/>
          <w:szCs w:val="21"/>
        </w:rPr>
        <w:t xml:space="preserve">Stream C (Agriculture): T.S. vertical farming operations, urban agriculture co-operatives, food system partners</w:t>
      </w:r>
    </w:p>
    <w:p>
      <w:pPr>
        <w:pStyle w:val="ListParagraph"/>
        <w:numPr>
          <w:ilvl w:val="0"/>
          <w:numId w:val="2"/>
        </w:numPr>
        <w:spacing w:before="60" w:after="60" w:line="320"/>
      </w:pPr>
      <w:r>
        <w:rPr>
          <w:rFonts w:ascii="Calibri" w:cs="Calibri" w:eastAsia="Calibri" w:hAnsi="Calibri"/>
          <w:color w:val="3A3A3A"/>
          <w:sz w:val="21"/>
          <w:szCs w:val="21"/>
        </w:rPr>
        <w:t xml:space="preserve">Stream D (Community Health): Department of Health CHW programme, NGO sector, municipal social services</w:t>
      </w:r>
    </w:p>
    <w:p>
      <w:pPr>
        <w:spacing w:before="120" w:after="80"/>
      </w:pPr>
    </w:p>
    <w:p>
      <w:pPr>
        <w:pStyle w:val="Heading2"/>
        <w:spacing w:before="300" w:after="100"/>
      </w:pPr>
      <w:r>
        <w:rPr>
          <w:rFonts w:ascii="Georgia" w:cs="Georgia" w:eastAsia="Georgia" w:hAnsi="Georgia"/>
          <w:b/>
          <w:bCs/>
          <w:color w:val="060E1C"/>
          <w:sz w:val="30"/>
          <w:szCs w:val="30"/>
        </w:rPr>
        <w:t xml:space="preserve">Phase 5: Alumni Network &amp; Ongoing Support (Weeks 25–36)</w:t>
      </w:r>
    </w:p>
    <w:p>
      <w:pPr>
        <w:pBdr>
          <w:bottom w:val="single" w:color="DDDDDD" w:sz="2" w:space="1"/>
        </w:pBdr>
        <w:spacing w:before="60" w:after="60"/>
      </w:pPr>
    </w:p>
    <w:p>
      <w:pPr>
        <w:spacing w:before="60" w:after="60"/>
      </w:pPr>
    </w:p>
    <w:p>
      <w:pPr>
        <w:spacing w:before="80" w:after="120" w:line="360"/>
      </w:pPr>
      <w:r>
        <w:rPr>
          <w:rFonts w:ascii="Calibri" w:cs="Calibri" w:eastAsia="Calibri" w:hAnsi="Calibri"/>
          <w:b w:val="false"/>
          <w:bCs w:val="false"/>
          <w:i w:val="false"/>
          <w:iCs w:val="false"/>
          <w:color w:val="2C2C2C"/>
          <w:sz w:val="22"/>
          <w:szCs w:val="22"/>
        </w:rPr>
        <w:t xml:space="preserve">The program does not end at placement. Phase 5 provides the ongoing support structure that ensures sustainable employment outcomes and builds the S.E.T.H.S. alumni network — which over time becomes one of the program's greatest assets: a community of individuals who have completed the journey and can serve as mentors, community anchors, and proof of concept.</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Week</w:t>
            </w:r>
          </w:p>
        </w:tc>
        <w:tc>
          <w:tcPr>
            <w:tcW w:type="dxa" w:w="7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Activity</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25–28</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Monthly case manager check-in. Alumni WhatsApp/community platform activated. Access to emergency support fund.</w:t>
            </w:r>
          </w:p>
        </w:tc>
      </w:tr>
      <w:tr>
        <w:tc>
          <w:tcPr>
            <w:tcW w:type="dxa" w:w="180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b/>
                <w:bCs/>
                <w:color w:val="C9A84C"/>
                <w:sz w:val="20"/>
                <w:szCs w:val="20"/>
              </w:rPr>
              <w:t xml:space="preserve">Weeks 29–32</w:t>
            </w:r>
          </w:p>
        </w:tc>
        <w:tc>
          <w:tcPr>
            <w:tcW w:type="dxa" w:w="7560"/>
            <w:tcBorders>
              <w:top w:val="single" w:color="DDDDDD" w:sz="1"/>
              <w:left w:val="single" w:color="DDDDDD" w:sz="1"/>
              <w:bottom w:val="single" w:color="DDDDDD" w:sz="1"/>
              <w:right w:val="single" w:color="DDDDDD" w:sz="1"/>
            </w:tcBorders>
            <w:shd w:fill="FAFAFA" w:val="clear"/>
            <w:tcMar>
              <w:top w:type="dxa" w:w="80"/>
              <w:left w:type="dxa" w:w="140"/>
              <w:bottom w:type="dxa" w:w="80"/>
              <w:right w:type="dxa" w:w="140"/>
            </w:tcMar>
          </w:tcPr>
          <w:p>
            <w:r>
              <w:rPr>
                <w:rFonts w:ascii="Calibri" w:cs="Calibri" w:eastAsia="Calibri" w:hAnsi="Calibri"/>
                <w:color w:val="3A3A3A"/>
                <w:sz w:val="20"/>
                <w:szCs w:val="20"/>
              </w:rPr>
              <w:t xml:space="preserve">Upskilling module access: further digital skills, supervisory skills, financial management. Available to all employed alumni.</w:t>
            </w:r>
          </w:p>
        </w:tc>
      </w:tr>
      <w:tr>
        <w:tc>
          <w:tcPr>
            <w:tcW w:type="dxa" w:w="180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b/>
                <w:bCs/>
                <w:color w:val="C9A84C"/>
                <w:sz w:val="20"/>
                <w:szCs w:val="20"/>
              </w:rPr>
              <w:t xml:space="preserve">Weeks 33–36</w:t>
            </w:r>
          </w:p>
        </w:tc>
        <w:tc>
          <w:tcPr>
            <w:tcW w:type="dxa" w:w="7560"/>
            <w:tcBorders>
              <w:top w:val="single" w:color="DDDDDD" w:sz="1"/>
              <w:left w:val="single" w:color="DDDDDD" w:sz="1"/>
              <w:bottom w:val="single" w:color="DDDDDD" w:sz="1"/>
              <w:right w:val="single" w:color="DDDDDD" w:sz="1"/>
            </w:tcBorders>
            <w:shd w:fill="EEE8D5" w:val="clear"/>
            <w:tcMar>
              <w:top w:type="dxa" w:w="80"/>
              <w:left w:type="dxa" w:w="140"/>
              <w:bottom w:type="dxa" w:w="80"/>
              <w:right w:type="dxa" w:w="140"/>
            </w:tcMar>
          </w:tcPr>
          <w:p>
            <w:r>
              <w:rPr>
                <w:rFonts w:ascii="Calibri" w:cs="Calibri" w:eastAsia="Calibri" w:hAnsi="Calibri"/>
                <w:color w:val="3A3A3A"/>
                <w:sz w:val="20"/>
                <w:szCs w:val="20"/>
              </w:rPr>
              <w:t xml:space="preserve">90-day verified employment outcome recorded. Alumni graduation ceremony. Peer mentor pathway offered to eligible graduates.</w:t>
            </w:r>
          </w:p>
        </w:tc>
      </w:tr>
    </w:tbl>
    <w:p>
      <w:r>
        <w:br w:type="page"/>
      </w:r>
    </w:p>
    <w:p>
      <w:pPr>
        <w:pStyle w:val="Heading1"/>
        <w:spacing w:before="400" w:after="120"/>
      </w:pPr>
      <w:r>
        <w:rPr>
          <w:rFonts w:ascii="Georgia" w:cs="Georgia" w:eastAsia="Georgia" w:hAnsi="Georgia"/>
          <w:b/>
          <w:bCs/>
          <w:color w:val="060E1C"/>
          <w:sz w:val="40"/>
          <w:szCs w:val="40"/>
        </w:rPr>
        <w:t xml:space="preserve">04  Outcome Metrics &amp; Impact Framework</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S.E.T.H.S. is designed to be measurable at every stage. The following metrics define program success and are reported publicly through the G.O.D.S. Constitutional Oversight Board.</w:t>
      </w:r>
    </w:p>
    <w:p>
      <w:pPr>
        <w:spacing w:before="120" w:after="80"/>
      </w:pPr>
    </w:p>
    <w:p>
      <w:pPr>
        <w:spacing w:before="200" w:after="60"/>
      </w:pPr>
      <w:r>
        <w:rPr>
          <w:rFonts w:ascii="Calibri" w:cs="Calibri" w:eastAsia="Calibri" w:hAnsi="Calibri"/>
          <w:b/>
          <w:bCs/>
          <w:color w:val="C9A84C"/>
          <w:spacing w:val="120"/>
          <w:sz w:val="18"/>
          <w:szCs w:val="18"/>
        </w:rPr>
        <w:t xml:space="preserve">PRIMARY OUTCOME METRICS</w:t>
      </w:r>
    </w:p>
    <w:p>
      <w:pPr>
        <w:pStyle w:val="ListParagraph"/>
        <w:numPr>
          <w:ilvl w:val="0"/>
          <w:numId w:val="2"/>
        </w:numPr>
        <w:spacing w:before="60" w:after="60" w:line="320"/>
      </w:pPr>
      <w:r>
        <w:rPr>
          <w:rFonts w:ascii="Calibri" w:cs="Calibri" w:eastAsia="Calibri" w:hAnsi="Calibri"/>
          <w:color w:val="3A3A3A"/>
          <w:sz w:val="21"/>
          <w:szCs w:val="21"/>
        </w:rPr>
        <w:t xml:space="preserve">Employment rate at 30 days post-placement (target: 80%+)</w:t>
      </w:r>
    </w:p>
    <w:p>
      <w:pPr>
        <w:pStyle w:val="ListParagraph"/>
        <w:numPr>
          <w:ilvl w:val="0"/>
          <w:numId w:val="2"/>
        </w:numPr>
        <w:spacing w:before="60" w:after="60" w:line="320"/>
      </w:pPr>
      <w:r>
        <w:rPr>
          <w:rFonts w:ascii="Calibri" w:cs="Calibri" w:eastAsia="Calibri" w:hAnsi="Calibri"/>
          <w:color w:val="3A3A3A"/>
          <w:sz w:val="21"/>
          <w:szCs w:val="21"/>
        </w:rPr>
        <w:t xml:space="preserve">Employment retention at 90 days (target: 70%+)</w:t>
      </w:r>
    </w:p>
    <w:p>
      <w:pPr>
        <w:pStyle w:val="ListParagraph"/>
        <w:numPr>
          <w:ilvl w:val="0"/>
          <w:numId w:val="2"/>
        </w:numPr>
        <w:spacing w:before="60" w:after="60" w:line="320"/>
      </w:pPr>
      <w:r>
        <w:rPr>
          <w:rFonts w:ascii="Calibri" w:cs="Calibri" w:eastAsia="Calibri" w:hAnsi="Calibri"/>
          <w:color w:val="3A3A3A"/>
          <w:sz w:val="21"/>
          <w:szCs w:val="21"/>
        </w:rPr>
        <w:t xml:space="preserve">Employment retention at 12 months (target: 60%+)</w:t>
      </w:r>
    </w:p>
    <w:p>
      <w:pPr>
        <w:pStyle w:val="ListParagraph"/>
        <w:numPr>
          <w:ilvl w:val="0"/>
          <w:numId w:val="2"/>
        </w:numPr>
        <w:spacing w:before="60" w:after="60" w:line="320"/>
      </w:pPr>
      <w:r>
        <w:rPr>
          <w:rFonts w:ascii="Calibri" w:cs="Calibri" w:eastAsia="Calibri" w:hAnsi="Calibri"/>
          <w:color w:val="3A3A3A"/>
          <w:sz w:val="21"/>
          <w:szCs w:val="21"/>
        </w:rPr>
        <w:t xml:space="preserve">Participant income increase from baseline (target: 3x minimum)</w:t>
      </w:r>
    </w:p>
    <w:p>
      <w:pPr>
        <w:pStyle w:val="ListParagraph"/>
        <w:numPr>
          <w:ilvl w:val="0"/>
          <w:numId w:val="2"/>
        </w:numPr>
        <w:spacing w:before="60" w:after="60" w:line="320"/>
      </w:pPr>
      <w:r>
        <w:rPr>
          <w:rFonts w:ascii="Calibri" w:cs="Calibri" w:eastAsia="Calibri" w:hAnsi="Calibri"/>
          <w:color w:val="3A3A3A"/>
          <w:sz w:val="21"/>
          <w:szCs w:val="21"/>
        </w:rPr>
        <w:t xml:space="preserve">Participant net promoter score (target: 75+)</w:t>
      </w:r>
    </w:p>
    <w:p>
      <w:pPr>
        <w:spacing w:before="80" w:after="80"/>
      </w:pPr>
    </w:p>
    <w:p>
      <w:pPr>
        <w:spacing w:before="200" w:after="60"/>
      </w:pPr>
      <w:r>
        <w:rPr>
          <w:rFonts w:ascii="Calibri" w:cs="Calibri" w:eastAsia="Calibri" w:hAnsi="Calibri"/>
          <w:b/>
          <w:bCs/>
          <w:color w:val="C9A84C"/>
          <w:spacing w:val="120"/>
          <w:sz w:val="18"/>
          <w:szCs w:val="18"/>
        </w:rPr>
        <w:t xml:space="preserve">SECONDARY OUTCOME METRICS</w:t>
      </w:r>
    </w:p>
    <w:p>
      <w:pPr>
        <w:pStyle w:val="ListParagraph"/>
        <w:numPr>
          <w:ilvl w:val="0"/>
          <w:numId w:val="2"/>
        </w:numPr>
        <w:spacing w:before="60" w:after="60" w:line="320"/>
      </w:pPr>
      <w:r>
        <w:rPr>
          <w:rFonts w:ascii="Calibri" w:cs="Calibri" w:eastAsia="Calibri" w:hAnsi="Calibri"/>
          <w:color w:val="3A3A3A"/>
          <w:sz w:val="21"/>
          <w:szCs w:val="21"/>
        </w:rPr>
        <w:t xml:space="preserve">Employer satisfaction rating (target: 80%+ would rehire)</w:t>
      </w:r>
    </w:p>
    <w:p>
      <w:pPr>
        <w:pStyle w:val="ListParagraph"/>
        <w:numPr>
          <w:ilvl w:val="0"/>
          <w:numId w:val="2"/>
        </w:numPr>
        <w:spacing w:before="60" w:after="60" w:line="320"/>
      </w:pPr>
      <w:r>
        <w:rPr>
          <w:rFonts w:ascii="Calibri" w:cs="Calibri" w:eastAsia="Calibri" w:hAnsi="Calibri"/>
          <w:color w:val="3A3A3A"/>
          <w:sz w:val="21"/>
          <w:szCs w:val="21"/>
        </w:rPr>
        <w:t xml:space="preserve">Cohort completion rate (target: 75%+)</w:t>
      </w:r>
    </w:p>
    <w:p>
      <w:pPr>
        <w:pStyle w:val="ListParagraph"/>
        <w:numPr>
          <w:ilvl w:val="0"/>
          <w:numId w:val="2"/>
        </w:numPr>
        <w:spacing w:before="60" w:after="60" w:line="320"/>
      </w:pPr>
      <w:r>
        <w:rPr>
          <w:rFonts w:ascii="Calibri" w:cs="Calibri" w:eastAsia="Calibri" w:hAnsi="Calibri"/>
          <w:color w:val="3A3A3A"/>
          <w:sz w:val="21"/>
          <w:szCs w:val="21"/>
        </w:rPr>
        <w:t xml:space="preserve">Alumni re-engagement rate (target: 50%+ access upskilling in Year 2)</w:t>
      </w:r>
    </w:p>
    <w:p>
      <w:pPr>
        <w:pStyle w:val="ListParagraph"/>
        <w:numPr>
          <w:ilvl w:val="0"/>
          <w:numId w:val="2"/>
        </w:numPr>
        <w:spacing w:before="60" w:after="60" w:line="320"/>
      </w:pPr>
      <w:r>
        <w:rPr>
          <w:rFonts w:ascii="Calibri" w:cs="Calibri" w:eastAsia="Calibri" w:hAnsi="Calibri"/>
          <w:color w:val="3A3A3A"/>
          <w:sz w:val="21"/>
          <w:szCs w:val="21"/>
        </w:rPr>
        <w:t xml:space="preserve">Economic multiplier: income earned by participants per rand of program cost (target: 5:1 within 3 years)</w:t>
      </w:r>
    </w:p>
    <w:p>
      <w:pPr>
        <w:spacing w:before="80" w:after="80"/>
      </w:pPr>
    </w:p>
    <w:p>
      <w:pPr>
        <w:spacing w:before="200" w:after="60"/>
      </w:pPr>
      <w:r>
        <w:rPr>
          <w:rFonts w:ascii="Calibri" w:cs="Calibri" w:eastAsia="Calibri" w:hAnsi="Calibri"/>
          <w:b/>
          <w:bCs/>
          <w:color w:val="C9A84C"/>
          <w:spacing w:val="120"/>
          <w:sz w:val="18"/>
          <w:szCs w:val="18"/>
        </w:rPr>
        <w:t xml:space="preserve">SOCIAL IMPACT METRICS</w:t>
      </w:r>
    </w:p>
    <w:p>
      <w:pPr>
        <w:pStyle w:val="ListParagraph"/>
        <w:numPr>
          <w:ilvl w:val="0"/>
          <w:numId w:val="2"/>
        </w:numPr>
        <w:spacing w:before="60" w:after="60" w:line="320"/>
      </w:pPr>
      <w:r>
        <w:rPr>
          <w:rFonts w:ascii="Calibri" w:cs="Calibri" w:eastAsia="Calibri" w:hAnsi="Calibri"/>
          <w:color w:val="3A3A3A"/>
          <w:sz w:val="21"/>
          <w:szCs w:val="21"/>
        </w:rPr>
        <w:t xml:space="preserve">Household income increase (measured at participant household level)</w:t>
      </w:r>
    </w:p>
    <w:p>
      <w:pPr>
        <w:pStyle w:val="ListParagraph"/>
        <w:numPr>
          <w:ilvl w:val="0"/>
          <w:numId w:val="2"/>
        </w:numPr>
        <w:spacing w:before="60" w:after="60" w:line="320"/>
      </w:pPr>
      <w:r>
        <w:rPr>
          <w:rFonts w:ascii="Calibri" w:cs="Calibri" w:eastAsia="Calibri" w:hAnsi="Calibri"/>
          <w:color w:val="3A3A3A"/>
          <w:sz w:val="21"/>
          <w:szCs w:val="21"/>
        </w:rPr>
        <w:t xml:space="preserve">Children of participants in school (tracked as proxy for household stability)</w:t>
      </w:r>
    </w:p>
    <w:p>
      <w:pPr>
        <w:pStyle w:val="ListParagraph"/>
        <w:numPr>
          <w:ilvl w:val="0"/>
          <w:numId w:val="2"/>
        </w:numPr>
        <w:spacing w:before="60" w:after="60" w:line="320"/>
      </w:pPr>
      <w:r>
        <w:rPr>
          <w:rFonts w:ascii="Calibri" w:cs="Calibri" w:eastAsia="Calibri" w:hAnsi="Calibri"/>
          <w:color w:val="3A3A3A"/>
          <w:sz w:val="21"/>
          <w:szCs w:val="21"/>
        </w:rPr>
        <w:t xml:space="preserve">Participant arrest or re-incarceration rate post-program (applicable to CJS cohort; target: &lt;10%)</w:t>
      </w:r>
    </w:p>
    <w:p>
      <w:pPr>
        <w:pStyle w:val="ListParagraph"/>
        <w:numPr>
          <w:ilvl w:val="0"/>
          <w:numId w:val="2"/>
        </w:numPr>
        <w:spacing w:before="60" w:after="60" w:line="320"/>
      </w:pPr>
      <w:r>
        <w:rPr>
          <w:rFonts w:ascii="Calibri" w:cs="Calibri" w:eastAsia="Calibri" w:hAnsi="Calibri"/>
          <w:color w:val="3A3A3A"/>
          <w:sz w:val="21"/>
          <w:szCs w:val="21"/>
        </w:rPr>
        <w:t xml:space="preserve">Community wellbeing indicators in program catchment areas (measured annually)</w:t>
      </w:r>
    </w:p>
    <w:p>
      <w:r>
        <w:br w:type="page"/>
      </w:r>
    </w:p>
    <w:p>
      <w:pPr>
        <w:pStyle w:val="Heading1"/>
        <w:spacing w:before="400" w:after="120"/>
      </w:pPr>
      <w:r>
        <w:rPr>
          <w:rFonts w:ascii="Georgia" w:cs="Georgia" w:eastAsia="Georgia" w:hAnsi="Georgia"/>
          <w:b/>
          <w:bCs/>
          <w:color w:val="060E1C"/>
          <w:sz w:val="40"/>
          <w:szCs w:val="40"/>
        </w:rPr>
        <w:t xml:space="preserve">05  Staffing Structure — Positions Available</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S.E.T.H.S. staffing structure is designed for both the pilot phase (50 participants) and the scale phase (200+ participants per cohort). Positions are listed for both phases. Pilot phase positions are marked (P). Scale phase additions are marked (S).</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1560"/>
        <w:gridCol w:w="1200"/>
        <w:gridCol w:w="2400"/>
      </w:tblGrid>
      <w:tr>
        <w:tc>
          <w:tcPr>
            <w:tcW w:type="dxa" w:w="28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Position</w:t>
            </w:r>
          </w:p>
        </w:tc>
        <w:tc>
          <w:tcPr>
            <w:tcW w:type="dxa" w:w="14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Reports To</w:t>
            </w:r>
          </w:p>
        </w:tc>
        <w:tc>
          <w:tcPr>
            <w:tcW w:type="dxa" w:w="156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CTC Range (ZAR)</w:t>
            </w:r>
          </w:p>
        </w:tc>
        <w:tc>
          <w:tcPr>
            <w:tcW w:type="dxa" w:w="1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Phase</w:t>
            </w:r>
          </w:p>
        </w:tc>
        <w:tc>
          <w:tcPr>
            <w:tcW w:type="dxa" w:w="24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Core Function</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Program Director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CEO / COO</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R480,000 – R720,000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Overall program leadership, government liaison, employer partnerships, COB reporting</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Operations Manager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R360,000 – R480,000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Day-to-day operations, logistics, facilities, vendor management</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Head of Curriculum</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R360,000 – R540,000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Curriculum design, facilitator management, learning outcomes</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Senior Facilitator (x2)</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R240,000 – R360,000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Phase delivery, participant facilitation, learning assessment</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Facilitator — Stream A</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Construction &amp; infrastructure pathway delivery</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Facilitator — Stream B</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Digital operations pathway delivery</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Facilitator — Stream C</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Agriculture &amp; food systems pathway delivery</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Facilitator — Stream D</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Community health &amp; social support pathway delivery</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Case Manager (x3)</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R192,000 – R264,000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Individual participant support, tracking, crisis intervention</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Psychosocial Counsellor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R264,000 – R360,000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Trauma-informed support, mental health referrals, wellbeing</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Employer Partnerships Manager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R300,000 – R420,000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Employer relationship management, placement negotiations, MOU management</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M&amp;E Officer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R240,000 – R300,000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Data collection, outcome reporting, impact measurement</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Finance Officer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R216,000 – R300,000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Budget management, payroll, donor reporting</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Admin &amp; Comms Coordinator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R144,000 – R192,000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Pilot</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Scheduling, communications, records management</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Head of Placement</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R360,000 – R480,000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Scale</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Placement system management, employer network expansion</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Alumni Network Coordinator</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Scale</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Alumni engagement, mentorship programme, peer network</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Regional Manager (x3)</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Program Director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R420,000 – R600,000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Scale</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Provincial program replication leadership</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Additional Facilitators (x8)</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Head of Curriculum</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R180,000 – R240,000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Scale</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Additional pathway and cohort delivery capacity</w:t>
            </w:r>
          </w:p>
        </w:tc>
      </w:tr>
      <w:tr>
        <w:tc>
          <w:tcPr>
            <w:tcW w:type="dxa" w:w="2800"/>
            <w:tcBorders>
              <w:top w:val="single" w:color="DDDDDD" w:sz="1"/>
              <w:left w:val="single" w:color="DDDDDD" w:sz="1"/>
              <w:bottom w:val="single" w:color="DDDDDD" w:sz="1"/>
              <w:right w:val="single" w:color="DDDDDD" w:sz="1"/>
            </w:tcBorders>
            <w:shd w:fill="F7F3E8" w:val="clear"/>
            <w:tcMar>
              <w:top w:type="dxa" w:w="100"/>
              <w:left w:type="dxa" w:w="140"/>
              <w:bottom w:type="dxa" w:w="100"/>
              <w:right w:type="dxa" w:w="140"/>
            </w:tcMar>
          </w:tcPr>
          <w:p>
            <w:r>
              <w:rPr>
                <w:rFonts w:ascii="Calibri" w:cs="Calibri" w:eastAsia="Calibri" w:hAnsi="Calibri"/>
                <w:b/>
                <w:bCs/>
                <w:color w:val="060E1C"/>
                <w:sz w:val="19"/>
                <w:szCs w:val="19"/>
              </w:rPr>
              <w:t xml:space="preserve">Additional Case Managers (x6)</w:t>
            </w:r>
          </w:p>
        </w:tc>
        <w:tc>
          <w:tcPr>
            <w:tcW w:type="dxa" w:w="14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Operations Manager</w:t>
            </w:r>
          </w:p>
        </w:tc>
        <w:tc>
          <w:tcPr>
            <w:tcW w:type="dxa" w:w="1560"/>
            <w:tcBorders>
              <w:top w:val="single" w:color="DDDDDD" w:sz="1"/>
              <w:left w:val="single" w:color="DDDDDD" w:sz="1"/>
              <w:bottom w:val="single" w:color="DDDDDD" w:sz="1"/>
              <w:right w:val="single" w:color="DDDDDD" w:sz="1"/>
            </w:tcBorders>
            <w:shd w:fill="F5FFF5" w:val="clear"/>
            <w:tcMar>
              <w:top w:type="dxa" w:w="100"/>
              <w:left w:type="dxa" w:w="140"/>
              <w:bottom w:type="dxa" w:w="100"/>
              <w:right w:type="dxa" w:w="140"/>
            </w:tcMar>
          </w:tcPr>
          <w:p>
            <w:r>
              <w:rPr>
                <w:rFonts w:ascii="Calibri" w:cs="Calibri" w:eastAsia="Calibri" w:hAnsi="Calibri"/>
                <w:b w:val="false"/>
                <w:bCs w:val="false"/>
                <w:color w:val="1A5C1A"/>
                <w:sz w:val="19"/>
                <w:szCs w:val="19"/>
              </w:rPr>
              <w:t xml:space="preserve">R192,000 – R264,000</w:t>
            </w:r>
          </w:p>
        </w:tc>
        <w:tc>
          <w:tcPr>
            <w:tcW w:type="dxa" w:w="1200"/>
            <w:tcBorders>
              <w:top w:val="single" w:color="DDDDDD" w:sz="1"/>
              <w:left w:val="single" w:color="DDDDDD" w:sz="1"/>
              <w:bottom w:val="single" w:color="DDDDDD" w:sz="1"/>
              <w:right w:val="single" w:color="DDDDDD" w:sz="1"/>
            </w:tcBorders>
            <w:shd w:fill="FFFFFF" w:val="clear"/>
            <w:tcMar>
              <w:top w:type="dxa" w:w="100"/>
              <w:left w:type="dxa" w:w="140"/>
              <w:bottom w:type="dxa" w:w="100"/>
              <w:right w:type="dxa" w:w="140"/>
            </w:tcMar>
          </w:tcPr>
          <w:p>
            <w:r>
              <w:rPr>
                <w:rFonts w:ascii="Calibri" w:cs="Calibri" w:eastAsia="Calibri" w:hAnsi="Calibri"/>
                <w:b w:val="false"/>
                <w:bCs w:val="false"/>
                <w:color w:val="444444"/>
                <w:sz w:val="19"/>
                <w:szCs w:val="19"/>
              </w:rPr>
              <w:t xml:space="preserve">Scale</w:t>
            </w:r>
          </w:p>
        </w:tc>
        <w:tc>
          <w:tcPr>
            <w:tcW w:type="dxa" w:w="24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19"/>
                <w:szCs w:val="19"/>
              </w:rPr>
              <w:t xml:space="preserve">Scale cohort case management</w:t>
            </w:r>
          </w:p>
        </w:tc>
      </w:tr>
    </w:tbl>
    <w:p>
      <w:pPr>
        <w:spacing w:before="200" w:after="80"/>
      </w:pPr>
    </w:p>
    <w:p>
      <w:r>
        <w:br w:type="page"/>
      </w:r>
    </w:p>
    <w:p>
      <w:pPr>
        <w:pStyle w:val="Heading1"/>
        <w:spacing w:before="400" w:after="120"/>
      </w:pPr>
      <w:r>
        <w:rPr>
          <w:rFonts w:ascii="Georgia" w:cs="Georgia" w:eastAsia="Georgia" w:hAnsi="Georgia"/>
          <w:b/>
          <w:bCs/>
          <w:color w:val="060E1C"/>
          <w:sz w:val="40"/>
          <w:szCs w:val="40"/>
        </w:rPr>
        <w:t xml:space="preserve">06  Program Budget — Pilot Phase</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following budget reflects the 18-month pilot phase with an initial cohort of 50 participants and a team of 14 core staff. All figures are in South African Rand (ZAR) and represent conservative estimates.</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c>
          <w:tcPr>
            <w:tcW w:type="dxa" w:w="468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Budget Line Item</w:t>
            </w:r>
          </w:p>
        </w:tc>
        <w:tc>
          <w:tcPr>
            <w:tcW w:type="dxa" w:w="23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Annual (ZAR)</w:t>
            </w:r>
          </w:p>
        </w:tc>
        <w:tc>
          <w:tcPr>
            <w:tcW w:type="dxa" w:w="23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18-Month Total (ZAR)</w:t>
            </w:r>
          </w:p>
        </w:tc>
      </w:tr>
      <w:tr>
        <w:tc>
          <w:tcPr>
            <w:tcW w:type="dxa" w:w="46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Staff Costs (14 core staff, blended CTC)</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R4,200,000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R6,300,000</w:t>
            </w:r>
          </w:p>
        </w:tc>
      </w:tr>
      <w:tr>
        <w:tc>
          <w:tcPr>
            <w:tcW w:type="dxa" w:w="468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Facilities (training centre lease + fit-out)</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R720,000</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R1,080,000</w:t>
            </w:r>
          </w:p>
        </w:tc>
      </w:tr>
      <w:tr>
        <w:tc>
          <w:tcPr>
            <w:tcW w:type="dxa" w:w="46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Participant Stipends (R2,500/month × 50)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R1,500,000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R2,250,000</w:t>
            </w:r>
          </w:p>
        </w:tc>
      </w:tr>
      <w:tr>
        <w:tc>
          <w:tcPr>
            <w:tcW w:type="dxa" w:w="468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Curriculum &amp; Learning Materials</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R480,000</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R720,000</w:t>
            </w:r>
          </w:p>
        </w:tc>
      </w:tr>
      <w:tr>
        <w:tc>
          <w:tcPr>
            <w:tcW w:type="dxa" w:w="46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Psychosocial &amp; Counselling Services</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R360,000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R540,000</w:t>
            </w:r>
          </w:p>
        </w:tc>
      </w:tr>
      <w:tr>
        <w:tc>
          <w:tcPr>
            <w:tcW w:type="dxa" w:w="468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M&amp;E, Reporting &amp; Technology</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R240,000</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R360,000</w:t>
            </w:r>
          </w:p>
        </w:tc>
      </w:tr>
      <w:tr>
        <w:tc>
          <w:tcPr>
            <w:tcW w:type="dxa" w:w="46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Employer Engagement &amp; Placement</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R300,000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R450,000</w:t>
            </w:r>
          </w:p>
        </w:tc>
      </w:tr>
      <w:tr>
        <w:tc>
          <w:tcPr>
            <w:tcW w:type="dxa" w:w="468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Communications &amp; Administration</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R180,000</w:t>
            </w:r>
          </w:p>
        </w:tc>
        <w:tc>
          <w:tcPr>
            <w:tcW w:type="dxa" w:w="234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R270,000</w:t>
            </w:r>
          </w:p>
        </w:tc>
      </w:tr>
      <w:tr>
        <w:tc>
          <w:tcPr>
            <w:tcW w:type="dxa" w:w="46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Contingency (10%)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R798,000</w:t>
            </w:r>
          </w:p>
        </w:tc>
        <w:tc>
          <w:tcPr>
            <w:tcW w:type="dxa" w:w="234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val="false"/>
                <w:bCs w:val="false"/>
                <w:color w:val="3A3A3A"/>
                <w:sz w:val="20"/>
                <w:szCs w:val="20"/>
              </w:rPr>
              <w:t xml:space="preserve">R1,197,000</w:t>
            </w:r>
          </w:p>
        </w:tc>
      </w:tr>
      <w:tr>
        <w:tc>
          <w:tcPr>
            <w:tcW w:type="dxa" w:w="4680"/>
            <w:tcBorders>
              <w:top w:val="single" w:color="DDDDDD" w:sz="1"/>
              <w:left w:val="single" w:color="DDDDDD" w:sz="1"/>
              <w:bottom w:val="single" w:color="DDDDDD" w:sz="1"/>
              <w:right w:val="single" w:color="DDDDDD" w:sz="1"/>
            </w:tcBorders>
            <w:shd w:fill="EEE8D5" w:val="clear"/>
            <w:tcMar>
              <w:top w:type="dxa" w:w="100"/>
              <w:left w:type="dxa" w:w="140"/>
              <w:bottom w:type="dxa" w:w="100"/>
              <w:right w:type="dxa" w:w="140"/>
            </w:tcMar>
          </w:tcPr>
          <w:p>
            <w:r>
              <w:rPr>
                <w:rFonts w:ascii="Calibri" w:cs="Calibri" w:eastAsia="Calibri" w:hAnsi="Calibri"/>
                <w:b/>
                <w:bCs/>
                <w:color w:val="060E1C"/>
                <w:sz w:val="20"/>
                <w:szCs w:val="20"/>
              </w:rPr>
              <w:t xml:space="preserve">TOTAL</w:t>
            </w:r>
          </w:p>
        </w:tc>
        <w:tc>
          <w:tcPr>
            <w:tcW w:type="dxa" w:w="2340"/>
            <w:tcBorders>
              <w:top w:val="single" w:color="DDDDDD" w:sz="1"/>
              <w:left w:val="single" w:color="DDDDDD" w:sz="1"/>
              <w:bottom w:val="single" w:color="DDDDDD" w:sz="1"/>
              <w:right w:val="single" w:color="DDDDDD" w:sz="1"/>
            </w:tcBorders>
            <w:shd w:fill="EEE8D5" w:val="clear"/>
            <w:tcMar>
              <w:top w:type="dxa" w:w="100"/>
              <w:left w:type="dxa" w:w="140"/>
              <w:bottom w:type="dxa" w:w="100"/>
              <w:right w:type="dxa" w:w="140"/>
            </w:tcMar>
          </w:tcPr>
          <w:p>
            <w:r>
              <w:rPr>
                <w:rFonts w:ascii="Calibri" w:cs="Calibri" w:eastAsia="Calibri" w:hAnsi="Calibri"/>
                <w:b/>
                <w:bCs/>
                <w:color w:val="C9A84C"/>
                <w:sz w:val="20"/>
                <w:szCs w:val="20"/>
              </w:rPr>
              <w:t xml:space="preserve">R8,778,000</w:t>
            </w:r>
          </w:p>
        </w:tc>
        <w:tc>
          <w:tcPr>
            <w:tcW w:type="dxa" w:w="2340"/>
            <w:tcBorders>
              <w:top w:val="single" w:color="DDDDDD" w:sz="1"/>
              <w:left w:val="single" w:color="DDDDDD" w:sz="1"/>
              <w:bottom w:val="single" w:color="DDDDDD" w:sz="1"/>
              <w:right w:val="single" w:color="DDDDDD" w:sz="1"/>
            </w:tcBorders>
            <w:shd w:fill="EEE8D5" w:val="clear"/>
            <w:tcMar>
              <w:top w:type="dxa" w:w="100"/>
              <w:left w:type="dxa" w:w="140"/>
              <w:bottom w:type="dxa" w:w="100"/>
              <w:right w:type="dxa" w:w="140"/>
            </w:tcMar>
          </w:tcPr>
          <w:p>
            <w:r>
              <w:rPr>
                <w:rFonts w:ascii="Calibri" w:cs="Calibri" w:eastAsia="Calibri" w:hAnsi="Calibri"/>
                <w:b/>
                <w:bCs/>
                <w:color w:val="C9A84C"/>
                <w:sz w:val="20"/>
                <w:szCs w:val="20"/>
              </w:rPr>
              <w:t xml:space="preserve">R13,167,000</w:t>
            </w:r>
          </w:p>
        </w:tc>
      </w:tr>
    </w:tbl>
    <w:p>
      <w:pPr>
        <w:spacing w:before="200" w:after="80"/>
      </w:pPr>
    </w:p>
    <w:p>
      <w:pPr>
        <w:pStyle w:val="Heading1"/>
        <w:spacing w:before="400" w:after="120"/>
      </w:pPr>
      <w:r>
        <w:rPr>
          <w:rFonts w:ascii="Georgia" w:cs="Georgia" w:eastAsia="Georgia" w:hAnsi="Georgia"/>
          <w:b/>
          <w:bCs/>
          <w:color w:val="060E1C"/>
          <w:sz w:val="40"/>
          <w:szCs w:val="40"/>
        </w:rPr>
        <w:t xml:space="preserve">07  S.E.T.H.S. as Part of G.O.D.S — Not Separate From It</w:t>
      </w:r>
    </w:p>
    <w:p>
      <w:pPr>
        <w:pBdr>
          <w:bottom w:val="single" w:color="C9A84C" w:sz="6" w:space="1"/>
        </w:pBdr>
        <w:spacing w:before="60" w:after="6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S.E.T.H.S. is the first engine — but it is architecturally embedded in G.O.D.S from Day 1. Every participant placed in a T.S. infrastructure project feeds the economic engine. Every employment outcome generates data for the UDOC governance layer. Every successful cohort strengthens the M.A.D.I.B.A. investment case.</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pPr>
            <w:r>
              <w:rPr>
                <w:rFonts w:ascii="Georgia" w:cs="Georgia" w:eastAsia="Georgia" w:hAnsi="Georgia"/>
                <w:i/>
                <w:iCs/>
                <w:color w:val="060E1C"/>
                <w:sz w:val="24"/>
                <w:szCs w:val="24"/>
              </w:rPr>
              <w:t xml:space="preserve">S.E.T.H.S. is not a program that later connects to a company. It is the proof that the company's core thesis works. The first 50 people through this program are not just beneficiaries — they are the foundation of a compounding system that is designed to reach millions.</w:t>
            </w:r>
          </w:p>
        </w:tc>
      </w:tr>
    </w:tbl>
    <w:p>
      <w:pPr>
        <w:spacing w:before="200" w:after="80"/>
      </w:pPr>
    </w:p>
    <w:p>
      <w:pPr>
        <w:spacing w:before="0" w:after="40"/>
      </w:pPr>
      <w:r>
        <w:rPr>
          <w:rFonts w:ascii="Calibri" w:cs="Calibri" w:eastAsia="Calibri" w:hAnsi="Calibri"/>
          <w:color w:val="8B8B8B"/>
          <w:sz w:val="20"/>
          <w:szCs w:val="20"/>
        </w:rPr>
        <w:t xml:space="preserve">Sashin J. Singh  ·  Founder &amp; Systems Architect  ·  G.O.D.S Holdings (Pty) Ltd  ·  March 2026</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2" w:space="1"/>
      </w:pBdr>
      <w:tabs>
        <w:tab w:val="right" w:pos="9026"/>
      </w:tabs>
      <w:spacing w:before="120" w:after="0"/>
    </w:pPr>
    <w:r>
      <w:rPr>
        <w:rFonts w:ascii="Calibri" w:cs="Calibri" w:eastAsia="Calibri" w:hAnsi="Calibri"/>
        <w:color w:val="8B8B8B"/>
        <w:sz w:val="17"/>
        <w:szCs w:val="17"/>
      </w:rPr>
      <w:t xml:space="preserve">G.O.D.S Holdings (Pty) Ltd  ·  Sashin J. Singh  ·  © 2026</w:t>
    </w:r>
    <w:r>
      <w:rPr>
        <w:rFonts w:ascii="Calibri" w:cs="Calibri" w:eastAsia="Calibri" w:hAnsi="Calibri"/>
        <w:sz w:val="17"/>
        <w:szCs w:val="17"/>
      </w:rPr>
      <w:t xml:space="preserve">	</w:t>
    </w:r>
    <w:r>
      <w:rPr>
        <w:rFonts w:ascii="Calibri" w:cs="Calibri" w:eastAsia="Calibri" w:hAnsi="Calibri"/>
        <w:color w:val="C9A84C"/>
        <w:sz w:val="17"/>
        <w:szCs w:val="17"/>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tabs>
        <w:tab w:val="right" w:pos="9026"/>
      </w:tabs>
      <w:spacing w:before="0" w:after="120"/>
    </w:pPr>
    <w:r>
      <w:rPr>
        <w:rFonts w:ascii="Calibri" w:cs="Calibri" w:eastAsia="Calibri" w:hAnsi="Calibri"/>
        <w:color w:val="8B8B8B"/>
        <w:sz w:val="18"/>
        <w:szCs w:val="18"/>
      </w:rPr>
      <w:t xml:space="preserve">S.E.T.H.S.  ·  COMPLETE PROGRAM DOCUMENT</w:t>
    </w:r>
    <w:r>
      <w:rPr>
        <w:rFonts w:ascii="Calibri" w:cs="Calibri" w:eastAsia="Calibri" w:hAnsi="Calibri"/>
        <w:sz w:val="18"/>
        <w:szCs w:val="18"/>
      </w:rPr>
      <w:t xml:space="preserve">	</w:t>
    </w:r>
    <w:r>
      <w:rPr>
        <w:rFonts w:ascii="Calibri" w:cs="Calibri" w:eastAsia="Calibri" w:hAnsi="Calibri"/>
        <w:color w:val="C9A84C"/>
        <w:sz w:val="18"/>
        <w:szCs w:val="18"/>
      </w:rPr>
      <w:t xml:space="preserve">G.O.D.S HOLDINGS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20"/>
      <w:outlineLvl w:val="0"/>
    </w:pPr>
    <w:rPr>
      <w:rFonts w:ascii="Georgia" w:cs="Georgia" w:eastAsia="Georgia" w:hAnsi="Georgia"/>
      <w:b/>
      <w:bCs/>
      <w:color w:val="060E1C"/>
      <w:sz w:val="40"/>
      <w:szCs w:val="40"/>
    </w:rPr>
  </w:style>
  <w:style w:type="paragraph" w:styleId="Heading2">
    <w:name w:val="Heading 2"/>
    <w:basedOn w:val="Normal"/>
    <w:next w:val="Normal"/>
    <w:qFormat/>
    <w:pPr>
      <w:spacing w:before="300" w:after="100"/>
      <w:outlineLvl w:val="1"/>
    </w:pPr>
    <w:rPr>
      <w:rFonts w:ascii="Georgia" w:cs="Georgia" w:eastAsia="Georgia" w:hAnsi="Georgia"/>
      <w:b/>
      <w:bCs/>
      <w:color w:val="060E1C"/>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2026-03-10T12:38:06.521Z</dcterms:created>
  <dcterms:modified xsi:type="dcterms:W3CDTF">2026-03-10T12:38:06.522Z</dcterms:modified>
</cp:coreProperties>
</file>

<file path=docProps/custom.xml><?xml version="1.0" encoding="utf-8"?>
<Properties xmlns="http://schemas.openxmlformats.org/officeDocument/2006/custom-properties" xmlns:vt="http://schemas.openxmlformats.org/officeDocument/2006/docPropsVTypes"/>
</file>