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 w:after="0"/>
      </w:pPr>
    </w:p>
    <w:p>
      <w:pPr>
        <w:spacing w:before="0" w:after="40"/>
        <w:jc w:val="center"/>
      </w:pPr>
      <w:r>
        <w:rPr>
          <w:rFonts w:ascii="Arial" w:cs="Arial" w:eastAsia="Arial" w:hAnsi="Arial"/>
          <w:caps/>
          <w:color w:val="C9A84C"/>
          <w:sz w:val="22"/>
          <w:szCs w:val="22"/>
        </w:rPr>
        <w:t xml:space="preserve">G.O.D.S  |  GOOD ORDERLY DIRECTIONAL SYSTEMS</w:t>
      </w:r>
    </w:p>
    <w:p>
      <w:pPr>
        <w:pBdr>
          <w:bottom w:val="single" w:color="C9A84C" w:sz="8" w:space="4"/>
        </w:pBdr>
        <w:spacing w:before="100" w:after="100"/>
      </w:pPr>
    </w:p>
    <w:p>
      <w:pPr>
        <w:spacing w:before="120" w:after="0"/>
      </w:pPr>
    </w:p>
    <w:p>
      <w:pPr>
        <w:spacing w:before="0" w:after="50"/>
        <w:jc w:val="center"/>
      </w:pPr>
      <w:r>
        <w:rPr>
          <w:rFonts w:ascii="Arial" w:cs="Arial" w:eastAsia="Arial" w:hAnsi="Arial"/>
          <w:b/>
          <w:bCs/>
          <w:color w:val="00C2D4"/>
          <w:sz w:val="50"/>
          <w:szCs w:val="50"/>
        </w:rPr>
        <w:t xml:space="preserve">SYSTEMS ARCHITECTURE</w:t>
      </w:r>
    </w:p>
    <w:p>
      <w:pPr>
        <w:spacing w:before="0" w:after="50"/>
        <w:jc w:val="center"/>
      </w:pPr>
      <w:r>
        <w:rPr>
          <w:rFonts w:ascii="Arial" w:cs="Arial" w:eastAsia="Arial" w:hAnsi="Arial"/>
          <w:b/>
          <w:bCs/>
          <w:color w:val="FFFFFF"/>
          <w:sz w:val="44"/>
          <w:szCs w:val="44"/>
        </w:rPr>
        <w:t xml:space="preserve">&amp; QUANTUM-READY SECTOR CONTROL</w:t>
      </w:r>
    </w:p>
    <w:p>
      <w:pPr>
        <w:spacing w:before="80" w:after="0"/>
      </w:pPr>
    </w:p>
    <w:p>
      <w:pPr>
        <w:spacing w:before="0" w:after="50"/>
        <w:jc w:val="center"/>
      </w:pPr>
      <w:r>
        <w:rPr>
          <w:rFonts w:ascii="Arial" w:cs="Arial" w:eastAsia="Arial" w:hAnsi="Arial"/>
          <w:b/>
          <w:bCs/>
          <w:color w:val="C9A84C"/>
          <w:sz w:val="36"/>
          <w:szCs w:val="36"/>
        </w:rPr>
        <w:t xml:space="preserve">WHITEPAPER</w:t>
      </w:r>
    </w:p>
    <w:p>
      <w:pPr>
        <w:spacing w:before="100" w:after="0"/>
      </w:pPr>
    </w:p>
    <w:p>
      <w:pPr>
        <w:spacing w:before="0" w:after="40"/>
        <w:jc w:val="center"/>
      </w:pPr>
      <w:r>
        <w:rPr>
          <w:rFonts w:ascii="Arial" w:cs="Arial" w:eastAsia="Arial" w:hAnsi="Arial"/>
          <w:i/>
          <w:iCs/>
          <w:color w:val="AAAAAA"/>
          <w:sz w:val="22"/>
          <w:szCs w:val="22"/>
        </w:rPr>
        <w:t xml:space="preserve">A Complete Technical and Strategic Blueprint for G.O.D.S Deployment Across All Sectors of Society, Economy, and Sovereign Infrastructure — Quantum-Ready from Inception</w:t>
      </w:r>
    </w:p>
    <w:p>
      <w:pPr>
        <w:spacing w:before="160" w:after="0"/>
      </w:pPr>
    </w:p>
    <w:p>
      <w:pPr>
        <w:pBdr>
          <w:bottom w:val="single" w:color="C9A84C" w:sz="8" w:space="4"/>
        </w:pBdr>
        <w:spacing w:before="100" w:after="100"/>
      </w:pPr>
    </w:p>
    <w:p>
      <w:pPr>
        <w:spacing w:before="120" w:after="0"/>
      </w:pPr>
    </w:p>
    <w:p>
      <w:pPr>
        <w:spacing w:before="0" w:after="40"/>
        <w:jc w:val="center"/>
      </w:pPr>
      <w:r>
        <w:rPr>
          <w:rFonts w:ascii="Arial" w:cs="Arial" w:eastAsia="Arial" w:hAnsi="Arial"/>
          <w:b/>
          <w:bCs/>
          <w:color w:val="F59E0B"/>
          <w:sz w:val="20"/>
          <w:szCs w:val="20"/>
        </w:rPr>
        <w:t xml:space="preserve">Classification: CONFIDENTIAL — INSTITUTIONAL &amp; SOVEREIGN DISTRIBUTION ONLY</w:t>
      </w:r>
    </w:p>
    <w:p>
      <w:pPr>
        <w:spacing w:before="0" w:after="40"/>
        <w:jc w:val="center"/>
      </w:pPr>
      <w:r>
        <w:rPr>
          <w:rFonts w:ascii="Arial" w:cs="Arial" w:eastAsia="Arial" w:hAnsi="Arial"/>
          <w:color w:val="AAAAAA"/>
          <w:sz w:val="20"/>
          <w:szCs w:val="20"/>
        </w:rPr>
        <w:t xml:space="preserve">Version 1.0  |  March 2026  |  Johannesburg, South Africa</w:t>
      </w:r>
    </w:p>
    <w:p>
      <w:pPr>
        <w:spacing w:before="0" w:after="40"/>
        <w:jc w:val="center"/>
      </w:pPr>
      <w:r>
        <w:rPr>
          <w:rFonts w:ascii="Arial" w:cs="Arial" w:eastAsia="Arial" w:hAnsi="Arial"/>
          <w:b/>
          <w:bCs/>
          <w:color w:val="FFFFFF"/>
          <w:sz w:val="20"/>
          <w:szCs w:val="20"/>
        </w:rPr>
        <w:t xml:space="preserve">Sashin J. Singh — Founder &amp; Systems Architect  |  G.O.D.S Holdings (Pty) Ltd</w:t>
      </w:r>
    </w:p>
    <w:p>
      <w:pPr>
        <w:spacing w:before="0" w:after="0"/>
        <w:jc w:val="center"/>
      </w:pPr>
      <w:r>
        <w:rPr>
          <w:rFonts w:ascii="Arial" w:cs="Arial" w:eastAsia="Arial" w:hAnsi="Arial"/>
          <w:i/>
          <w:iCs/>
          <w:color w:val="C9A84C"/>
          <w:sz w:val="20"/>
          <w:szCs w:val="20"/>
        </w:rPr>
        <w:t xml:space="preserve">info@gods.systems  |  www.gods.systems</w:t>
      </w:r>
    </w:p>
    <w:p>
      <w:r>
        <w:br w:type="page"/>
      </w:r>
    </w:p>
    <w:p>
      <w:pPr>
        <w:spacing w:before="240" w:after="0"/>
      </w:pPr>
    </w:p>
    <w:p>
      <w:pPr>
        <w:spacing w:before="0" w:after="40"/>
      </w:pPr>
      <w:r>
        <w:rPr>
          <w:rFonts w:ascii="Arial" w:cs="Arial" w:eastAsia="Arial" w:hAnsi="Arial"/>
          <w:b/>
          <w:bCs/>
          <w:caps/>
          <w:color w:val="C9A84C"/>
          <w:sz w:val="20"/>
          <w:szCs w:val="20"/>
        </w:rPr>
        <w:t xml:space="preserve">SECTION 00</w:t>
      </w:r>
    </w:p>
    <w:p>
      <w:pPr>
        <w:spacing w:before="0" w:after="120"/>
      </w:pPr>
      <w:r>
        <w:rPr>
          <w:rFonts w:ascii="Arial" w:cs="Arial" w:eastAsia="Arial" w:hAnsi="Arial"/>
          <w:b/>
          <w:bCs/>
          <w:color w:val="0A1628"/>
          <w:sz w:val="34"/>
          <w:szCs w:val="34"/>
        </w:rPr>
        <w:t xml:space="preserve">Executive Summary</w:t>
      </w:r>
    </w:p>
    <w:p>
      <w:pPr>
        <w:pBdr>
          <w:bottom w:val="single" w:color="C9A84C" w:sz="8" w:space="4"/>
        </w:pBd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G.O.D.S is not a technology company. It is the integration architecture that makes technology governable.</w:t>
            </w:r>
          </w:p>
          <w:p>
            <w:pPr>
              <w:spacing w:before="50" w:after="50"/>
              <w:jc w:val="both"/>
            </w:pPr>
            <w:r>
              <w:rPr>
                <w:rFonts w:ascii="Arial" w:cs="Arial" w:eastAsia="Arial" w:hAnsi="Arial"/>
                <w:i/>
                <w:iCs/>
                <w:color w:val="0A1628"/>
                <w:sz w:val="21"/>
                <w:szCs w:val="21"/>
              </w:rPr>
              <w:t xml:space="preserve">This whitepaper establishes the complete systems architecture by which G.O.D.S deploys across every sector of society —</w:t>
            </w:r>
          </w:p>
          <w:p>
            <w:pPr>
              <w:spacing w:before="50" w:after="50"/>
              <w:jc w:val="both"/>
            </w:pPr>
            <w:r>
              <w:rPr>
                <w:rFonts w:ascii="Arial" w:cs="Arial" w:eastAsia="Arial" w:hAnsi="Arial"/>
                <w:i/>
                <w:iCs/>
                <w:color w:val="0A1628"/>
                <w:sz w:val="21"/>
                <w:szCs w:val="21"/>
              </w:rPr>
              <w:t xml:space="preserve">from human capital and physical infrastructure to sovereign digital governance and civilisational-scale capital deployment —</w:t>
            </w:r>
          </w:p>
          <w:p>
            <w:pPr>
              <w:spacing w:before="50" w:after="50"/>
              <w:jc w:val="both"/>
            </w:pPr>
            <w:r>
              <w:rPr>
                <w:rFonts w:ascii="Arial" w:cs="Arial" w:eastAsia="Arial" w:hAnsi="Arial"/>
                <w:i/>
                <w:iCs/>
                <w:color w:val="0A1628"/>
                <w:sz w:val="21"/>
                <w:szCs w:val="21"/>
              </w:rPr>
              <w:t xml:space="preserve">with quantum-ready computing at the core, constitutional governance as the operating constraint,</w:t>
            </w:r>
          </w:p>
          <w:p>
            <w:pPr>
              <w:spacing w:before="50" w:after="50"/>
              <w:jc w:val="both"/>
            </w:pPr>
            <w:r>
              <w:rPr>
                <w:rFonts w:ascii="Arial" w:cs="Arial" w:eastAsia="Arial" w:hAnsi="Arial"/>
                <w:i/>
                <w:iCs/>
                <w:color w:val="0A1628"/>
                <w:sz w:val="21"/>
                <w:szCs w:val="21"/>
              </w:rPr>
              <w:t xml:space="preserve">and South Africa as the proof of concept for global replication.</w:t>
            </w:r>
          </w:p>
        </w:tc>
      </w:tr>
    </w:tbl>
    <w:p>
      <w:pPr>
        <w:spacing w:before="80" w:after="0"/>
      </w:pPr>
    </w:p>
    <w:p>
      <w:pPr>
        <w:spacing w:before="80" w:after="100"/>
        <w:jc w:val="both"/>
      </w:pPr>
      <w:r>
        <w:rPr>
          <w:rFonts w:ascii="Arial" w:cs="Arial" w:eastAsia="Arial" w:hAnsi="Arial"/>
          <w:b w:val="false"/>
          <w:bCs w:val="false"/>
          <w:i w:val="false"/>
          <w:iCs w:val="false"/>
          <w:color w:val="0D0D0D"/>
          <w:sz w:val="22"/>
          <w:szCs w:val="22"/>
        </w:rPr>
        <w:t xml:space="preserve">The G.O.D.S Systems Architecture is not a collection of unrelated programmes. It is a single, integrated, compounding system — four divisions operating as one closed loop, each feeding the next, each deriving value from the others, and each impossible to replicate without the others. The quantum layer does not sit alongside this architecture. It runs beneath all of it — accelerating audit verification, optimising resource allocation, securing sovereign data, and enabling governance at civilisational scale.</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This document covers: the complete G.O.D.S four-division compounding architecture; the quantum-ready technical substrate (HQ-OS); the sector-by-sector deployment map across fourteen identified sectors of society and economy; the rollout plan by phase, geography, and sector; the systems control architecture — the governance, monitoring, and override framework that ensures every deployed system remains under constitutional authority; and the global replication model starting from South Africa.</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3120"/>
        <w:gridCol w:w="3360"/>
      </w:tblGrid>
      <w:tr>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Dimension</w:t>
            </w:r>
          </w:p>
        </w:tc>
        <w:tc>
          <w:tcPr>
            <w:tcW w:type="dxa" w:w="31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G.O.D.S Position</w:t>
            </w:r>
          </w:p>
        </w:tc>
        <w:tc>
          <w:tcPr>
            <w:tcW w:type="dxa" w:w="33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Scale Target (Year 10)</w:t>
            </w:r>
          </w:p>
        </w:tc>
      </w:tr>
      <w:tr>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Human Capital</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workforce reintegration, AI-era skills, AI-literacy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500,000+ people through programme; 85%+ placement rate</w:t>
            </w:r>
          </w:p>
        </w:tc>
      </w:tr>
      <w:tr>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Physical Infrastructure</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solar, vertical farming, water, housing — built by trained workforce</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R45B+ infrastructure deployed; 16 SADC markets</w:t>
            </w:r>
          </w:p>
        </w:tc>
      </w:tr>
      <w:tr>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Digital Governance</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HQ-OS: sovereign AI governance, quantum-ready audit infrastructure</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50+ government deployments; 500M+ people under governance</w:t>
            </w:r>
          </w:p>
        </w:tc>
      </w:tr>
      <w:tr>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Capital Architecture</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M.A.D.I.B.A: sovereign partnerships, DFI capital, SPV co-ownership</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R200B+ capital under management; 10+ sovereign partners</w:t>
            </w:r>
          </w:p>
        </w:tc>
      </w:tr>
      <w:tr>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 Infrastructure</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HQ-OS: post-quantum crypto, QPU acceleration, QKD sovereign security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Continental quantum governance backbone — SADC + AU</w:t>
            </w:r>
          </w:p>
        </w:tc>
      </w:tr>
      <w:tr>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Sector Coverage</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14 identified sectors — health, justice, energy, education, finance, and more</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14 sectors governed; compounding data across sectors</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01</w:t>
      </w:r>
    </w:p>
    <w:p>
      <w:pPr>
        <w:spacing w:before="0" w:after="120"/>
      </w:pPr>
      <w:r>
        <w:rPr>
          <w:rFonts w:ascii="Arial" w:cs="Arial" w:eastAsia="Arial" w:hAnsi="Arial"/>
          <w:b/>
          <w:bCs/>
          <w:color w:val="0A1628"/>
          <w:sz w:val="34"/>
          <w:szCs w:val="34"/>
        </w:rPr>
        <w:t xml:space="preserve">The G.O.D.S Systems Architecture — The Compounding Loop</w:t>
      </w:r>
    </w:p>
    <w:p>
      <w:pPr>
        <w:pBdr>
          <w:bottom w:val="single" w:color="C9A84C" w:sz="8" w:space="4"/>
        </w:pBdr>
        <w:spacing w:before="100" w:after="100"/>
      </w:pPr>
    </w:p>
    <w:p>
      <w:pPr>
        <w:pStyle w:val="Heading2"/>
        <w:spacing w:before="320" w:after="120"/>
      </w:pPr>
      <w:r>
        <w:rPr>
          <w:rFonts w:ascii="Arial" w:cs="Arial" w:eastAsia="Arial" w:hAnsi="Arial"/>
          <w:b/>
          <w:bCs/>
          <w:color w:val="1A3A5C"/>
          <w:sz w:val="28"/>
          <w:szCs w:val="28"/>
        </w:rPr>
        <w:t xml:space="preserve">1.1  Architecture Philosophy</w:t>
      </w:r>
    </w:p>
    <w:p>
      <w:pPr>
        <w:spacing w:before="80" w:after="100"/>
        <w:jc w:val="both"/>
      </w:pPr>
      <w:r>
        <w:rPr>
          <w:rFonts w:ascii="Arial" w:cs="Arial" w:eastAsia="Arial" w:hAnsi="Arial"/>
          <w:b w:val="false"/>
          <w:bCs w:val="false"/>
          <w:i w:val="false"/>
          <w:iCs w:val="false"/>
          <w:color w:val="0D0D0D"/>
          <w:sz w:val="22"/>
          <w:szCs w:val="22"/>
        </w:rPr>
        <w:t xml:space="preserve">Every major attempt to solve the structural failures of emerging market economies has failed for the same reason: it attacked one problem in isolation. Workforce training programmes produced graduates with no jobs. Infrastructure projects built roads with no communities to use them. Governance reform produced laws with no enforcement architecture. Capital deployment found no credible vehicles. G.O.D.S was designed from inception with one controlling insight: the solutions to these problems are not separate. They are sequential. And sequenced correctly, they compound.</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The G.O.D.S compounding loop is the result of that insight engineered into an institutional architecture. Each division produces outputs that are inputs to the next. The loop does not merely add value — it multiplies it. And because the multiplication is structural — not dependent on any single person, product, or market condition — it is replicable across any context that shares the underlying problem profile.</w:t>
      </w:r>
    </w:p>
    <w:p>
      <w:pPr>
        <w:spacing w:before="80" w:after="0"/>
      </w:pPr>
    </w:p>
    <w:p>
      <w:pPr>
        <w:pStyle w:val="Heading2"/>
        <w:spacing w:before="320" w:after="120"/>
      </w:pPr>
      <w:r>
        <w:rPr>
          <w:rFonts w:ascii="Arial" w:cs="Arial" w:eastAsia="Arial" w:hAnsi="Arial"/>
          <w:b/>
          <w:bCs/>
          <w:color w:val="1A3A5C"/>
          <w:sz w:val="28"/>
          <w:szCs w:val="28"/>
        </w:rPr>
        <w:t xml:space="preserve">1.2  The Four Divisions — Technical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160"/>
        <w:gridCol w:w="1440"/>
        <w:gridCol w:w="1920"/>
        <w:gridCol w:w="240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Division</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Technical Function</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Inputs</w:t>
            </w:r>
          </w:p>
        </w:tc>
        <w:tc>
          <w:tcPr>
            <w:tcW w:type="dxa" w:w="19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Outputs</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Feeds Into</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S.E.T.H.S</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Human capital operating system: intake, assessment, psychosocial stabilisation, skills training, AI-literacy, employer matching, post-placement monitoring</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Population in structural exclusion: unemployed, justice-involved, displaced, skills-deficient</w:t>
            </w:r>
          </w:p>
        </w:tc>
        <w:tc>
          <w:tcPr>
            <w:tcW w:type="dxa" w:w="19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Trained, placed, monitored workforce; constitutional skills data; employment outcome metrics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(trained labour pool); UDOC (outcome data for AI governance proof); M.A.D.I.B.A (demonstrated impact for capital)</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T.S (Transition Systems)</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Physical infrastructure production engine: solar EPC, vertical farming installation, water infrastructure, affordable housing construction, using S.E.T.H.S-trained workforce</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graduates as labour; government procurement contracts; infrastructure capital</w:t>
            </w:r>
          </w:p>
        </w:tc>
        <w:tc>
          <w:tcPr>
            <w:tcW w:type="dxa" w:w="19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Built physical assets; employment at scale; environmental performance data; SPV ownership structures</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(infrastructure governance data); M.A.D.I.B.A (SPV equity for capital deployment); S.E.T.H.S (employment proof for further contracts)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UDOC</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Sovereign digital governance SaaS + HQ-OS quantum infrastructure: AI audit, bias detection, model registry, compliance verification, quantum-secured data sovereignty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and enterprise AI systems requiring governance; T.S and S.E.T.H.S performance data</w:t>
            </w:r>
          </w:p>
        </w:tc>
        <w:tc>
          <w:tcPr>
            <w:tcW w:type="dxa" w:w="19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Cryptographic audit trails; bias detection outputs; compliance certifications; quantum-secured sovereign data; governance dashboard</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M.A.D.I.B.A (governance data as capital deployment signal); S.E.T.H.S (AI governance as credibility for programme expansion); T.S (infrastructure oversight data)</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M.A.D.I.B.A</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Capital and sovereign partnership platform: DFI structuring, SPV co-ownership, sovereign wealth fund engagement, blended finance deployment</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Proven G.O.D.S operational data from all three previous divisions; government SPV opportunities; DFI capital seeking deployment vehicles</w:t>
            </w:r>
          </w:p>
        </w:tc>
        <w:tc>
          <w:tcPr>
            <w:tcW w:type="dxa" w:w="19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Capital deployed into S.E.T.H.S, T.S, and UDOC expansions; sovereign partnerships; investor returns; compounding capital architecture</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(funding for scale); T.S (infrastructure capital); UDOC (government deployment funding); back to S.E.T.H.S (loop restarts at scale)</w:t>
            </w:r>
          </w:p>
        </w:tc>
      </w:tr>
    </w:tbl>
    <w:p>
      <w:pPr>
        <w:spacing w:before="80" w:after="0"/>
      </w:pPr>
    </w:p>
    <w:p>
      <w:pPr>
        <w:pStyle w:val="Heading2"/>
        <w:spacing w:before="320" w:after="120"/>
      </w:pPr>
      <w:r>
        <w:rPr>
          <w:rFonts w:ascii="Arial" w:cs="Arial" w:eastAsia="Arial" w:hAnsi="Arial"/>
          <w:b/>
          <w:bCs/>
          <w:color w:val="1A3A5C"/>
          <w:sz w:val="28"/>
          <w:szCs w:val="28"/>
        </w:rPr>
        <w:t xml:space="preserve">1.3  The Quantum Substrate — HQ-OS as Foundation</w:t>
      </w:r>
    </w:p>
    <w:p>
      <w:pPr>
        <w:spacing w:before="80" w:after="100"/>
        <w:jc w:val="both"/>
      </w:pPr>
      <w:r>
        <w:rPr>
          <w:rFonts w:ascii="Arial" w:cs="Arial" w:eastAsia="Arial" w:hAnsi="Arial"/>
          <w:b w:val="false"/>
          <w:bCs w:val="false"/>
          <w:i w:val="false"/>
          <w:iCs w:val="false"/>
          <w:color w:val="0D0D0D"/>
          <w:sz w:val="22"/>
          <w:szCs w:val="22"/>
        </w:rPr>
        <w:t xml:space="preserve">The Hybrid Classical + Quantum Operating System (HQ-OS) is not a division. It is the computational and cryptographic foundation upon which all four divisions operate. Every audit trail UDOC generates runs on HQ-OS. Every bias detection job that S.E.T.H.S outcomes data feeds into runs on HQ-OS. Every infrastructure optimisation calculation T.S performs runs on HQ-OS. Every capital deployment decision M.A.D.I.B.A models runs on HQ-OS.</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HQ-OS is quantum-ready from Phase 1: post-quantum cryptographic standards are active from day one, the Quantum-Classical Interface middleware is deployed and dormant awaiting QPU attachment, and every data structure is architected for quantum acceleration. This means that as quantum hardware becomes commercially available — Phase 2 cloud QPU integration, Phase 3 on-premises deployment — no architectural rebuild is required. The system upgrades its computational capacity without changing its governance architecture.</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4800"/>
        <w:gridCol w:w="240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HQ-OS Layer</w:t>
            </w:r>
          </w:p>
        </w:tc>
        <w:tc>
          <w:tcPr>
            <w:tcW w:type="dxa" w:w="4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Function Across All Divisions</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Phase Activation</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Post-Quantum Cryptography (NIST PQC)</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G.O.D.S data encrypted with quantum-resistant algorithms — protecting against harvest-now-decrypt-later attacks on sovereign data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1: Active from Day 1</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Quantum-Classical Interface Middleware</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Routes computational workloads between classical CPU/GPU and quantum QPU; classification algorithm identifies quantum-suitable tasks</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1: Deployed dormant; activates when QPU attached</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 Task Dispatcher</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Compiles quantum circuits from governance workloads; dispatches to QPU; manages result return to classical environment</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2: Cloud QPU integration</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 Bias Detection Engine</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Intersectional bias analysis across all protected characteristic dimensions simultaneously — exponentially more comprehensive than classical</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2: Activated with cloud QPU</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 Key Distribution (QKD)</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Physically unbreakable key exchange for highest-sensitivity sovereign data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2: Metropolitan QKD pilot; Phase 3: Full deployment</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On-Premises QPU</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Full quantum co-processor within sovereign data centre — zero foreign dependency for quantum computation</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3: On-premises hardware</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Continental Quantum Network</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QKD-secured network interconnecting sovereign UDOC nodes across SADC</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4: Multi-jurisdictional</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02</w:t>
      </w:r>
    </w:p>
    <w:p>
      <w:pPr>
        <w:spacing w:before="0" w:after="120"/>
      </w:pPr>
      <w:r>
        <w:rPr>
          <w:rFonts w:ascii="Arial" w:cs="Arial" w:eastAsia="Arial" w:hAnsi="Arial"/>
          <w:b/>
          <w:bCs/>
          <w:color w:val="0A1628"/>
          <w:sz w:val="34"/>
          <w:szCs w:val="34"/>
        </w:rPr>
        <w:t xml:space="preserve">Sector Control Architecture — 14 Sectors of Deployment</w:t>
      </w:r>
    </w:p>
    <w:p>
      <w:pPr>
        <w:pBdr>
          <w:bottom w:val="single" w:color="C9A84C" w:sz="8" w:space="4"/>
        </w:pBd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G.O.D.S does not deploy across sectors sequentially.</w:t>
            </w:r>
          </w:p>
          <w:p>
            <w:pPr>
              <w:spacing w:before="50" w:after="50"/>
              <w:jc w:val="both"/>
            </w:pPr>
            <w:r>
              <w:rPr>
                <w:rFonts w:ascii="Arial" w:cs="Arial" w:eastAsia="Arial" w:hAnsi="Arial"/>
                <w:i/>
                <w:iCs/>
                <w:color w:val="0A1628"/>
                <w:sz w:val="21"/>
                <w:szCs w:val="21"/>
              </w:rPr>
              <w:t xml:space="preserve">It deploys the compounding loop into each sector simultaneously — S.E.T.H.S trains workers for that sector,</w:t>
            </w:r>
          </w:p>
          <w:p>
            <w:pPr>
              <w:spacing w:before="50" w:after="50"/>
              <w:jc w:val="both"/>
            </w:pPr>
            <w:r>
              <w:rPr>
                <w:rFonts w:ascii="Arial" w:cs="Arial" w:eastAsia="Arial" w:hAnsi="Arial"/>
                <w:i/>
                <w:iCs/>
                <w:color w:val="0A1628"/>
                <w:sz w:val="21"/>
                <w:szCs w:val="21"/>
              </w:rPr>
              <w:t xml:space="preserve">T.S builds that sector's infrastructure, UDOC governs that sector's AI systems,</w:t>
            </w:r>
          </w:p>
          <w:p>
            <w:pPr>
              <w:spacing w:before="50" w:after="50"/>
              <w:jc w:val="both"/>
            </w:pPr>
            <w:r>
              <w:rPr>
                <w:rFonts w:ascii="Arial" w:cs="Arial" w:eastAsia="Arial" w:hAnsi="Arial"/>
                <w:i/>
                <w:iCs/>
                <w:color w:val="0A1628"/>
                <w:sz w:val="21"/>
                <w:szCs w:val="21"/>
              </w:rPr>
              <w:t xml:space="preserve">and M.A.D.I.B.A finances the entire sector deployment.</w:t>
            </w:r>
          </w:p>
          <w:p>
            <w:pPr>
              <w:spacing w:before="50" w:after="50"/>
              <w:jc w:val="both"/>
            </w:pPr>
            <w:r>
              <w:rPr>
                <w:rFonts w:ascii="Arial" w:cs="Arial" w:eastAsia="Arial" w:hAnsi="Arial"/>
                <w:i/>
                <w:iCs/>
                <w:color w:val="0A1628"/>
                <w:sz w:val="21"/>
                <w:szCs w:val="21"/>
              </w:rPr>
              <w:t xml:space="preserve">Sector by sector, the loop replicates. Governance accumulates. Data compounds. Capital follows.</w:t>
            </w:r>
          </w:p>
        </w:tc>
      </w:tr>
    </w:tbl>
    <w:p>
      <w:pPr>
        <w:spacing w:before="120" w:after="0"/>
      </w:pPr>
    </w:p>
    <w:p>
      <w:pPr>
        <w:pStyle w:val="Heading2"/>
        <w:spacing w:before="320" w:after="120"/>
      </w:pPr>
      <w:r>
        <w:rPr>
          <w:rFonts w:ascii="Arial" w:cs="Arial" w:eastAsia="Arial" w:hAnsi="Arial"/>
          <w:b/>
          <w:bCs/>
          <w:color w:val="1A3A5C"/>
          <w:sz w:val="28"/>
          <w:szCs w:val="28"/>
        </w:rPr>
        <w:t xml:space="preserve">2.1  Sector Deployment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80"/>
        <w:gridCol w:w="1200"/>
        <w:gridCol w:w="2040"/>
        <w:gridCol w:w="2280"/>
        <w:gridCol w:w="2760"/>
      </w:tblGrid>
      <w:tr>
        <w:tc>
          <w:tcPr>
            <w:tcW w:type="dxa" w:w="10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Sector</w:t>
            </w:r>
          </w:p>
        </w:tc>
        <w:tc>
          <w:tcPr>
            <w:tcW w:type="dxa" w:w="12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Primary Division</w:t>
            </w:r>
          </w:p>
        </w:tc>
        <w:tc>
          <w:tcPr>
            <w:tcW w:type="dxa" w:w="20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UDOC Governance Focus</w:t>
            </w:r>
          </w:p>
        </w:tc>
        <w:tc>
          <w:tcPr>
            <w:tcW w:type="dxa" w:w="22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Quantum Application</w:t>
            </w:r>
          </w:p>
        </w:tc>
        <w:tc>
          <w:tcPr>
            <w:tcW w:type="dxa" w:w="27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Revenue Model</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Public Health</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 UDOC</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AI triage bias detection; patient data sovereignty; clinical decision audit</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drug interaction optimisation; QKD patient record security</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health dept SaaS; outcome contracts</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Justice &amp; Corrections</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 UDOC</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Recidivism AI audit; bail/sentencing algorithm governance; rehabilitation outcome tracking</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case load optimisation; bias detection across sentencing data</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Justice dept contracts; outcome-based reintegration</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Energy Infrastructure</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 M.A.D.I.B.A</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Grid AI governance; renewable energy system audit; carbon credit verification</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grid optimisation; energy distribution modelling</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EPC contracts; grid O&amp;M; SPV equity</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Food Security &amp; Agriculture</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 S.E.T.H.S</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Vertical farm AI governance; crop yield prediction audit; supply chain bias</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yield optimisation; distribution network routing</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food security contracts; commercial offtake</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Water Infrastructure</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 UDOC</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Water AI governance; infrastructure maintenance system audit; quality monitoring</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aquifer modelling; pipe network optimisation</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water authority contracts; SPV ownership</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Housing &amp; Human Settlement</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 M.A.D.I.B.A</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Housing allocation AI audit; construction quality AI governance</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material logistics optimisation; settlement planning</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housing contracts; SPV development equity</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Digital Economy &amp; Fintech</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 M.A.D.I.B.A</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Fintech AI governance; lending algorithm audit; digital identity sovereignty</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QKD financial transaction security; fraud detection quantum acceleration</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Enterprise SaaS; compliance certification licensing</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Education</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 UDOC</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EdTech AI governance; curriculum AI audit; student outcome bias detection</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personalised learning optimisation; skills-job matching</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education dept contracts; EdTech SaaS</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National Identity &amp; Civic Systems</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Biometric AI audit; identity system sovereignty; civic AI governance</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QKD identity credential security; quantum biometric matching</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Sovereign government contracts; national digital backbone</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Defence-Adjacent Infrastructure</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 M.A.D.I.B.A</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AI system audit for national security-adjacent infrastructure; sovereignty verification</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Air-gapped quantum security; QKD for classified communications</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Strategic government contracts; classified-grade SaaS</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Public Administration</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AI decision audit; welfare allocation bias detection; compliance verification</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compliance verification across all govt AI systems simultaneously</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Central government platform contracts; per-department licensing</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Environmental Monitoring</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 UDOC</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Environmental AI audit; carbon accounting system governance; climate data sovereignty</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climate modelling; satellite data processing optimisation</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Carbon credit verification fees; government environment dept contracts</w:t>
            </w:r>
          </w:p>
        </w:tc>
      </w:tr>
      <w:tr>
        <w:tc>
          <w:tcPr>
            <w:tcW w:type="dxa" w:w="1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Transport &amp; Logistics</w:t>
            </w:r>
          </w:p>
        </w:tc>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 UDOC</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Transport AI audit; route optimisation bias; autonomous system governance</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route optimisation; fleet management; supply chain modelling</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Transport authority contracts; logistics company SaaS</w:t>
            </w:r>
          </w:p>
        </w:tc>
      </w:tr>
      <w:tr>
        <w:tc>
          <w:tcPr>
            <w:tcW w:type="dxa" w:w="1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Telecommunications</w:t>
            </w:r>
          </w:p>
        </w:tc>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 M.A.D.I.B.A</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Telecom AI governance; spectrum allocation audit; network bias detection</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network optimisation; QKD telecom security layer</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Telecom operator SaaS; spectrum governance advisory</w:t>
            </w:r>
          </w:p>
        </w:tc>
      </w:tr>
    </w:tbl>
    <w:p>
      <w:pPr>
        <w:spacing w:before="120" w:after="0"/>
      </w:pPr>
    </w:p>
    <w:p>
      <w:pPr>
        <w:pStyle w:val="Heading2"/>
        <w:spacing w:before="320" w:after="120"/>
      </w:pPr>
      <w:r>
        <w:rPr>
          <w:rFonts w:ascii="Arial" w:cs="Arial" w:eastAsia="Arial" w:hAnsi="Arial"/>
          <w:b/>
          <w:bCs/>
          <w:color w:val="1A3A5C"/>
          <w:sz w:val="28"/>
          <w:szCs w:val="28"/>
        </w:rPr>
        <w:t xml:space="preserve">2.2  Detailed Sector Profiles</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2"/>
              <w:bottom w:val="single" w:color="C9A84C" w:sz="2"/>
              <w:right w:val="single" w:color="C9A84C" w:sz="2"/>
            </w:tcBorders>
            <w:shd w:fill="0A1628" w:val="clear"/>
            <w:tcMar>
              <w:top w:type="dxa" w:w="80"/>
              <w:left w:type="dxa" w:w="180"/>
              <w:bottom w:type="dxa" w:w="80"/>
              <w:right w:type="dxa" w:w="120"/>
            </w:tcMar>
          </w:tcPr>
          <w:p>
            <w:r>
              <w:rPr>
                <w:rFonts w:ascii="Arial" w:cs="Arial" w:eastAsia="Arial" w:hAnsi="Arial"/>
                <w:b/>
                <w:bCs/>
                <w:color w:val="C9A84C"/>
                <w:sz w:val="26"/>
                <w:szCs w:val="26"/>
              </w:rPr>
              <w:t xml:space="preserve">01 </w:t>
            </w:r>
            <w:r>
              <w:rPr>
                <w:rFonts w:ascii="Arial" w:cs="Arial" w:eastAsia="Arial" w:hAnsi="Arial"/>
                <w:b/>
                <w:bCs/>
                <w:color w:val="FFFFFF"/>
                <w:sz w:val="26"/>
                <w:szCs w:val="26"/>
              </w:rPr>
              <w:t xml:space="preserve">PUBLIC HEALTH — G.O.D.S HEALTH GOVERNANCE ARCHITECTURE</w:t>
            </w:r>
          </w:p>
        </w:tc>
      </w:tr>
      <w:tr>
        <w:tc>
          <w:tcPr>
            <w:tcW w:type="dxa" w:w="9360"/>
            <w:tcBorders>
              <w:top w:val="single" w:color="C9A84C" w:sz="2"/>
              <w:left w:val="single" w:color="C9A84C" w:sz="2"/>
              <w:bottom w:val="single" w:color="C9A84C" w:sz="2"/>
              <w:right w:val="single" w:color="C9A84C" w:sz="2"/>
            </w:tcBorders>
            <w:shd w:fill="E8F4FD" w:val="clear"/>
            <w:tcMar>
              <w:top w:type="dxa" w:w="100"/>
              <w:left w:type="dxa" w:w="200"/>
              <w:bottom w:type="dxa" w:w="60"/>
              <w:right w:type="dxa" w:w="200"/>
            </w:tcMar>
          </w:tcPr>
          <w:p>
            <w:pPr>
              <w:spacing w:before="0" w:after="60"/>
            </w:pPr>
            <w:r>
              <w:rPr>
                <w:rFonts w:ascii="Arial" w:cs="Arial" w:eastAsia="Arial" w:hAnsi="Arial"/>
                <w:i/>
                <w:iCs/>
                <w:color w:val="0D0D0D"/>
                <w:sz w:val="21"/>
                <w:szCs w:val="21"/>
              </w:rPr>
              <w:t xml:space="preserve">Public health systems across Africa are increasingly AI-dependent for triage, clinical decision support, patient routing, and resource allocation. Without constitutional-grade governance, these systems make consequential decisions about life and health outcomes without audit trails, without bias monitoring, and without explainability. UDOC HQ-OS is the governance layer that makes AI-assisted healthcare constitutionally legitimate.</w:t>
            </w:r>
          </w:p>
          <w:p>
            <w:pPr>
              <w:spacing w:before="40" w:after="20"/>
            </w:pPr>
            <w:r>
              <w:rPr>
                <w:rFonts w:ascii="Arial" w:cs="Arial" w:eastAsia="Arial" w:hAnsi="Arial"/>
                <w:b/>
                <w:bCs/>
                <w:color w:val="C9A84C"/>
                <w:sz w:val="20"/>
                <w:szCs w:val="20"/>
              </w:rPr>
              <w:t xml:space="preserve">GODS APPLICATIONS:</w:t>
            </w:r>
          </w:p>
          <w:p>
            <w:pPr>
              <w:spacing w:before="30" w:after="30"/>
            </w:pPr>
            <w:r>
              <w:rPr>
                <w:rFonts w:ascii="Arial" w:cs="Arial" w:eastAsia="Arial" w:hAnsi="Arial"/>
                <w:color w:val="0D0D0D"/>
                <w:sz w:val="20"/>
                <w:szCs w:val="20"/>
              </w:rPr>
              <w:t xml:space="preserve">  &gt;&gt; S.E.T.H.S trains community health workers and AI-literacy health professionals from excluded populations</w:t>
            </w:r>
          </w:p>
          <w:p>
            <w:pPr>
              <w:spacing w:before="30" w:after="30"/>
            </w:pPr>
            <w:r>
              <w:rPr>
                <w:rFonts w:ascii="Arial" w:cs="Arial" w:eastAsia="Arial" w:hAnsi="Arial"/>
                <w:color w:val="0D0D0D"/>
                <w:sz w:val="20"/>
                <w:szCs w:val="20"/>
              </w:rPr>
              <w:t xml:space="preserve">  &gt;&gt; T.S builds solar-powered health clinic infrastructure in underserved areas, using S.E.T.H.S graduates</w:t>
            </w:r>
          </w:p>
          <w:p>
            <w:pPr>
              <w:spacing w:before="30" w:after="30"/>
            </w:pPr>
            <w:r>
              <w:rPr>
                <w:rFonts w:ascii="Arial" w:cs="Arial" w:eastAsia="Arial" w:hAnsi="Arial"/>
                <w:color w:val="0D0D0D"/>
                <w:sz w:val="20"/>
                <w:szCs w:val="20"/>
              </w:rPr>
              <w:t xml:space="preserve">  &gt;&gt; UDOC deploys AI audit infrastructure for public health AI systems — patient triage, clinical decision support, resource allocation</w:t>
            </w:r>
          </w:p>
          <w:p>
            <w:pPr>
              <w:spacing w:before="30" w:after="30"/>
            </w:pPr>
            <w:r>
              <w:rPr>
                <w:rFonts w:ascii="Arial" w:cs="Arial" w:eastAsia="Arial" w:hAnsi="Arial"/>
                <w:color w:val="0D0D0D"/>
                <w:sz w:val="20"/>
                <w:szCs w:val="20"/>
              </w:rPr>
              <w:t xml:space="preserve">  &gt;&gt; M.A.D.I.B.A structures health infrastructure SPVs with NHI and provincial health authorities</w:t>
            </w:r>
          </w:p>
          <w:p>
            <w:pPr>
              <w:spacing w:before="60" w:after="20"/>
            </w:pPr>
            <w:r>
              <w:rPr>
                <w:rFonts w:ascii="Arial" w:cs="Arial" w:eastAsia="Arial" w:hAnsi="Arial"/>
                <w:b/>
                <w:bCs/>
                <w:color w:val="00C2D4"/>
                <w:sz w:val="20"/>
                <w:szCs w:val="20"/>
              </w:rPr>
              <w:t xml:space="preserve">QUANTUM ROLE:</w:t>
            </w:r>
          </w:p>
          <w:p>
            <w:pPr>
              <w:spacing w:before="30" w:after="40"/>
            </w:pPr>
            <w:r>
              <w:rPr>
                <w:rFonts w:ascii="Arial" w:cs="Arial" w:eastAsia="Arial" w:hAnsi="Arial"/>
                <w:i/>
                <w:iCs/>
                <w:color w:val="006B7A"/>
                <w:sz w:val="20"/>
                <w:szCs w:val="20"/>
              </w:rPr>
              <w:t xml:space="preserve">Quantum bias detection across all patient demographic intersections simultaneously — detecting discriminatory AI triage patterns that classical systems miss. QKD-secured patient records — physically unbreakable privacy protection. Quantum drug interaction and treatment optimisation — exponential solution space coverage for complex co-morbidity cases.</w:t>
            </w:r>
          </w:p>
        </w:tc>
      </w:tr>
    </w:tbl>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2"/>
              <w:bottom w:val="single" w:color="C9A84C" w:sz="2"/>
              <w:right w:val="single" w:color="C9A84C" w:sz="2"/>
            </w:tcBorders>
            <w:shd w:fill="0A1628" w:val="clear"/>
            <w:tcMar>
              <w:top w:type="dxa" w:w="80"/>
              <w:left w:type="dxa" w:w="180"/>
              <w:bottom w:type="dxa" w:w="80"/>
              <w:right w:type="dxa" w:w="120"/>
            </w:tcMar>
          </w:tcPr>
          <w:p>
            <w:r>
              <w:rPr>
                <w:rFonts w:ascii="Arial" w:cs="Arial" w:eastAsia="Arial" w:hAnsi="Arial"/>
                <w:b/>
                <w:bCs/>
                <w:color w:val="C9A84C"/>
                <w:sz w:val="26"/>
                <w:szCs w:val="26"/>
              </w:rPr>
              <w:t xml:space="preserve">02 </w:t>
            </w:r>
            <w:r>
              <w:rPr>
                <w:rFonts w:ascii="Arial" w:cs="Arial" w:eastAsia="Arial" w:hAnsi="Arial"/>
                <w:b/>
                <w:bCs/>
                <w:color w:val="FFFFFF"/>
                <w:sz w:val="26"/>
                <w:szCs w:val="26"/>
              </w:rPr>
              <w:t xml:space="preserve">JUSTICE &amp; CORRECTIONS — CONSTITUTIONAL AI GOVERNANCE</w:t>
            </w:r>
          </w:p>
        </w:tc>
      </w:tr>
      <w:tr>
        <w:tc>
          <w:tcPr>
            <w:tcW w:type="dxa" w:w="9360"/>
            <w:tcBorders>
              <w:top w:val="single" w:color="C9A84C" w:sz="2"/>
              <w:left w:val="single" w:color="C9A84C" w:sz="2"/>
              <w:bottom w:val="single" w:color="C9A84C" w:sz="2"/>
              <w:right w:val="single" w:color="C9A84C" w:sz="2"/>
            </w:tcBorders>
            <w:shd w:fill="E8F4FD" w:val="clear"/>
            <w:tcMar>
              <w:top w:type="dxa" w:w="100"/>
              <w:left w:type="dxa" w:w="200"/>
              <w:bottom w:type="dxa" w:w="60"/>
              <w:right w:type="dxa" w:w="200"/>
            </w:tcMar>
          </w:tcPr>
          <w:p>
            <w:pPr>
              <w:spacing w:before="0" w:after="60"/>
            </w:pPr>
            <w:r>
              <w:rPr>
                <w:rFonts w:ascii="Arial" w:cs="Arial" w:eastAsia="Arial" w:hAnsi="Arial"/>
                <w:i/>
                <w:iCs/>
                <w:color w:val="0D0D0D"/>
                <w:sz w:val="21"/>
                <w:szCs w:val="21"/>
              </w:rPr>
              <w:t xml:space="preserve">AI systems are already making consequential decisions in the South African justice system — bail recommendations, recidivism risk scoring, case prioritisation, resource allocation. None of these systems currently operate with constitutional-grade audit infrastructure. The governance failure is not theoretical. It is active.</w:t>
            </w:r>
          </w:p>
          <w:p>
            <w:pPr>
              <w:spacing w:before="40" w:after="20"/>
            </w:pPr>
            <w:r>
              <w:rPr>
                <w:rFonts w:ascii="Arial" w:cs="Arial" w:eastAsia="Arial" w:hAnsi="Arial"/>
                <w:b/>
                <w:bCs/>
                <w:color w:val="C9A84C"/>
                <w:sz w:val="20"/>
                <w:szCs w:val="20"/>
              </w:rPr>
              <w:t xml:space="preserve">GODS APPLICATIONS:</w:t>
            </w:r>
          </w:p>
          <w:p>
            <w:pPr>
              <w:spacing w:before="30" w:after="30"/>
            </w:pPr>
            <w:r>
              <w:rPr>
                <w:rFonts w:ascii="Arial" w:cs="Arial" w:eastAsia="Arial" w:hAnsi="Arial"/>
                <w:color w:val="0D0D0D"/>
                <w:sz w:val="20"/>
                <w:szCs w:val="20"/>
              </w:rPr>
              <w:t xml:space="preserve">  &gt;&gt; S.E.T.H.S specialised stream for justice-involved individuals — the highest-value reintegration pathway for social stability</w:t>
            </w:r>
          </w:p>
          <w:p>
            <w:pPr>
              <w:spacing w:before="30" w:after="30"/>
            </w:pPr>
            <w:r>
              <w:rPr>
                <w:rFonts w:ascii="Arial" w:cs="Arial" w:eastAsia="Arial" w:hAnsi="Arial"/>
                <w:color w:val="0D0D0D"/>
                <w:sz w:val="20"/>
                <w:szCs w:val="20"/>
              </w:rPr>
              <w:t xml:space="preserve">  &gt;&gt; UDOC deploys AI governance for bail algorithm, sentencing support tools, and correctional resource allocation systems</w:t>
            </w:r>
          </w:p>
          <w:p>
            <w:pPr>
              <w:spacing w:before="30" w:after="30"/>
            </w:pPr>
            <w:r>
              <w:rPr>
                <w:rFonts w:ascii="Arial" w:cs="Arial" w:eastAsia="Arial" w:hAnsi="Arial"/>
                <w:color w:val="0D0D0D"/>
                <w:sz w:val="20"/>
                <w:szCs w:val="20"/>
              </w:rPr>
              <w:t xml:space="preserve">  &gt;&gt; Constitutional Oversight Board maintains oversight of all justice-adjacent UDOC deployments — maximum independence</w:t>
            </w:r>
          </w:p>
          <w:p>
            <w:pPr>
              <w:spacing w:before="30" w:after="30"/>
            </w:pPr>
            <w:r>
              <w:rPr>
                <w:rFonts w:ascii="Arial" w:cs="Arial" w:eastAsia="Arial" w:hAnsi="Arial"/>
                <w:color w:val="0D0D0D"/>
                <w:sz w:val="20"/>
                <w:szCs w:val="20"/>
              </w:rPr>
              <w:t xml:space="preserve">  &gt;&gt; M.A.D.I.B.A structures outcome-based payment contracts with DCS and DOJ</w:t>
            </w:r>
          </w:p>
          <w:p>
            <w:pPr>
              <w:spacing w:before="60" w:after="20"/>
            </w:pPr>
            <w:r>
              <w:rPr>
                <w:rFonts w:ascii="Arial" w:cs="Arial" w:eastAsia="Arial" w:hAnsi="Arial"/>
                <w:b/>
                <w:bCs/>
                <w:color w:val="00C2D4"/>
                <w:sz w:val="20"/>
                <w:szCs w:val="20"/>
              </w:rPr>
              <w:t xml:space="preserve">QUANTUM ROLE:</w:t>
            </w:r>
          </w:p>
          <w:p>
            <w:pPr>
              <w:spacing w:before="30" w:after="40"/>
            </w:pPr>
            <w:r>
              <w:rPr>
                <w:rFonts w:ascii="Arial" w:cs="Arial" w:eastAsia="Arial" w:hAnsi="Arial"/>
                <w:i/>
                <w:iCs/>
                <w:color w:val="006B7A"/>
                <w:sz w:val="20"/>
                <w:szCs w:val="20"/>
              </w:rPr>
              <w:t xml:space="preserve">Quantum intersectional bias detection across race, class, gender, geography, criminal history, and socioeconomic status simultaneously — the full intersectional matrix of justice discrimination, evaluated in real time. Quantum-accelerated case load optimisation for court scheduling, reducing backlogs by exponential solution space search rather than heuristic approximation.</w:t>
            </w:r>
          </w:p>
        </w:tc>
      </w:tr>
    </w:tbl>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2"/>
              <w:bottom w:val="single" w:color="C9A84C" w:sz="2"/>
              <w:right w:val="single" w:color="C9A84C" w:sz="2"/>
            </w:tcBorders>
            <w:shd w:fill="0A1628" w:val="clear"/>
            <w:tcMar>
              <w:top w:type="dxa" w:w="80"/>
              <w:left w:type="dxa" w:w="180"/>
              <w:bottom w:type="dxa" w:w="80"/>
              <w:right w:type="dxa" w:w="120"/>
            </w:tcMar>
          </w:tcPr>
          <w:p>
            <w:r>
              <w:rPr>
                <w:rFonts w:ascii="Arial" w:cs="Arial" w:eastAsia="Arial" w:hAnsi="Arial"/>
                <w:b/>
                <w:bCs/>
                <w:color w:val="C9A84C"/>
                <w:sz w:val="26"/>
                <w:szCs w:val="26"/>
              </w:rPr>
              <w:t xml:space="preserve">03 </w:t>
            </w:r>
            <w:r>
              <w:rPr>
                <w:rFonts w:ascii="Arial" w:cs="Arial" w:eastAsia="Arial" w:hAnsi="Arial"/>
                <w:b/>
                <w:bCs/>
                <w:color w:val="FFFFFF"/>
                <w:sz w:val="26"/>
                <w:szCs w:val="26"/>
              </w:rPr>
              <w:t xml:space="preserve">ENERGY INFRASTRUCTURE — SOVEREIGN GRID GOVERNANCE</w:t>
            </w:r>
          </w:p>
        </w:tc>
      </w:tr>
      <w:tr>
        <w:tc>
          <w:tcPr>
            <w:tcW w:type="dxa" w:w="9360"/>
            <w:tcBorders>
              <w:top w:val="single" w:color="C9A84C" w:sz="2"/>
              <w:left w:val="single" w:color="C9A84C" w:sz="2"/>
              <w:bottom w:val="single" w:color="C9A84C" w:sz="2"/>
              <w:right w:val="single" w:color="C9A84C" w:sz="2"/>
            </w:tcBorders>
            <w:shd w:fill="E8F4FD" w:val="clear"/>
            <w:tcMar>
              <w:top w:type="dxa" w:w="100"/>
              <w:left w:type="dxa" w:w="200"/>
              <w:bottom w:type="dxa" w:w="60"/>
              <w:right w:type="dxa" w:w="200"/>
            </w:tcMar>
          </w:tcPr>
          <w:p>
            <w:pPr>
              <w:spacing w:before="0" w:after="60"/>
            </w:pPr>
            <w:r>
              <w:rPr>
                <w:rFonts w:ascii="Arial" w:cs="Arial" w:eastAsia="Arial" w:hAnsi="Arial"/>
                <w:i/>
                <w:iCs/>
                <w:color w:val="0D0D0D"/>
                <w:sz w:val="21"/>
                <w:szCs w:val="21"/>
              </w:rPr>
              <w:t xml:space="preserve">South Africa's energy crisis is not only a generation capacity problem. It is a governance and optimisation problem. Load-shedding reflects a failure to optimally allocate existing capacity, optimally schedule maintenance, and optimally integrate renewable sources. AI can solve this. But AI governing national grid infrastructure without audit architecture is a sovereignty risk as much as a governance risk.</w:t>
            </w:r>
          </w:p>
          <w:p>
            <w:pPr>
              <w:spacing w:before="40" w:after="20"/>
            </w:pPr>
            <w:r>
              <w:rPr>
                <w:rFonts w:ascii="Arial" w:cs="Arial" w:eastAsia="Arial" w:hAnsi="Arial"/>
                <w:b/>
                <w:bCs/>
                <w:color w:val="C9A84C"/>
                <w:sz w:val="20"/>
                <w:szCs w:val="20"/>
              </w:rPr>
              <w:t xml:space="preserve">GODS APPLICATIONS:</w:t>
            </w:r>
          </w:p>
          <w:p>
            <w:pPr>
              <w:spacing w:before="30" w:after="30"/>
            </w:pPr>
            <w:r>
              <w:rPr>
                <w:rFonts w:ascii="Arial" w:cs="Arial" w:eastAsia="Arial" w:hAnsi="Arial"/>
                <w:color w:val="0D0D0D"/>
                <w:sz w:val="20"/>
                <w:szCs w:val="20"/>
              </w:rPr>
              <w:t xml:space="preserve">  &gt;&gt; T.S deploys solar energy projects as EPC contractor using S.E.T.H.S-trained installation workforce</w:t>
            </w:r>
          </w:p>
          <w:p>
            <w:pPr>
              <w:spacing w:before="30" w:after="30"/>
            </w:pPr>
            <w:r>
              <w:rPr>
                <w:rFonts w:ascii="Arial" w:cs="Arial" w:eastAsia="Arial" w:hAnsi="Arial"/>
                <w:color w:val="0D0D0D"/>
                <w:sz w:val="20"/>
                <w:szCs w:val="20"/>
              </w:rPr>
              <w:t xml:space="preserve">  &gt;&gt; T.S manages O&amp;M of deployed solar assets — creating long-term employment and recurring revenue</w:t>
            </w:r>
          </w:p>
          <w:p>
            <w:pPr>
              <w:spacing w:before="30" w:after="30"/>
            </w:pPr>
            <w:r>
              <w:rPr>
                <w:rFonts w:ascii="Arial" w:cs="Arial" w:eastAsia="Arial" w:hAnsi="Arial"/>
                <w:color w:val="0D0D0D"/>
                <w:sz w:val="20"/>
                <w:szCs w:val="20"/>
              </w:rPr>
              <w:t xml:space="preserve">  &gt;&gt; UDOC governs Eskom and municipal grid AI systems — audit trail for load allocation, demand forecasting, renewable integration AI</w:t>
            </w:r>
          </w:p>
          <w:p>
            <w:pPr>
              <w:spacing w:before="30" w:after="30"/>
            </w:pPr>
            <w:r>
              <w:rPr>
                <w:rFonts w:ascii="Arial" w:cs="Arial" w:eastAsia="Arial" w:hAnsi="Arial"/>
                <w:color w:val="0D0D0D"/>
                <w:sz w:val="20"/>
                <w:szCs w:val="20"/>
              </w:rPr>
              <w:t xml:space="preserve">  &gt;&gt; M.A.D.I.B.A structures grid infrastructure SPVs with Eskom, NERSA, and DFI co-investors</w:t>
            </w:r>
          </w:p>
          <w:p>
            <w:pPr>
              <w:spacing w:before="60" w:after="20"/>
            </w:pPr>
            <w:r>
              <w:rPr>
                <w:rFonts w:ascii="Arial" w:cs="Arial" w:eastAsia="Arial" w:hAnsi="Arial"/>
                <w:b/>
                <w:bCs/>
                <w:color w:val="00C2D4"/>
                <w:sz w:val="20"/>
                <w:szCs w:val="20"/>
              </w:rPr>
              <w:t xml:space="preserve">QUANTUM ROLE:</w:t>
            </w:r>
          </w:p>
          <w:p>
            <w:pPr>
              <w:spacing w:before="30" w:after="40"/>
            </w:pPr>
            <w:r>
              <w:rPr>
                <w:rFonts w:ascii="Arial" w:cs="Arial" w:eastAsia="Arial" w:hAnsi="Arial"/>
                <w:i/>
                <w:iCs/>
                <w:color w:val="006B7A"/>
                <w:sz w:val="20"/>
                <w:szCs w:val="20"/>
              </w:rPr>
              <w:t xml:space="preserve">Quantum grid optimisation — simultaneously evaluating all possible load allocation configurations across the national grid, finding the globally optimal solution rather than the locally adequate heuristic. This is not marginal improvement. It is the difference between scheduled and unscheduled load shedding. Quantum demand forecasting across millions of consumption nodes simultaneously.</w:t>
            </w:r>
          </w:p>
        </w:tc>
      </w:tr>
    </w:tbl>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2"/>
              <w:bottom w:val="single" w:color="C9A84C" w:sz="2"/>
              <w:right w:val="single" w:color="C9A84C" w:sz="2"/>
            </w:tcBorders>
            <w:shd w:fill="0A1628" w:val="clear"/>
            <w:tcMar>
              <w:top w:type="dxa" w:w="80"/>
              <w:left w:type="dxa" w:w="180"/>
              <w:bottom w:type="dxa" w:w="80"/>
              <w:right w:type="dxa" w:w="120"/>
            </w:tcMar>
          </w:tcPr>
          <w:p>
            <w:r>
              <w:rPr>
                <w:rFonts w:ascii="Arial" w:cs="Arial" w:eastAsia="Arial" w:hAnsi="Arial"/>
                <w:b/>
                <w:bCs/>
                <w:color w:val="C9A84C"/>
                <w:sz w:val="26"/>
                <w:szCs w:val="26"/>
              </w:rPr>
              <w:t xml:space="preserve">04 </w:t>
            </w:r>
            <w:r>
              <w:rPr>
                <w:rFonts w:ascii="Arial" w:cs="Arial" w:eastAsia="Arial" w:hAnsi="Arial"/>
                <w:b/>
                <w:bCs/>
                <w:color w:val="FFFFFF"/>
                <w:sz w:val="26"/>
                <w:szCs w:val="26"/>
              </w:rPr>
              <w:t xml:space="preserve">FOOD SECURITY — VERTICAL FARMING AND SUPPLY CHAIN SOVEREIGNTY</w:t>
            </w:r>
          </w:p>
        </w:tc>
      </w:tr>
      <w:tr>
        <w:tc>
          <w:tcPr>
            <w:tcW w:type="dxa" w:w="9360"/>
            <w:tcBorders>
              <w:top w:val="single" w:color="C9A84C" w:sz="2"/>
              <w:left w:val="single" w:color="C9A84C" w:sz="2"/>
              <w:bottom w:val="single" w:color="C9A84C" w:sz="2"/>
              <w:right w:val="single" w:color="C9A84C" w:sz="2"/>
            </w:tcBorders>
            <w:shd w:fill="E8F4FD" w:val="clear"/>
            <w:tcMar>
              <w:top w:type="dxa" w:w="100"/>
              <w:left w:type="dxa" w:w="200"/>
              <w:bottom w:type="dxa" w:w="60"/>
              <w:right w:type="dxa" w:w="200"/>
            </w:tcMar>
          </w:tcPr>
          <w:p>
            <w:pPr>
              <w:spacing w:before="0" w:after="60"/>
            </w:pPr>
            <w:r>
              <w:rPr>
                <w:rFonts w:ascii="Arial" w:cs="Arial" w:eastAsia="Arial" w:hAnsi="Arial"/>
                <w:i/>
                <w:iCs/>
                <w:color w:val="0D0D0D"/>
                <w:sz w:val="21"/>
                <w:szCs w:val="21"/>
              </w:rPr>
              <w:t xml:space="preserve">South Africa imports significant portions of its food. The global supply chain disruptions of 2020-2026 have exposed the strategic vulnerability of food import dependency for a nation with high unemployment and infrastructure capacity to produce locally. Vertical farming — controlled environment agriculture using significantly less land and water than conventional farming — is the technology. T.S is the deployment vehicle.</w:t>
            </w:r>
          </w:p>
          <w:p>
            <w:pPr>
              <w:spacing w:before="40" w:after="20"/>
            </w:pPr>
            <w:r>
              <w:rPr>
                <w:rFonts w:ascii="Arial" w:cs="Arial" w:eastAsia="Arial" w:hAnsi="Arial"/>
                <w:b/>
                <w:bCs/>
                <w:color w:val="C9A84C"/>
                <w:sz w:val="20"/>
                <w:szCs w:val="20"/>
              </w:rPr>
              <w:t xml:space="preserve">GODS APPLICATIONS:</w:t>
            </w:r>
          </w:p>
          <w:p>
            <w:pPr>
              <w:spacing w:before="30" w:after="30"/>
            </w:pPr>
            <w:r>
              <w:rPr>
                <w:rFonts w:ascii="Arial" w:cs="Arial" w:eastAsia="Arial" w:hAnsi="Arial"/>
                <w:color w:val="0D0D0D"/>
                <w:sz w:val="20"/>
                <w:szCs w:val="20"/>
              </w:rPr>
              <w:t xml:space="preserve">  &gt;&gt; T.S designs, builds, and operates vertical farming installations using S.E.T.H.S-trained agricultural technicians</w:t>
            </w:r>
          </w:p>
          <w:p>
            <w:pPr>
              <w:spacing w:before="30" w:after="30"/>
            </w:pPr>
            <w:r>
              <w:rPr>
                <w:rFonts w:ascii="Arial" w:cs="Arial" w:eastAsia="Arial" w:hAnsi="Arial"/>
                <w:color w:val="0D0D0D"/>
                <w:sz w:val="20"/>
                <w:szCs w:val="20"/>
              </w:rPr>
              <w:t xml:space="preserve">  &gt;&gt; Produce supply to local communities, schools, hospitals, and commercial buyers — domestic food sovereignty</w:t>
            </w:r>
          </w:p>
          <w:p>
            <w:pPr>
              <w:spacing w:before="30" w:after="30"/>
            </w:pPr>
            <w:r>
              <w:rPr>
                <w:rFonts w:ascii="Arial" w:cs="Arial" w:eastAsia="Arial" w:hAnsi="Arial"/>
                <w:color w:val="0D0D0D"/>
                <w:sz w:val="20"/>
                <w:szCs w:val="20"/>
              </w:rPr>
              <w:t xml:space="preserve">  &gt;&gt; UDOC governs the AI crop management systems, yield prediction models, and supply chain AI in each installation</w:t>
            </w:r>
          </w:p>
          <w:p>
            <w:pPr>
              <w:spacing w:before="30" w:after="30"/>
            </w:pPr>
            <w:r>
              <w:rPr>
                <w:rFonts w:ascii="Arial" w:cs="Arial" w:eastAsia="Arial" w:hAnsi="Arial"/>
                <w:color w:val="0D0D0D"/>
                <w:sz w:val="20"/>
                <w:szCs w:val="20"/>
              </w:rPr>
              <w:t xml:space="preserve">  &gt;&gt; M.A.D.I.B.A structures food security SPVs with agricultural DFIs and provincial government food security programmes</w:t>
            </w:r>
          </w:p>
          <w:p>
            <w:pPr>
              <w:spacing w:before="60" w:after="20"/>
            </w:pPr>
            <w:r>
              <w:rPr>
                <w:rFonts w:ascii="Arial" w:cs="Arial" w:eastAsia="Arial" w:hAnsi="Arial"/>
                <w:b/>
                <w:bCs/>
                <w:color w:val="00C2D4"/>
                <w:sz w:val="20"/>
                <w:szCs w:val="20"/>
              </w:rPr>
              <w:t xml:space="preserve">QUANTUM ROLE:</w:t>
            </w:r>
          </w:p>
          <w:p>
            <w:pPr>
              <w:spacing w:before="30" w:after="40"/>
            </w:pPr>
            <w:r>
              <w:rPr>
                <w:rFonts w:ascii="Arial" w:cs="Arial" w:eastAsia="Arial" w:hAnsi="Arial"/>
                <w:i/>
                <w:iCs/>
                <w:color w:val="006B7A"/>
                <w:sz w:val="20"/>
                <w:szCs w:val="20"/>
              </w:rPr>
              <w:t xml:space="preserve">Quantum crop yield optimisation — evaluating the full combinatorial space of growing conditions (light spectrum, temperature, humidity, nutrient concentration, CO2 levels) simultaneously to find the globally optimal configuration for each crop variety. Quantum supply chain routing — optimising distribution of fresh produce across supply networks with perishability constraints.</w:t>
            </w:r>
          </w:p>
        </w:tc>
      </w:tr>
    </w:tbl>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2"/>
              <w:bottom w:val="single" w:color="C9A84C" w:sz="2"/>
              <w:right w:val="single" w:color="C9A84C" w:sz="2"/>
            </w:tcBorders>
            <w:shd w:fill="0A1628" w:val="clear"/>
            <w:tcMar>
              <w:top w:type="dxa" w:w="80"/>
              <w:left w:type="dxa" w:w="180"/>
              <w:bottom w:type="dxa" w:w="80"/>
              <w:right w:type="dxa" w:w="120"/>
            </w:tcMar>
          </w:tcPr>
          <w:p>
            <w:r>
              <w:rPr>
                <w:rFonts w:ascii="Arial" w:cs="Arial" w:eastAsia="Arial" w:hAnsi="Arial"/>
                <w:b/>
                <w:bCs/>
                <w:color w:val="C9A84C"/>
                <w:sz w:val="26"/>
                <w:szCs w:val="26"/>
              </w:rPr>
              <w:t xml:space="preserve">05 </w:t>
            </w:r>
            <w:r>
              <w:rPr>
                <w:rFonts w:ascii="Arial" w:cs="Arial" w:eastAsia="Arial" w:hAnsi="Arial"/>
                <w:b/>
                <w:bCs/>
                <w:color w:val="FFFFFF"/>
                <w:sz w:val="26"/>
                <w:szCs w:val="26"/>
              </w:rPr>
              <w:t xml:space="preserve">NATIONAL IDENTITY &amp; CIVIC SYSTEMS — QUANTUM-SOVEREIGN IDENTITY</w:t>
            </w:r>
          </w:p>
        </w:tc>
      </w:tr>
      <w:tr>
        <w:tc>
          <w:tcPr>
            <w:tcW w:type="dxa" w:w="9360"/>
            <w:tcBorders>
              <w:top w:val="single" w:color="C9A84C" w:sz="2"/>
              <w:left w:val="single" w:color="C9A84C" w:sz="2"/>
              <w:bottom w:val="single" w:color="C9A84C" w:sz="2"/>
              <w:right w:val="single" w:color="C9A84C" w:sz="2"/>
            </w:tcBorders>
            <w:shd w:fill="E8F4FD" w:val="clear"/>
            <w:tcMar>
              <w:top w:type="dxa" w:w="100"/>
              <w:left w:type="dxa" w:w="200"/>
              <w:bottom w:type="dxa" w:w="60"/>
              <w:right w:type="dxa" w:w="200"/>
            </w:tcMar>
          </w:tcPr>
          <w:p>
            <w:pPr>
              <w:spacing w:before="0" w:after="60"/>
            </w:pPr>
            <w:r>
              <w:rPr>
                <w:rFonts w:ascii="Arial" w:cs="Arial" w:eastAsia="Arial" w:hAnsi="Arial"/>
                <w:i/>
                <w:iCs/>
                <w:color w:val="0D0D0D"/>
                <w:sz w:val="21"/>
                <w:szCs w:val="21"/>
              </w:rPr>
              <w:t xml:space="preserve">National identity infrastructure — Home Affairs, biometric systems, voter rolls, social grant registration — is among the most sensitive sovereign data held by any government. Current South African identity infrastructure has documented vulnerabilities: grant fraud at scale, identity theft, biometric data breaches, and AI-assisted decision systems with no audit architecture.</w:t>
            </w:r>
          </w:p>
          <w:p>
            <w:pPr>
              <w:spacing w:before="40" w:after="20"/>
            </w:pPr>
            <w:r>
              <w:rPr>
                <w:rFonts w:ascii="Arial" w:cs="Arial" w:eastAsia="Arial" w:hAnsi="Arial"/>
                <w:b/>
                <w:bCs/>
                <w:color w:val="C9A84C"/>
                <w:sz w:val="20"/>
                <w:szCs w:val="20"/>
              </w:rPr>
              <w:t xml:space="preserve">GODS APPLICATIONS:</w:t>
            </w:r>
          </w:p>
          <w:p>
            <w:pPr>
              <w:spacing w:before="30" w:after="30"/>
            </w:pPr>
            <w:r>
              <w:rPr>
                <w:rFonts w:ascii="Arial" w:cs="Arial" w:eastAsia="Arial" w:hAnsi="Arial"/>
                <w:color w:val="0D0D0D"/>
                <w:sz w:val="20"/>
                <w:szCs w:val="20"/>
              </w:rPr>
              <w:t xml:space="preserve">  &gt;&gt; UDOC deploys as the national AI governance layer for Home Affairs, SASSA, IEC, and municipal systems</w:t>
            </w:r>
          </w:p>
          <w:p>
            <w:pPr>
              <w:spacing w:before="30" w:after="30"/>
            </w:pPr>
            <w:r>
              <w:rPr>
                <w:rFonts w:ascii="Arial" w:cs="Arial" w:eastAsia="Arial" w:hAnsi="Arial"/>
                <w:color w:val="0D0D0D"/>
                <w:sz w:val="20"/>
                <w:szCs w:val="20"/>
              </w:rPr>
              <w:t xml:space="preserve">  &gt;&gt; Every AI-assisted decision about identity verification, grant eligibility, voter registration is audit-logged and bias-monitored</w:t>
            </w:r>
          </w:p>
          <w:p>
            <w:pPr>
              <w:spacing w:before="30" w:after="30"/>
            </w:pPr>
            <w:r>
              <w:rPr>
                <w:rFonts w:ascii="Arial" w:cs="Arial" w:eastAsia="Arial" w:hAnsi="Arial"/>
                <w:color w:val="0D0D0D"/>
                <w:sz w:val="20"/>
                <w:szCs w:val="20"/>
              </w:rPr>
              <w:t xml:space="preserve">  &gt;&gt; S.E.T.H.S trains civic service workers in AI-literacy — building internal government capacity to understand and govern deployed systems</w:t>
            </w:r>
          </w:p>
          <w:p>
            <w:pPr>
              <w:spacing w:before="30" w:after="30"/>
            </w:pPr>
            <w:r>
              <w:rPr>
                <w:rFonts w:ascii="Arial" w:cs="Arial" w:eastAsia="Arial" w:hAnsi="Arial"/>
                <w:color w:val="0D0D0D"/>
                <w:sz w:val="20"/>
                <w:szCs w:val="20"/>
              </w:rPr>
              <w:t xml:space="preserve">  &gt;&gt; Constitutional Oversight Board maintains independent oversight of all identity system deployments</w:t>
            </w:r>
          </w:p>
          <w:p>
            <w:pPr>
              <w:spacing w:before="60" w:after="20"/>
            </w:pPr>
            <w:r>
              <w:rPr>
                <w:rFonts w:ascii="Arial" w:cs="Arial" w:eastAsia="Arial" w:hAnsi="Arial"/>
                <w:b/>
                <w:bCs/>
                <w:color w:val="00C2D4"/>
                <w:sz w:val="20"/>
                <w:szCs w:val="20"/>
              </w:rPr>
              <w:t xml:space="preserve">QUANTUM ROLE:</w:t>
            </w:r>
          </w:p>
          <w:p>
            <w:pPr>
              <w:spacing w:before="30" w:after="40"/>
            </w:pPr>
            <w:r>
              <w:rPr>
                <w:rFonts w:ascii="Arial" w:cs="Arial" w:eastAsia="Arial" w:hAnsi="Arial"/>
                <w:i/>
                <w:iCs/>
                <w:color w:val="006B7A"/>
                <w:sz w:val="20"/>
                <w:szCs w:val="20"/>
              </w:rPr>
              <w:t xml:space="preserve">QKD-secured identity credentials — biometric data and identity records protected by quantum key distribution, making interception physically detectable. Quantum biometric matching — exponentially faster matching across large biometric databases. Zero-knowledge quantum proofs — verifying identity attributes without revealing underlying biometric data, preserving privacy while enabling verification.</w:t>
            </w:r>
          </w:p>
        </w:tc>
      </w:tr>
    </w:tbl>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2"/>
              <w:bottom w:val="single" w:color="C9A84C" w:sz="2"/>
              <w:right w:val="single" w:color="C9A84C" w:sz="2"/>
            </w:tcBorders>
            <w:shd w:fill="0A1628" w:val="clear"/>
            <w:tcMar>
              <w:top w:type="dxa" w:w="80"/>
              <w:left w:type="dxa" w:w="180"/>
              <w:bottom w:type="dxa" w:w="80"/>
              <w:right w:type="dxa" w:w="120"/>
            </w:tcMar>
          </w:tcPr>
          <w:p>
            <w:r>
              <w:rPr>
                <w:rFonts w:ascii="Arial" w:cs="Arial" w:eastAsia="Arial" w:hAnsi="Arial"/>
                <w:b/>
                <w:bCs/>
                <w:color w:val="C9A84C"/>
                <w:sz w:val="26"/>
                <w:szCs w:val="26"/>
              </w:rPr>
              <w:t xml:space="preserve">06 </w:t>
            </w:r>
            <w:r>
              <w:rPr>
                <w:rFonts w:ascii="Arial" w:cs="Arial" w:eastAsia="Arial" w:hAnsi="Arial"/>
                <w:b/>
                <w:bCs/>
                <w:color w:val="FFFFFF"/>
                <w:sz w:val="26"/>
                <w:szCs w:val="26"/>
              </w:rPr>
              <w:t xml:space="preserve">PUBLIC ADMINISTRATION — THE AI GOVERNANCE BACKBONE</w:t>
            </w:r>
          </w:p>
        </w:tc>
      </w:tr>
      <w:tr>
        <w:tc>
          <w:tcPr>
            <w:tcW w:type="dxa" w:w="9360"/>
            <w:tcBorders>
              <w:top w:val="single" w:color="C9A84C" w:sz="2"/>
              <w:left w:val="single" w:color="C9A84C" w:sz="2"/>
              <w:bottom w:val="single" w:color="C9A84C" w:sz="2"/>
              <w:right w:val="single" w:color="C9A84C" w:sz="2"/>
            </w:tcBorders>
            <w:shd w:fill="E8F4FD" w:val="clear"/>
            <w:tcMar>
              <w:top w:type="dxa" w:w="100"/>
              <w:left w:type="dxa" w:w="200"/>
              <w:bottom w:type="dxa" w:w="60"/>
              <w:right w:type="dxa" w:w="200"/>
            </w:tcMar>
          </w:tcPr>
          <w:p>
            <w:pPr>
              <w:spacing w:before="0" w:after="60"/>
            </w:pPr>
            <w:r>
              <w:rPr>
                <w:rFonts w:ascii="Arial" w:cs="Arial" w:eastAsia="Arial" w:hAnsi="Arial"/>
                <w:i/>
                <w:iCs/>
                <w:color w:val="0D0D0D"/>
                <w:sz w:val="21"/>
                <w:szCs w:val="21"/>
              </w:rPr>
              <w:t xml:space="preserve">South Africa's public administration deploys AI systems across welfare, taxation, public procurement, planning, and service delivery — all without a unified governance architecture. UDOC is designed to become the national AI governance backbone — the layer through which every government AI system is registered, audited, monitored, and governed.</w:t>
            </w:r>
          </w:p>
          <w:p>
            <w:pPr>
              <w:spacing w:before="40" w:after="20"/>
            </w:pPr>
            <w:r>
              <w:rPr>
                <w:rFonts w:ascii="Arial" w:cs="Arial" w:eastAsia="Arial" w:hAnsi="Arial"/>
                <w:b/>
                <w:bCs/>
                <w:color w:val="C9A84C"/>
                <w:sz w:val="20"/>
                <w:szCs w:val="20"/>
              </w:rPr>
              <w:t xml:space="preserve">GODS APPLICATIONS:</w:t>
            </w:r>
          </w:p>
          <w:p>
            <w:pPr>
              <w:spacing w:before="30" w:after="30"/>
            </w:pPr>
            <w:r>
              <w:rPr>
                <w:rFonts w:ascii="Arial" w:cs="Arial" w:eastAsia="Arial" w:hAnsi="Arial"/>
                <w:color w:val="0D0D0D"/>
                <w:sz w:val="20"/>
                <w:szCs w:val="20"/>
              </w:rPr>
              <w:t xml:space="preserve">  &gt;&gt; UDOC deployed as cross-departmental AI governance platform — centralised audit trail, decentralised departmental access</w:t>
            </w:r>
          </w:p>
          <w:p>
            <w:pPr>
              <w:spacing w:before="30" w:after="30"/>
            </w:pPr>
            <w:r>
              <w:rPr>
                <w:rFonts w:ascii="Arial" w:cs="Arial" w:eastAsia="Arial" w:hAnsi="Arial"/>
                <w:color w:val="0D0D0D"/>
                <w:sz w:val="20"/>
                <w:szCs w:val="20"/>
              </w:rPr>
              <w:t xml:space="preserve">  &gt;&gt; Every AI decision event across all government departments logged, verified, and bias-monitored in real time</w:t>
            </w:r>
          </w:p>
          <w:p>
            <w:pPr>
              <w:spacing w:before="30" w:after="30"/>
            </w:pPr>
            <w:r>
              <w:rPr>
                <w:rFonts w:ascii="Arial" w:cs="Arial" w:eastAsia="Arial" w:hAnsi="Arial"/>
                <w:color w:val="0D0D0D"/>
                <w:sz w:val="20"/>
                <w:szCs w:val="20"/>
              </w:rPr>
              <w:t xml:space="preserve">  &gt;&gt; Government employees trained through S.E.T.H.S AI-literacy stream — internal governance capacity built alongside platform</w:t>
            </w:r>
          </w:p>
          <w:p>
            <w:pPr>
              <w:spacing w:before="30" w:after="30"/>
            </w:pPr>
            <w:r>
              <w:rPr>
                <w:rFonts w:ascii="Arial" w:cs="Arial" w:eastAsia="Arial" w:hAnsi="Arial"/>
                <w:color w:val="0D0D0D"/>
                <w:sz w:val="20"/>
                <w:szCs w:val="20"/>
              </w:rPr>
              <w:t xml:space="preserve">  &gt;&gt; SPV structure allows government co-ownership of the AI governance infrastructure it depends upon</w:t>
            </w:r>
          </w:p>
          <w:p>
            <w:pPr>
              <w:spacing w:before="60" w:after="20"/>
            </w:pPr>
            <w:r>
              <w:rPr>
                <w:rFonts w:ascii="Arial" w:cs="Arial" w:eastAsia="Arial" w:hAnsi="Arial"/>
                <w:b/>
                <w:bCs/>
                <w:color w:val="00C2D4"/>
                <w:sz w:val="20"/>
                <w:szCs w:val="20"/>
              </w:rPr>
              <w:t xml:space="preserve">QUANTUM ROLE:</w:t>
            </w:r>
          </w:p>
          <w:p>
            <w:pPr>
              <w:spacing w:before="30" w:after="40"/>
            </w:pPr>
            <w:r>
              <w:rPr>
                <w:rFonts w:ascii="Arial" w:cs="Arial" w:eastAsia="Arial" w:hAnsi="Arial"/>
                <w:i/>
                <w:iCs/>
                <w:color w:val="006B7A"/>
                <w:sz w:val="20"/>
                <w:szCs w:val="20"/>
              </w:rPr>
              <w:t xml:space="preserve">Quantum compliance verification across all government AI systems simultaneously — detecting constitutional violations in real time rather than in retrospective audit. For a government with 100+ AI systems and 500+ applicable regulatory requirements, this represents the difference between governance that is theoretical and governance that is operational.</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03</w:t>
      </w:r>
    </w:p>
    <w:p>
      <w:pPr>
        <w:spacing w:before="0" w:after="120"/>
      </w:pPr>
      <w:r>
        <w:rPr>
          <w:rFonts w:ascii="Arial" w:cs="Arial" w:eastAsia="Arial" w:hAnsi="Arial"/>
          <w:b/>
          <w:bCs/>
          <w:color w:val="0A1628"/>
          <w:sz w:val="34"/>
          <w:szCs w:val="34"/>
        </w:rPr>
        <w:t xml:space="preserve">Quantum-Ready Systems Rollout Plan — Five Phases, Three Geographies</w:t>
      </w:r>
    </w:p>
    <w:p>
      <w:pPr>
        <w:pBdr>
          <w:bottom w:val="single" w:color="C9A84C" w:sz="8" w:space="4"/>
        </w:pBd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The rollout plan is not a timeline. It is a compounding activation sequence.</w:t>
            </w:r>
          </w:p>
          <w:p>
            <w:pPr>
              <w:spacing w:before="50" w:after="50"/>
              <w:jc w:val="both"/>
            </w:pPr>
            <w:r>
              <w:rPr>
                <w:rFonts w:ascii="Arial" w:cs="Arial" w:eastAsia="Arial" w:hAnsi="Arial"/>
                <w:i/>
                <w:iCs/>
                <w:color w:val="0A1628"/>
                <w:sz w:val="21"/>
                <w:szCs w:val="21"/>
              </w:rPr>
              <w:t xml:space="preserve">Each phase validates the previous, funds the next, and expands the governance coverage.</w:t>
            </w:r>
          </w:p>
          <w:p>
            <w:pPr>
              <w:spacing w:before="50" w:after="50"/>
              <w:jc w:val="both"/>
            </w:pPr>
            <w:r>
              <w:rPr>
                <w:rFonts w:ascii="Arial" w:cs="Arial" w:eastAsia="Arial" w:hAnsi="Arial"/>
                <w:i/>
                <w:iCs/>
                <w:color w:val="0A1628"/>
                <w:sz w:val="21"/>
                <w:szCs w:val="21"/>
              </w:rPr>
              <w:t xml:space="preserve">Phase 1 generates commercial revenue. Phase 2 activates quantum acceleration.</w:t>
            </w:r>
          </w:p>
          <w:p>
            <w:pPr>
              <w:spacing w:before="50" w:after="50"/>
              <w:jc w:val="both"/>
            </w:pPr>
            <w:r>
              <w:rPr>
                <w:rFonts w:ascii="Arial" w:cs="Arial" w:eastAsia="Arial" w:hAnsi="Arial"/>
                <w:i/>
                <w:iCs/>
                <w:color w:val="0A1628"/>
                <w:sz w:val="21"/>
                <w:szCs w:val="21"/>
              </w:rPr>
              <w:t xml:space="preserve">Phase 3 achieves quantum sovereignty. Phase 4 replicates across SADC.</w:t>
            </w:r>
          </w:p>
          <w:p>
            <w:pPr>
              <w:spacing w:before="50" w:after="50"/>
              <w:jc w:val="both"/>
            </w:pPr>
            <w:r>
              <w:rPr>
                <w:rFonts w:ascii="Arial" w:cs="Arial" w:eastAsia="Arial" w:hAnsi="Arial"/>
                <w:i/>
                <w:iCs/>
                <w:color w:val="0A1628"/>
                <w:sz w:val="21"/>
                <w:szCs w:val="21"/>
              </w:rPr>
              <w:t xml:space="preserve">Phase 5 positions G.O.D.S as the global standard for sovereign quantum governance.</w:t>
            </w:r>
          </w:p>
        </w:tc>
      </w:tr>
    </w:tbl>
    <w:p>
      <w:pPr>
        <w:spacing w:before="120" w:after="0"/>
      </w:pPr>
    </w:p>
    <w:p>
      <w:pPr>
        <w:pStyle w:val="Heading2"/>
        <w:spacing w:before="320" w:after="120"/>
      </w:pPr>
      <w:r>
        <w:rPr>
          <w:rFonts w:ascii="Arial" w:cs="Arial" w:eastAsia="Arial" w:hAnsi="Arial"/>
          <w:b/>
          <w:bCs/>
          <w:color w:val="1A3A5C"/>
          <w:sz w:val="28"/>
          <w:szCs w:val="28"/>
        </w:rPr>
        <w:t xml:space="preserve">3.1  Phase 1 — Proof of Concept (Months 1–18): South Africa, Gauteng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880"/>
        <w:gridCol w:w="1800"/>
        <w:gridCol w:w="324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Domain</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Deliverable</w:t>
            </w:r>
          </w:p>
        </w:tc>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Metric</w:t>
            </w:r>
          </w:p>
        </w:tc>
        <w:tc>
          <w:tcPr>
            <w:tcW w:type="dxa" w:w="32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Constitutional Requirement</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S.E.T.H.S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50-participant pilot cohort, Gauteng province. Full programme: intake, assessment, training, placement, monitoring</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85%+ placement rate; 12-month retention data; cost-per-outcome benchmark</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COB operational before first participant intake. No exceptions.</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T.S</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First T.S project using Phase 1 S.E.T.H.S graduates: solar installation or vertical farming pilot</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R5M+ project value; 15+ S.E.T.H.S graduates employed; documented community impact</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Environmental Integrity Pillar compliance certification before project commencement</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UDOC</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Enterprise SaaS Phase 1: 3 enterprise clients + 1 government pilot. Classical HQ-OS stack. Post-quantum crypto migration complete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R2M+ ARR by Month 18; NIST PQC certification; zero data sovereignty breaches</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Zero foreign cloud dependency for government pilot data. Sovereignty verified by COB.</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M.A.D.I.B.A</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R12-18M seed funding secured. First DFI relationship established. SPV structure designed and registered</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Funding secured; first DFI MOU signed; SPV template legally reviewed and filed</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Anti-Capture Pillar: no single investor &gt;20% of seed round. Board approval required.</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HQ-OS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Quantum-Ready Classical baseline deployed. Post-quantum cryptography active. QCI middleware dormant.</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100% NIST PQC migration; zero legacy encryption on sovereign data; QCI middleware tested</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Quantum-ready architecture certified by independent technical auditor before government data onboarding</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Legal</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5-entity structure registered. IP Trust constituted. COB appointed (5 initial members)</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entities registered; Trust deed executed; COB operational; IP schedule filed</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IP Trust constituted before any external capital accepted. Non-negotiable.</w:t>
            </w:r>
          </w:p>
        </w:tc>
      </w:tr>
    </w:tbl>
    <w:p>
      <w:pPr>
        <w:spacing w:before="80" w:after="0"/>
      </w:pPr>
    </w:p>
    <w:p>
      <w:pPr>
        <w:pStyle w:val="Heading2"/>
        <w:spacing w:before="320" w:after="120"/>
      </w:pPr>
      <w:r>
        <w:rPr>
          <w:rFonts w:ascii="Arial" w:cs="Arial" w:eastAsia="Arial" w:hAnsi="Arial"/>
          <w:b/>
          <w:bCs/>
          <w:color w:val="1A3A5C"/>
          <w:sz w:val="28"/>
          <w:szCs w:val="28"/>
        </w:rPr>
        <w:t xml:space="preserve">3.2  Phase 2 — Quantum Activation (Months 10–30): South Africa, National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880"/>
        <w:gridCol w:w="1800"/>
        <w:gridCol w:w="324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Domain</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Deliverable</w:t>
            </w:r>
          </w:p>
        </w:tc>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Metric</w:t>
            </w:r>
          </w:p>
        </w:tc>
        <w:tc>
          <w:tcPr>
            <w:tcW w:type="dxa" w:w="32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Constitutional Requirement</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S.E.T.H.S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Scale to 500 participants across 3 provinces. AI-literacy specialist stream launched. First justice-involved cohort.</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500 participants; 5 sector specialisations; government MOU with DSD, DOL, DCS</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Participatory Design Pillar: community input in programme design for each new province</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T.S</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 operational projects across energy, food, water, housing. SPV co-ownership with at least 1 municipality</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R80M+ infrastructure deployed; 150+ S.E.T.H.S graduates employed in T.S projects; SPV registered</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co-ownership clause in all T.S SPVs receiving public infrastructure mandates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UDOC</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deployment Phase 1: DPSA or SARS AI governance pilot. Cloud QPU API integrated. Quantum bias detection activated</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1 government sovereign deployment live; 10M+ governance events audited; quantum bias detection operational</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Zero foreign jurisdiction for government data. QPU cloud access via sovereign-compliant API only.</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M.A.D.I.B.A</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First DFI investment round. DBSA or IDC capital deployed into T.S projects. M.A.D.I.B.A advisory practice generating fees</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R45-80M capital deployed; 2 DFI partnerships active; first investor returns from T.S SPVs</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Anti-Capture maintained. No investor granted governance rights that supersede Constitutional Pillars.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HQ-OS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Cloud QPU integration live. Quantum Task Dispatcher operational. QKD metropolitan pilot link active.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QPU cloud API integrated; first quantum governance jobs executed; QKD link &lt;0.1% error rate</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QPU workloads routed only through sovereign-compliant cloud providers with SA data jurisdiction</w:t>
            </w:r>
          </w:p>
        </w:tc>
      </w:tr>
    </w:tbl>
    <w:p>
      <w:pPr>
        <w:spacing w:before="80" w:after="0"/>
      </w:pPr>
    </w:p>
    <w:p>
      <w:pPr>
        <w:pStyle w:val="Heading2"/>
        <w:spacing w:before="320" w:after="120"/>
      </w:pPr>
      <w:r>
        <w:rPr>
          <w:rFonts w:ascii="Arial" w:cs="Arial" w:eastAsia="Arial" w:hAnsi="Arial"/>
          <w:b/>
          <w:bCs/>
          <w:color w:val="1A3A5C"/>
          <w:sz w:val="28"/>
          <w:szCs w:val="28"/>
        </w:rPr>
        <w:t xml:space="preserve">3.3  Phase 3 — Quantum Sovereignty (Months 28–48): South Africa, Full National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880"/>
        <w:gridCol w:w="1800"/>
        <w:gridCol w:w="324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Domain</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Deliverable</w:t>
            </w:r>
          </w:p>
        </w:tc>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Metric</w:t>
            </w:r>
          </w:p>
        </w:tc>
        <w:tc>
          <w:tcPr>
            <w:tcW w:type="dxa" w:w="32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Constitutional Requirement</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S.E.T.H.S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5,000 participants. All 14 sector specialisations active. International skills recognition agreements.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5,000 active participants; 14 sector streams; 85%+ placement maintained at scale</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Constitutional Oversight Board review of all new sector streams before activation</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T.S</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20+ operational projects. 3 SADC markets entered. T.S certified as preferred national infrastructure delivery vehicle for at least 1 government department</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R200M+ infrastructure deployed; 1,000+ S.E.T.H.S graduates in T.S employment; 3 SADC markets active</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SADC deployments require new SPV structures with host-country co-ownership. COB approval required.</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UDOC</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On-premises QPU deployed. Full quantum sovereignty achieved. 5+ government deployments. AI Governance Backbone MOU with national government.</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 sovereign government deployments; 1B+ governance events audited; on-premises QPU operational</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On-premises QPU within South African sovereign data centre perimeter. No foreign cryogenic control.</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M.A.D.I.B.A</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Sovereign wealth fund engagement. GEPF or PIC capital committed. First SADC sovereign partnership capital.</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R200M+ under management; 1 sovereign wealth fund committed; first SADC government capital deployed</w:t>
            </w:r>
          </w:p>
        </w:tc>
        <w:tc>
          <w:tcPr>
            <w:tcW w:type="dxa" w:w="32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Sovereign fund capital governed under same constitutional constraints as all M.A.D.I.B.A deployments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HQ-OS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On-premises QPU operational. QKD full deployment. First air-gapped quantum security workloads.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On-premises QPU: 100+ qubits, &gt;99.5% gate fidelity; QKD operational across all government deployments</w:t>
            </w:r>
          </w:p>
        </w:tc>
        <w:tc>
          <w:tcPr>
            <w:tcW w:type="dxa" w:w="3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Air-gapped QPU for defence-adjacent and identity system workloads — no external network connection</w:t>
            </w:r>
          </w:p>
        </w:tc>
      </w:tr>
    </w:tbl>
    <w:p>
      <w:pPr>
        <w:spacing w:before="80" w:after="0"/>
      </w:pPr>
    </w:p>
    <w:p>
      <w:pPr>
        <w:pStyle w:val="Heading2"/>
        <w:spacing w:before="320" w:after="120"/>
      </w:pPr>
      <w:r>
        <w:rPr>
          <w:rFonts w:ascii="Arial" w:cs="Arial" w:eastAsia="Arial" w:hAnsi="Arial"/>
          <w:b/>
          <w:bCs/>
          <w:color w:val="1A3A5C"/>
          <w:sz w:val="28"/>
          <w:szCs w:val="28"/>
        </w:rPr>
        <w:t xml:space="preserve">3.4  Phase 4 — SADC Replication (Months 44–72): 5+ SADC Nations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160"/>
        <w:gridCol w:w="2160"/>
        <w:gridCol w:w="360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Domain</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Deliverable</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Target Nations</w:t>
            </w:r>
          </w:p>
        </w:tc>
        <w:tc>
          <w:tcPr>
            <w:tcW w:type="dxa" w:w="36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Revenue Model</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S.E.T.H.S</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Programme replication framework. Host-country training partner network. Regional skills certification.</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Zimbabwe, Zambia, Mozambique, Botswana, Namibia — Phase 4 priority</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Per-participant government contracts; certification licensing</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T.S</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Infrastructure pipeline across SADC. Regional SPV architecture. Cross-border green infrastructure corridor.</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SADC energy interconnector states; food security deficit nations</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EPC contracts; SPV equity; O&amp;M recurring revenue</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UDOC</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African Quantum Governance Network (AQGN) activated. 10+ sovereign deployments. AU Digital Transformation alignment.</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5+ SADC Phase 4 nations plus Nigeria, Kenya, Rwanda as gateway markets</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SaaS; national backbone contracts; AQGN membership fees</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M.A.D.I.B.A</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AfDB and Afreximbank capital. SADC sovereign capital. Pan-African infrastructure fund launch.</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SADC sovereign wealth funds; AfDB; Afreximbank; bilateral development partners</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Fund management fees; carried interest; SPV co-ownership returns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HQ-OS</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Continental quantum backbone. QKD network across 5+ sovereign nodes. Photonic interconnect pilot.</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Phase 4 SADC nations</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security premium tier; AQGN infrastructure licensing</w:t>
            </w:r>
          </w:p>
        </w:tc>
      </w:tr>
    </w:tbl>
    <w:p>
      <w:pPr>
        <w:spacing w:before="80" w:after="0"/>
      </w:pPr>
    </w:p>
    <w:p>
      <w:pPr>
        <w:pStyle w:val="Heading2"/>
        <w:spacing w:before="320" w:after="120"/>
      </w:pPr>
      <w:r>
        <w:rPr>
          <w:rFonts w:ascii="Arial" w:cs="Arial" w:eastAsia="Arial" w:hAnsi="Arial"/>
          <w:b/>
          <w:bCs/>
          <w:color w:val="1A3A5C"/>
          <w:sz w:val="28"/>
          <w:szCs w:val="28"/>
        </w:rPr>
        <w:t xml:space="preserve">3.5  Phase 5 — Global Standard (Months 68–120): Continental + Global</w:t>
      </w:r>
    </w:p>
    <w:p>
      <w:pPr>
        <w:spacing w:before="80" w:after="100"/>
        <w:jc w:val="both"/>
      </w:pPr>
      <w:r>
        <w:rPr>
          <w:rFonts w:ascii="Arial" w:cs="Arial" w:eastAsia="Arial" w:hAnsi="Arial"/>
          <w:b w:val="false"/>
          <w:bCs w:val="false"/>
          <w:i w:val="false"/>
          <w:iCs w:val="false"/>
          <w:color w:val="0D0D0D"/>
          <w:sz w:val="22"/>
          <w:szCs w:val="22"/>
        </w:rPr>
        <w:t xml:space="preserve">Phase 5 is not a phase that is planned in granular operational detail today. It is the compound result of Phases 1 through 4 working as designed. If the compounding loop functions at South African scale, if SADC replication demonstrates portability, if the quantum backbone becomes the continental standard — then Phase 5 is the natural consequence: G.O.D.S as the global reference architecture for sovereign quantum AI governance, licensed to institutional and government partners across Asia, the Middle East, Latin America, and Europe.</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4680"/>
        <w:gridCol w:w="252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Phase 5 Target</w:t>
            </w:r>
          </w:p>
        </w:tc>
        <w:tc>
          <w:tcPr>
            <w:tcW w:type="dxa" w:w="46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Description</w:t>
            </w:r>
          </w:p>
        </w:tc>
        <w:tc>
          <w:tcPr>
            <w:tcW w:type="dxa" w:w="25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Revenue Potential</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Global Architecture Licensing</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G.O.D.S constitutional and technical architecture licensed to sovereign partners outside Africa</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$100M+ licensing revenue; global positioning as governance standard</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International Quantum Network</w:t>
            </w:r>
          </w:p>
        </w:tc>
        <w:tc>
          <w:tcPr>
            <w:tcW w:type="dxa" w:w="4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AQGN extended beyond Africa — South-South quantum governance cooperation framework</w:t>
            </w:r>
          </w:p>
        </w:tc>
        <w:tc>
          <w:tcPr>
            <w:tcW w:type="dxa" w:w="25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Strategic diplomatic positioning; network effect revenue</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G.O.D.S University</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Institutionalised S.E.T.H.S model as certified university-level human capital programme</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International credentialing revenue; brand value</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Global Capital Platform</w:t>
            </w:r>
          </w:p>
        </w:tc>
        <w:tc>
          <w:tcPr>
            <w:tcW w:type="dxa" w:w="4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M.A.D.I.B.A as international emerging market infrastructure capital platform</w:t>
            </w:r>
          </w:p>
        </w:tc>
        <w:tc>
          <w:tcPr>
            <w:tcW w:type="dxa" w:w="25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AUM-based management fees; global DFI co-investment</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Standards Body Contribution</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G.O.D.S quantum governance framework contributed to ISO/IEC and AU standards processes</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Standards influence; regulatory positioning; compliance revenue</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04</w:t>
      </w:r>
    </w:p>
    <w:p>
      <w:pPr>
        <w:spacing w:before="0" w:after="120"/>
      </w:pPr>
      <w:r>
        <w:rPr>
          <w:rFonts w:ascii="Arial" w:cs="Arial" w:eastAsia="Arial" w:hAnsi="Arial"/>
          <w:b/>
          <w:bCs/>
          <w:color w:val="0A1628"/>
          <w:sz w:val="34"/>
          <w:szCs w:val="34"/>
        </w:rPr>
        <w:t xml:space="preserve">Systems Control Architecture — Constitutional Governance of All Deployed Systems</w:t>
      </w:r>
    </w:p>
    <w:p>
      <w:pPr>
        <w:pBdr>
          <w:bottom w:val="single" w:color="C9A84C" w:sz="8" w:space="4"/>
        </w:pBd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G.O.D.S does not merely deploy systems. It maintains constitutional control over every system it deploys.</w:t>
            </w:r>
          </w:p>
          <w:p>
            <w:pPr>
              <w:spacing w:before="50" w:after="50"/>
              <w:jc w:val="both"/>
            </w:pPr>
            <w:r>
              <w:rPr>
                <w:rFonts w:ascii="Arial" w:cs="Arial" w:eastAsia="Arial" w:hAnsi="Arial"/>
                <w:i/>
                <w:iCs/>
                <w:color w:val="0A1628"/>
                <w:sz w:val="21"/>
                <w:szCs w:val="21"/>
              </w:rPr>
              <w:t xml:space="preserve">Systems control is not surveillance. It is the institutional architecture that ensures</w:t>
            </w:r>
          </w:p>
          <w:p>
            <w:pPr>
              <w:spacing w:before="50" w:after="50"/>
              <w:jc w:val="both"/>
            </w:pPr>
            <w:r>
              <w:rPr>
                <w:rFonts w:ascii="Arial" w:cs="Arial" w:eastAsia="Arial" w:hAnsi="Arial"/>
                <w:i/>
                <w:iCs/>
                <w:color w:val="0A1628"/>
                <w:sz w:val="21"/>
                <w:szCs w:val="21"/>
              </w:rPr>
              <w:t xml:space="preserve">every G.O.D.S system — across every sector, every geography, every phase —</w:t>
            </w:r>
          </w:p>
          <w:p>
            <w:pPr>
              <w:spacing w:before="50" w:after="50"/>
              <w:jc w:val="both"/>
            </w:pPr>
            <w:r>
              <w:rPr>
                <w:rFonts w:ascii="Arial" w:cs="Arial" w:eastAsia="Arial" w:hAnsi="Arial"/>
                <w:i/>
                <w:iCs/>
                <w:color w:val="0A1628"/>
                <w:sz w:val="21"/>
                <w:szCs w:val="21"/>
              </w:rPr>
              <w:t xml:space="preserve">remains under human authority, within constitutional boundaries, and subject to override.</w:t>
            </w:r>
          </w:p>
        </w:tc>
      </w:tr>
    </w:tbl>
    <w:p>
      <w:pPr>
        <w:spacing w:before="120" w:after="0"/>
      </w:pPr>
    </w:p>
    <w:p>
      <w:pPr>
        <w:pStyle w:val="Heading2"/>
        <w:spacing w:before="320" w:after="120"/>
      </w:pPr>
      <w:r>
        <w:rPr>
          <w:rFonts w:ascii="Arial" w:cs="Arial" w:eastAsia="Arial" w:hAnsi="Arial"/>
          <w:b/>
          <w:bCs/>
          <w:color w:val="1A3A5C"/>
          <w:sz w:val="28"/>
          <w:szCs w:val="28"/>
        </w:rPr>
        <w:t xml:space="preserve">4.1  The Three Layers of Systems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3120"/>
        <w:gridCol w:w="2160"/>
        <w:gridCol w:w="264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Control Layer</w:t>
            </w:r>
          </w:p>
        </w:tc>
        <w:tc>
          <w:tcPr>
            <w:tcW w:type="dxa" w:w="31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Architecture</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Authority Level</w:t>
            </w:r>
          </w:p>
        </w:tc>
        <w:tc>
          <w:tcPr>
            <w:tcW w:type="dxa" w:w="26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Override Capacity</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Constitutional Layer</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IP Trust + G.O.D.S Holdings Class A shares. 12 Constitutional Pillars. COB veto authority.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Absolute — supersedes all commercial decisions. Cannot be amended by executive order.</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Full system shutdown authority. Investor removal. Division dissolution if constitutional breach detected.</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Governance Layer</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Constitutional Oversight Board (COB). Independent members. Audit rights over all divisions. Quarterly review.</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High — binding review authority. Executive decisions disclosed within 48 hours. COB cannot be overruled on Pillar compliance.</w:t>
            </w:r>
          </w:p>
        </w:tc>
        <w:tc>
          <w:tcPr>
            <w:tcW w:type="dxa" w:w="26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Programme suspension. SPV dissolution. External audit activation. Regulatory referral.</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Operational Layer</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HQ-OS monitoring. Real-time audit dashboard. Automated alert system. Human escalation pathways.</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Medium — operational oversight. Automated detection of governance events requiring review. Human decision on all flagged outcomes.</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System pause. Algorithm rollback. Model deregistration. Incident investigation activation.</w:t>
            </w:r>
          </w:p>
        </w:tc>
      </w:tr>
    </w:tbl>
    <w:p>
      <w:pPr>
        <w:spacing w:before="80" w:after="0"/>
      </w:pPr>
    </w:p>
    <w:p>
      <w:pPr>
        <w:pStyle w:val="Heading2"/>
        <w:spacing w:before="320" w:after="120"/>
      </w:pPr>
      <w:r>
        <w:rPr>
          <w:rFonts w:ascii="Arial" w:cs="Arial" w:eastAsia="Arial" w:hAnsi="Arial"/>
          <w:b/>
          <w:bCs/>
          <w:color w:val="1A3A5C"/>
          <w:sz w:val="28"/>
          <w:szCs w:val="28"/>
        </w:rPr>
        <w:t xml:space="preserve">4.2  The Quantum Monitoring Architecture</w:t>
      </w:r>
    </w:p>
    <w:p>
      <w:pPr>
        <w:spacing w:before="80" w:after="100"/>
        <w:jc w:val="both"/>
      </w:pPr>
      <w:r>
        <w:rPr>
          <w:rFonts w:ascii="Arial" w:cs="Arial" w:eastAsia="Arial" w:hAnsi="Arial"/>
          <w:b w:val="false"/>
          <w:bCs w:val="false"/>
          <w:i w:val="false"/>
          <w:iCs w:val="false"/>
          <w:color w:val="0D0D0D"/>
          <w:sz w:val="22"/>
          <w:szCs w:val="22"/>
        </w:rPr>
        <w:t xml:space="preserve">HQ-OS provides a unified quantum-accelerated monitoring layer across all deployed G.O.D.S systems. This is not passive logging. It is active constitutional surveillance — systems checking other systems, with human authority at every escalation point.</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880"/>
        <w:gridCol w:w="2040"/>
        <w:gridCol w:w="228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Monitoring Function</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Technical Implementation</w:t>
            </w:r>
          </w:p>
        </w:tc>
        <w:tc>
          <w:tcPr>
            <w:tcW w:type="dxa" w:w="20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Activation Threshold</w:t>
            </w:r>
          </w:p>
        </w:tc>
        <w:tc>
          <w:tcPr>
            <w:tcW w:type="dxa" w:w="22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Human Authority Required</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Real-Time Audit Verification</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superposition parallel verification of all audit records across all deployments simultaneously</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Continuous — quantum verification never pauses</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Anomaly investigation: COB notified within 2 hours</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Bias Detection Sweep</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intersectional bias analysis across all governed AI systems on 24-hour cycle</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Statistical disparity above 5% threshold in any protected characteristic dimension</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Flagged system paused pending human review; COB notified within 24 hours</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Sovereignty Verification</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Cryptographic verification that all data remains within declared jurisdiction — QKD-enforced</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Continuous — sovereignty violation triggers immediate alert</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Immediate: system paused; government partner and COB notified within 1 hour</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Constitutional Compliance Check</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constraint satisfaction verification that all AI system behaviours are within Pillar constraints</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Weekly full sweep; real-time on high-risk categories</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Violation: executive review required within 24 hours; COB review within 72 hours</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Capital Flow Monitoring</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Automated verification that all capital flows comply with anti-capture provisions and constitutional constraints</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transactions above R500,000 — real-time check</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Anti-capture breach: immediate freeze pending COB review</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 Security Integrity</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Monitoring of QPU coherence, QKD error rates, post-quantum crypto integrity across all deployments</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QPU coherence below threshold; QKD error rate above 0.5%; crypto alert</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Automatic fallback to classical; security team alert; COB notification if sovereign data affected</w:t>
            </w:r>
          </w:p>
        </w:tc>
      </w:tr>
    </w:tbl>
    <w:p>
      <w:pPr>
        <w:spacing w:before="80" w:after="0"/>
      </w:pPr>
    </w:p>
    <w:p>
      <w:pPr>
        <w:pStyle w:val="Heading2"/>
        <w:spacing w:before="320" w:after="120"/>
      </w:pPr>
      <w:r>
        <w:rPr>
          <w:rFonts w:ascii="Arial" w:cs="Arial" w:eastAsia="Arial" w:hAnsi="Arial"/>
          <w:b/>
          <w:bCs/>
          <w:color w:val="1A3A5C"/>
          <w:sz w:val="28"/>
          <w:szCs w:val="28"/>
        </w:rPr>
        <w:t xml:space="preserve">4.3  The Override Hierarchy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160"/>
        <w:gridCol w:w="1920"/>
        <w:gridCol w:w="384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Override Level</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Trigger</w:t>
            </w:r>
          </w:p>
        </w:tc>
        <w:tc>
          <w:tcPr>
            <w:tcW w:type="dxa" w:w="19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Authority</w:t>
            </w:r>
          </w:p>
        </w:tc>
        <w:tc>
          <w:tcPr>
            <w:tcW w:type="dxa" w:w="38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Action Available</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Level 1: Automated System Response</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Algorithm output below confidence threshold; technical anomaly detected</w:t>
            </w:r>
          </w:p>
        </w:tc>
        <w:tc>
          <w:tcPr>
            <w:tcW w:type="dxa" w:w="19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HQ-OS automated</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Task re-route to classical; human review flag; audit log entry</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Level 2: Operational Override</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Bias threshold breach; governance alert; incident detection</w:t>
            </w:r>
          </w:p>
        </w:tc>
        <w:tc>
          <w:tcPr>
            <w:tcW w:type="dxa" w:w="19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Operations Team + Division Head</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System pause; investigation activation; client notification; COB alert</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Level 3: Executive Override</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Systemic governance failure; constitutional Pillar approach to breach; investor pressure on Pillar</w:t>
            </w:r>
          </w:p>
        </w:tc>
        <w:tc>
          <w:tcPr>
            <w:tcW w:type="dxa" w:w="19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CEO + COB Chair (joint)</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Division pause; investor communication; independent audit activation; regulatory notification if required</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Level 4: Constitutional Override</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Constitutional Pillar breach confirmed; sovereign data compromised; system weaponised or captured</w:t>
            </w:r>
          </w:p>
        </w:tc>
        <w:tc>
          <w:tcPr>
            <w:tcW w:type="dxa" w:w="19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Constitutional Oversight Board (supermajority)</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Full system shutdown; investor removal; regulatory referral; public disclosure; independent investigation</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Level 5: IP Trust Override</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Existential threat to G.O.D.S constitutional mandate; attempt to dissolve constitutional structure</w:t>
            </w:r>
          </w:p>
        </w:tc>
        <w:tc>
          <w:tcPr>
            <w:tcW w:type="dxa" w:w="19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IP Trust Trustees (unanimous)</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Dissolution of G.O.D.S Holdings as configured; reconstitution under new entity with identical constitutional constraints; founder doctrine preserved</w:t>
            </w:r>
          </w:p>
        </w:tc>
      </w:tr>
    </w:tbl>
    <w:p>
      <w:pPr>
        <w:spacing w:before="80" w:after="0"/>
      </w:pPr>
    </w:p>
    <w:p>
      <w:pPr>
        <w:pStyle w:val="Heading2"/>
        <w:spacing w:before="320" w:after="120"/>
      </w:pPr>
      <w:r>
        <w:rPr>
          <w:rFonts w:ascii="Arial" w:cs="Arial" w:eastAsia="Arial" w:hAnsi="Arial"/>
          <w:b/>
          <w:bCs/>
          <w:color w:val="1A3A5C"/>
          <w:sz w:val="28"/>
          <w:szCs w:val="28"/>
        </w:rPr>
        <w:t xml:space="preserve">4.4  Data Sovereignty Control Architecture</w:t>
      </w:r>
    </w:p>
    <w:p>
      <w:pPr>
        <w:spacing w:before="80" w:after="100"/>
        <w:jc w:val="both"/>
      </w:pPr>
      <w:r>
        <w:rPr>
          <w:rFonts w:ascii="Arial" w:cs="Arial" w:eastAsia="Arial" w:hAnsi="Arial"/>
          <w:b w:val="false"/>
          <w:bCs w:val="false"/>
          <w:i w:val="false"/>
          <w:iCs w:val="false"/>
          <w:color w:val="0D0D0D"/>
          <w:sz w:val="22"/>
          <w:szCs w:val="22"/>
        </w:rPr>
        <w:t xml:space="preserve">Every data sovereignty commitment G.O.D.S makes to government partners is technically enforced — not contractually promised. Technical enforcement means that even if G.O.D.S leadership were compromised, corrupted, or legally compelled, the data would remain within sovereign jurisdiction. This is not merely a promise. It is an architectural reality.</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Sovereignty Control Mechanism</w:t>
            </w:r>
          </w:p>
        </w:tc>
        <w:tc>
          <w:tcPr>
            <w:tcW w:type="dxa" w:w="34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Technical Implementation</w:t>
            </w:r>
          </w:p>
        </w:tc>
        <w:tc>
          <w:tcPr>
            <w:tcW w:type="dxa" w:w="34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Government Verifiability</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Data Localisation</w:t>
            </w:r>
          </w:p>
        </w:tc>
        <w:tc>
          <w:tcPr>
            <w:tcW w:type="dxa" w:w="3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sovereign government data stored exclusively within South African data centre infrastructure — jurisdictionally enforced at storage layer</w:t>
            </w:r>
          </w:p>
        </w:tc>
        <w:tc>
          <w:tcPr>
            <w:tcW w:type="dxa" w:w="3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partner receives independent cryptographic proof of data location on demand</w:t>
            </w:r>
          </w:p>
        </w:tc>
      </w:tr>
      <w:tr>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QKD Key Custody</w:t>
            </w:r>
          </w:p>
        </w:tc>
        <w:tc>
          <w:tcPr>
            <w:tcW w:type="dxa" w:w="3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Encryption keys for government data generated via QKD and held exclusively within government-controlled key stores — G.O.D.S cannot access</w:t>
            </w:r>
          </w:p>
        </w:tc>
        <w:tc>
          <w:tcPr>
            <w:tcW w:type="dxa" w:w="3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partner holds master key; G.O.D.S access requires government key authorisation for every access event</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Audit Trail Independence</w:t>
            </w:r>
          </w:p>
        </w:tc>
        <w:tc>
          <w:tcPr>
            <w:tcW w:type="dxa" w:w="3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audit trail stored in separate, government-controlled infrastructure — G.O.D.S cannot modify</w:t>
            </w:r>
          </w:p>
        </w:tc>
        <w:tc>
          <w:tcPr>
            <w:tcW w:type="dxa" w:w="3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can access full audit trail independently of G.O.D.S — tamper-evident by cryptographic design</w:t>
            </w:r>
          </w:p>
        </w:tc>
      </w:tr>
      <w:tr>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Zero Foreign Dependency</w:t>
            </w:r>
          </w:p>
        </w:tc>
        <w:tc>
          <w:tcPr>
            <w:tcW w:type="dxa" w:w="3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No government sovereign data transits foreign cloud infrastructure at any point</w:t>
            </w:r>
          </w:p>
        </w:tc>
        <w:tc>
          <w:tcPr>
            <w:tcW w:type="dxa" w:w="3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Independent network audit verifies zero foreign data transit — reportable to Parliament if required</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Constitutional Override Clause</w:t>
            </w:r>
          </w:p>
        </w:tc>
        <w:tc>
          <w:tcPr>
            <w:tcW w:type="dxa" w:w="3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partner retains right to disconnect from G.O.D.S platform at any time without data loss</w:t>
            </w:r>
          </w:p>
        </w:tc>
        <w:tc>
          <w:tcPr>
            <w:tcW w:type="dxa" w:w="3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Exit clause in every government contract — data export in open format on 30 days notice, no lock-in</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05</w:t>
      </w:r>
    </w:p>
    <w:p>
      <w:pPr>
        <w:spacing w:before="0" w:after="120"/>
      </w:pPr>
      <w:r>
        <w:rPr>
          <w:rFonts w:ascii="Arial" w:cs="Arial" w:eastAsia="Arial" w:hAnsi="Arial"/>
          <w:b/>
          <w:bCs/>
          <w:color w:val="0A1628"/>
          <w:sz w:val="34"/>
          <w:szCs w:val="34"/>
        </w:rPr>
        <w:t xml:space="preserve">Global Context — Why This Architecture, Why Now</w:t>
      </w:r>
    </w:p>
    <w:p>
      <w:pPr>
        <w:pBdr>
          <w:bottom w:val="single" w:color="C9A84C" w:sz="8" w:space="4"/>
        </w:pBdr>
        <w:spacing w:before="100" w:after="100"/>
      </w:pPr>
    </w:p>
    <w:p>
      <w:pPr>
        <w:pStyle w:val="Heading2"/>
        <w:spacing w:before="320" w:after="120"/>
      </w:pPr>
      <w:r>
        <w:rPr>
          <w:rFonts w:ascii="Arial" w:cs="Arial" w:eastAsia="Arial" w:hAnsi="Arial"/>
          <w:b/>
          <w:bCs/>
          <w:color w:val="1A3A5C"/>
          <w:sz w:val="28"/>
          <w:szCs w:val="28"/>
        </w:rPr>
        <w:t xml:space="preserve">5.1  The Convergence of Five Structural Forces</w:t>
      </w:r>
    </w:p>
    <w:p>
      <w:pPr>
        <w:spacing w:before="80" w:after="100"/>
        <w:jc w:val="both"/>
      </w:pPr>
      <w:r>
        <w:rPr>
          <w:rFonts w:ascii="Arial" w:cs="Arial" w:eastAsia="Arial" w:hAnsi="Arial"/>
          <w:b w:val="false"/>
          <w:bCs w:val="false"/>
          <w:i w:val="false"/>
          <w:iCs w:val="false"/>
          <w:color w:val="0D0D0D"/>
          <w:sz w:val="22"/>
          <w:szCs w:val="22"/>
        </w:rPr>
        <w:t xml:space="preserve">G.O.D.S is not responding to a single problem or a single opportunity. It is positioned at the intersection of five structural forces that are simultaneously active and accelerating in 2026. The timing is not coincidental. It is the product of these forces reaching critical mass simultaneously.</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160"/>
        <w:gridCol w:w="2400"/>
        <w:gridCol w:w="3600"/>
      </w:tblGrid>
      <w:tr>
        <w:tc>
          <w:tcPr>
            <w:tcW w:type="dxa" w:w="12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Force</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Global Magnitude</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Africa-Specific Manifestation</w:t>
            </w:r>
          </w:p>
        </w:tc>
        <w:tc>
          <w:tcPr>
            <w:tcW w:type="dxa" w:w="36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G.O.D.S Response Division</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AI Governance Vacuum</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No dominant global standard for sovereign AI governance. EU AI Act creates mandatory compliance requirement. AU Continental AI Strategy in Phase 1 implementation.</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44 African nations have data protection laws; 38 have enforcement bodies; zero have constitutional-grade AI governance infrastructure</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the first African-built, sovereign-first, constitutional-grade AI governance platform</w:t>
            </w:r>
          </w:p>
        </w:tc>
      </w:tr>
      <w:tr>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Quantum Computing Emergence</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NIST PQC standards finalised August 2024. Commercial QPU APIs live (IBM, IonQ, Xanadu). Shor's algorithm threat to RSA-2048 within 10-15 year horizon.</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Africa builds new sovereign infrastructure now — can be quantum-native from inception. Western nations locked into classical migration paths.</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HQ-OS: quantum-ready from day one; quantum-native by Phase 3</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Workforce Displacement</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AI automation eliminating traditional employment pathways globally. $30T digital knowledge work sector at risk. BCG: 71% of African executives say job stability depends on AI strategy in 2026.</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South Africa: 33%+ unemployment. SADC: structural youth unemployment crisis. No integrated reskilling-to-employment infrastructure exists at scale.</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the human capital operating system for the AI era</w:t>
            </w:r>
          </w:p>
        </w:tc>
      </w:tr>
      <w:tr>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Infrastructure Deficit</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Emerging markets face compounding infrastructure gaps simultaneously — energy, food, water, housing — requiring employment-generating solutions, not capital-extracting ones.</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South Africa: load-shedding, water crisis, housing backlog of 2.4M units. SADC: similar profile across 16 member states.</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infrastructure built by trained workforce, creating employment and output simultaneously</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Sovereign Capital Availability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DFIs, sovereign wealth funds, and impact investors hold $3T+ in capital seeking emerging market infrastructure deployment vehicles with credible governance.</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DBSA, IDC, NEF, AfDB, Afreximbank — capital available; credible deployment vehicles absent.</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M.A.D.I.B.A: the capital architecture that connects proven G.O.D.S infrastructure to sovereign capital at scale</w:t>
            </w:r>
          </w:p>
        </w:tc>
      </w:tr>
    </w:tbl>
    <w:p>
      <w:pPr>
        <w:spacing w:before="80" w:after="0"/>
      </w:pPr>
    </w:p>
    <w:p>
      <w:pPr>
        <w:pStyle w:val="Heading2"/>
        <w:spacing w:before="320" w:after="120"/>
      </w:pPr>
      <w:r>
        <w:rPr>
          <w:rFonts w:ascii="Arial" w:cs="Arial" w:eastAsia="Arial" w:hAnsi="Arial"/>
          <w:b/>
          <w:bCs/>
          <w:color w:val="1A3A5C"/>
          <w:sz w:val="28"/>
          <w:szCs w:val="28"/>
        </w:rPr>
        <w:t xml:space="preserve">5.2  South Africa — The Optimal Stress Test Environment</w:t>
      </w:r>
    </w:p>
    <w:p>
      <w:pPr>
        <w:spacing w:before="80" w:after="100"/>
        <w:jc w:val="both"/>
      </w:pPr>
      <w:r>
        <w:rPr>
          <w:rFonts w:ascii="Arial" w:cs="Arial" w:eastAsia="Arial" w:hAnsi="Arial"/>
          <w:b w:val="false"/>
          <w:bCs w:val="false"/>
          <w:i w:val="false"/>
          <w:iCs w:val="false"/>
          <w:color w:val="0D0D0D"/>
          <w:sz w:val="22"/>
          <w:szCs w:val="22"/>
        </w:rPr>
        <w:t xml:space="preserve">No country in the world provides a more comprehensive proof of concept for the G.O.D.S architecture. South Africa simultaneously embodies every structural challenge the system is designed to address, every institutional asset the system requires to operate, and every governance complexity the system must be able to navigate. Success in South Africa is the most credible evidence possible that the system works — because South Africa makes it as difficult as possible.</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3360"/>
        <w:gridCol w:w="456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Dimension</w:t>
            </w:r>
          </w:p>
        </w:tc>
        <w:tc>
          <w:tcPr>
            <w:tcW w:type="dxa" w:w="33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South Africa Profile</w:t>
            </w:r>
          </w:p>
        </w:tc>
        <w:tc>
          <w:tcPr>
            <w:tcW w:type="dxa" w:w="45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Why It Validates G.O.D.S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Unemployment</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33%+ official; 46%+ expanded definition — highest among major economies</w:t>
            </w:r>
          </w:p>
        </w:tc>
        <w:tc>
          <w:tcPr>
            <w:tcW w:type="dxa" w:w="4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Proves S.E.T.H.S at extreme demand; proves T.S employment model at scale</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Infrastructure</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61 data centres (highest in Africa) + severe energy, water, housing deficits</w:t>
            </w:r>
          </w:p>
        </w:tc>
        <w:tc>
          <w:tcPr>
            <w:tcW w:type="dxa" w:w="45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Proves T.S can deploy using existing infrastructure base; proves UDOC can deploy in functioning DC environment</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Governance</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Constitutional democracy; independent judiciary; Chapter 9 institutions</w:t>
            </w:r>
          </w:p>
        </w:tc>
        <w:tc>
          <w:tcPr>
            <w:tcW w:type="dxa" w:w="4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Proves constitutional governance model works within real democratic constraint</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Market Sophistication</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Advanced financial sector; JSE; sophisticated DFI ecosystem (DBSA, IDC, NEF)</w:t>
            </w:r>
          </w:p>
        </w:tc>
        <w:tc>
          <w:tcPr>
            <w:tcW w:type="dxa" w:w="45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Proves M.A.D.I.B.A capital architecture can be structured and executed with institutional credibility</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Regional Gateway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BRICS membership; SADC leadership; African Union influence</w:t>
            </w:r>
          </w:p>
        </w:tc>
        <w:tc>
          <w:tcPr>
            <w:tcW w:type="dxa" w:w="4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Proves platform portability before SADC expansion — SA stamp of approval opens regional doors</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Complexity</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Inequality (highest Gini in world); political complexity; institutional trust deficit</w:t>
            </w:r>
          </w:p>
        </w:tc>
        <w:tc>
          <w:tcPr>
            <w:tcW w:type="dxa" w:w="45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Proves system can navigate the hardest possible governance environment — making it credible everywhere else</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06</w:t>
      </w:r>
    </w:p>
    <w:p>
      <w:pPr>
        <w:spacing w:before="0" w:after="120"/>
      </w:pPr>
      <w:r>
        <w:rPr>
          <w:rFonts w:ascii="Arial" w:cs="Arial" w:eastAsia="Arial" w:hAnsi="Arial"/>
          <w:b/>
          <w:bCs/>
          <w:color w:val="0A1628"/>
          <w:sz w:val="34"/>
          <w:szCs w:val="34"/>
        </w:rPr>
        <w:t xml:space="preserve">Financial Architecture — Revenue, Capital, and Return</w:t>
      </w:r>
    </w:p>
    <w:p>
      <w:pPr>
        <w:pBdr>
          <w:bottom w:val="single" w:color="C9A84C" w:sz="8" w:space="4"/>
        </w:pBdr>
        <w:spacing w:before="100" w:after="100"/>
      </w:pPr>
    </w:p>
    <w:p>
      <w:pPr>
        <w:pStyle w:val="Heading2"/>
        <w:spacing w:before="320" w:after="120"/>
      </w:pPr>
      <w:r>
        <w:rPr>
          <w:rFonts w:ascii="Arial" w:cs="Arial" w:eastAsia="Arial" w:hAnsi="Arial"/>
          <w:b/>
          <w:bCs/>
          <w:color w:val="1A3A5C"/>
          <w:sz w:val="28"/>
          <w:szCs w:val="28"/>
        </w:rPr>
        <w:t xml:space="preserve">6.1  Division Revenue Models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160"/>
        <w:gridCol w:w="2160"/>
        <w:gridCol w:w="1440"/>
        <w:gridCol w:w="2400"/>
      </w:tblGrid>
      <w:tr>
        <w:tc>
          <w:tcPr>
            <w:tcW w:type="dxa" w:w="12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Division</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Revenue Stream</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Pricing Model</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Phase Activation</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Year 5 Target ARR</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S.E.T.H.S</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Government outcome-based contracts; employer SaaS; AI-literacy certification</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Per-placement + monthly SaaS fee + certification per graduate</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1</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R85M+</w:t>
            </w:r>
          </w:p>
        </w:tc>
      </w:tr>
      <w:tr>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T.S</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EPC contracts; O&amp;M agreements; SPV equity distributions</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EPC: cost-plus margin; O&amp;M: % of asset value; SPV: equity return</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2</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R450M+</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UDOC</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Enterprise SaaS; government sovereign platform contracts; quantum security premium tier</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Monthly per-seat SaaS; government: annual sovereign platform fee; quantum: premium tier</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1 (enterprise); Phase 2 (government)</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R320M+</w:t>
            </w:r>
          </w:p>
        </w:tc>
      </w:tr>
      <w:tr>
        <w:tc>
          <w:tcPr>
            <w:tcW w:type="dxa" w:w="12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M.A.D.I.B.A</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Fund management fees; carried interest; advisory fees; SPV management fees</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2% management fee; 20% carried interest above hurdle; R500K+ advisory fees</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2</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R180M+</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HQ-OS (Quantum Layer)</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Quantum security premium; AQGN infrastructure licensing; QPU access resale</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Per-quantum-job pricing; annual AQGN membership; QPU access markup</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2-3</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R90M+</w:t>
            </w:r>
          </w:p>
        </w:tc>
      </w:tr>
    </w:tbl>
    <w:p>
      <w:pPr>
        <w:spacing w:before="80" w:after="0"/>
      </w:pPr>
    </w:p>
    <w:p>
      <w:pPr>
        <w:pStyle w:val="Heading2"/>
        <w:spacing w:before="320" w:after="120"/>
      </w:pPr>
      <w:r>
        <w:rPr>
          <w:rFonts w:ascii="Arial" w:cs="Arial" w:eastAsia="Arial" w:hAnsi="Arial"/>
          <w:b/>
          <w:bCs/>
          <w:color w:val="1A3A5C"/>
          <w:sz w:val="28"/>
          <w:szCs w:val="28"/>
        </w:rPr>
        <w:t xml:space="preserve">6.2  25-Year Financial Projection — Three Scenarios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115"/>
        <w:gridCol w:w="2115"/>
        <w:gridCol w:w="2115"/>
        <w:gridCol w:w="2115"/>
      </w:tblGrid>
      <w:tr>
        <w:tc>
          <w:tcPr>
            <w:tcW w:type="dxa" w:w="9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Year</w:t>
            </w:r>
          </w:p>
        </w:tc>
        <w:tc>
          <w:tcPr>
            <w:tcW w:type="dxa" w:w="2115"/>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Conservative (ZAR)</w:t>
            </w:r>
          </w:p>
        </w:tc>
        <w:tc>
          <w:tcPr>
            <w:tcW w:type="dxa" w:w="2115"/>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Base Case (ZAR)</w:t>
            </w:r>
          </w:p>
        </w:tc>
        <w:tc>
          <w:tcPr>
            <w:tcW w:type="dxa" w:w="2115"/>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Optimistic (ZAR)</w:t>
            </w:r>
          </w:p>
        </w:tc>
        <w:tc>
          <w:tcPr>
            <w:tcW w:type="dxa" w:w="2115"/>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Key Assumption</w:t>
            </w:r>
          </w:p>
        </w:tc>
      </w:tr>
      <w:tr>
        <w:tc>
          <w:tcPr>
            <w:tcW w:type="dxa" w:w="9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1</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R8M revenue</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R12M revenue</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R18M revenue</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pilot + UDOC enterprise launch</w:t>
            </w:r>
          </w:p>
        </w:tc>
      </w:tr>
      <w:tr>
        <w:tc>
          <w:tcPr>
            <w:tcW w:type="dxa" w:w="9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2</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R22M</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R35M</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R55M</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first projects; UDOC government pilot</w:t>
            </w:r>
          </w:p>
        </w:tc>
      </w:tr>
      <w:tr>
        <w:tc>
          <w:tcPr>
            <w:tcW w:type="dxa" w:w="9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3</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R65M</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R95M</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R145M</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scale; UDOC national; T.S 5 projects</w:t>
            </w:r>
          </w:p>
        </w:tc>
      </w:tr>
      <w:tr>
        <w:tc>
          <w:tcPr>
            <w:tcW w:type="dxa" w:w="9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5</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R280M</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R450M</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R750M</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M.A.D.I.B.A operational; SADC entry; quantum live</w:t>
            </w:r>
          </w:p>
        </w:tc>
      </w:tr>
      <w:tr>
        <w:tc>
          <w:tcPr>
            <w:tcW w:type="dxa" w:w="9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7</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R650M</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R1.2B</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R2.1B</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3 SADC markets; on-prem QPU; 500M+ governance events</w:t>
            </w:r>
          </w:p>
        </w:tc>
      </w:tr>
      <w:tr>
        <w:tc>
          <w:tcPr>
            <w:tcW w:type="dxa" w:w="9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10</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R1.8B</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R3.5B</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R6.2B</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 SADC markets; AQGN live; global licensing</w:t>
            </w:r>
          </w:p>
        </w:tc>
      </w:tr>
      <w:tr>
        <w:tc>
          <w:tcPr>
            <w:tcW w:type="dxa" w:w="9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15</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R5.2B</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R11B</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R22B</w:t>
            </w:r>
          </w:p>
        </w:tc>
        <w:tc>
          <w:tcPr>
            <w:tcW w:type="dxa" w:w="2115"/>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Continental coverage; Phase 5 global standard</w:t>
            </w:r>
          </w:p>
        </w:tc>
      </w:tr>
      <w:tr>
        <w:tc>
          <w:tcPr>
            <w:tcW w:type="dxa" w:w="9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Year 25</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R18B</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R45B</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R95B</w:t>
            </w:r>
          </w:p>
        </w:tc>
        <w:tc>
          <w:tcPr>
            <w:tcW w:type="dxa" w:w="2115"/>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Global architecture licensing; 1B+ people governed</w:t>
            </w:r>
          </w:p>
        </w:tc>
      </w:tr>
    </w:tbl>
    <w:p>
      <w:pPr>
        <w:spacing w:before="60" w:after="0"/>
      </w:pPr>
    </w:p>
    <w:p>
      <w:pPr>
        <w:spacing w:before="80" w:after="100"/>
        <w:jc w:val="both"/>
      </w:pPr>
      <w:r>
        <w:rPr>
          <w:rFonts w:ascii="Arial" w:cs="Arial" w:eastAsia="Arial" w:hAnsi="Arial"/>
          <w:b w:val="false"/>
          <w:bCs w:val="false"/>
          <w:i/>
          <w:iCs/>
          <w:color w:val="555555"/>
          <w:sz w:val="22"/>
          <w:szCs w:val="22"/>
        </w:rPr>
        <w:t xml:space="preserve">Note: All projections are internal planning estimates based on documented market size data and comparable institutional deployment trajectories. These are not audited financial forecasts. All figures are ZAR and reflect nominal values without inflation adjustment. Actual performance will depend on execution, market conditions, and regulatory environment.</w:t>
      </w:r>
    </w:p>
    <w:p>
      <w:r>
        <w:br w:type="page"/>
      </w:r>
    </w:p>
    <w:p>
      <w:pPr>
        <w:spacing w:before="240" w:after="0"/>
      </w:pPr>
    </w:p>
    <w:p>
      <w:pPr>
        <w:spacing w:before="0" w:after="40"/>
      </w:pPr>
      <w:r>
        <w:rPr>
          <w:rFonts w:ascii="Arial" w:cs="Arial" w:eastAsia="Arial" w:hAnsi="Arial"/>
          <w:b/>
          <w:bCs/>
          <w:caps/>
          <w:color w:val="C9A84C"/>
          <w:sz w:val="20"/>
          <w:szCs w:val="20"/>
        </w:rPr>
        <w:t xml:space="preserve">SECTION 07</w:t>
      </w:r>
    </w:p>
    <w:p>
      <w:pPr>
        <w:spacing w:before="0" w:after="120"/>
      </w:pPr>
      <w:r>
        <w:rPr>
          <w:rFonts w:ascii="Arial" w:cs="Arial" w:eastAsia="Arial" w:hAnsi="Arial"/>
          <w:b/>
          <w:bCs/>
          <w:color w:val="0A1628"/>
          <w:sz w:val="34"/>
          <w:szCs w:val="34"/>
        </w:rPr>
        <w:t xml:space="preserve">Constitutional Architecture — The Governance Framework That Makes It All Work</w:t>
      </w:r>
    </w:p>
    <w:p>
      <w:pPr>
        <w:pBdr>
          <w:bottom w:val="single" w:color="C9A84C" w:sz="8" w:space="4"/>
        </w:pBdr>
        <w:spacing w:before="100" w:after="100"/>
      </w:pPr>
    </w:p>
    <w:p>
      <w:pPr>
        <w:pStyle w:val="Heading2"/>
        <w:spacing w:before="320" w:after="120"/>
      </w:pPr>
      <w:r>
        <w:rPr>
          <w:rFonts w:ascii="Arial" w:cs="Arial" w:eastAsia="Arial" w:hAnsi="Arial"/>
          <w:b/>
          <w:bCs/>
          <w:color w:val="1A3A5C"/>
          <w:sz w:val="28"/>
          <w:szCs w:val="28"/>
        </w:rPr>
        <w:t xml:space="preserve">7.1  The Five-Entity Structure</w:t>
      </w:r>
    </w:p>
    <w:p>
      <w:pPr>
        <w:spacing w:before="80" w:after="100"/>
        <w:jc w:val="both"/>
      </w:pPr>
      <w:r>
        <w:rPr>
          <w:rFonts w:ascii="Arial" w:cs="Arial" w:eastAsia="Arial" w:hAnsi="Arial"/>
          <w:b w:val="false"/>
          <w:bCs w:val="false"/>
          <w:i w:val="false"/>
          <w:iCs w:val="false"/>
          <w:color w:val="0D0D0D"/>
          <w:sz w:val="22"/>
          <w:szCs w:val="22"/>
        </w:rPr>
        <w:t xml:space="preserve">The G.O.D.S constitutional architecture separates mission custody from commercial operations through five distinct legal entities arranged in a governance hierarchy. This separation is not administrative preference. It is the protection architecture that prevents the most common institutional failure modes: mission drift, investor capture, founder concentration, and constitutional erosion under commercial pressure.</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680"/>
        <w:gridCol w:w="2880"/>
        <w:gridCol w:w="336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Entity</w:t>
            </w:r>
          </w:p>
        </w:tc>
        <w:tc>
          <w:tcPr>
            <w:tcW w:type="dxa" w:w="16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Legal Form</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Primary Function</w:t>
            </w:r>
          </w:p>
        </w:tc>
        <w:tc>
          <w:tcPr>
            <w:tcW w:type="dxa" w:w="33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Control Mechanism</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G.O.D.S IP Trust</w:t>
            </w:r>
          </w:p>
        </w:tc>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Inter vivos trust — South African Trust Property Control Act</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Mission custody. Holds all IP, constitutional framework, system architecture. Cannot be sold or wound up.</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Trustee board (minimum 3, appointed by independent process). Holds Class A governance shares in G.O.D.S Holdings. Controls constitutional mandate.</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G.O.D.S Holdings (Pty) Ltd</w:t>
            </w:r>
          </w:p>
        </w:tc>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Private company — Companies Act 71 of 2008</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Constitutional parent. Governance authority. Class A share custodian. 12 Pillar enforcement.</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Class A shares held by IP Trust — governance rights only, no economic rights. Class B shares for economic investors. COB veto on Pillar-relevant decisions.</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G.O.D.S TS Holdings (Pty) Ltd</w:t>
            </w:r>
          </w:p>
        </w:tc>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Private company — Companies Act</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Commercial engine. All four division subsidiaries held here. Investor-facing capital raise entity.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Governed by G.O.D.S Holdings constitutional mandate. Reserved matters require G.O.D.S Holdings approval. Investor rights bounded by constitutional constraints.</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Division Subsidiaries (x4)</w:t>
            </w:r>
          </w:p>
        </w:tc>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Private companies — Companies Act</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Operational entities: S.E.T.H.S, UDOC, TS Industries, M.A.D.I.B.A each registered separately</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Governed by TS Holdings as shareholder. Divisional constitutional mandate compliance monitored by COB. Each has divisional board.</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Constitutional Oversight Board</w:t>
            </w:r>
          </w:p>
        </w:tc>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Governance body — constituted under G.O.D.S Holdings MOI</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Independent oversight of all constitutional mandate compliance. Audit rights. Veto on Pillar matters.</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5 independent members minimum. None appointed by or removed by founder alone. Supermajority required for Pillar amendment.</w:t>
            </w:r>
          </w:p>
        </w:tc>
      </w:tr>
    </w:tbl>
    <w:p>
      <w:pPr>
        <w:spacing w:before="80" w:after="0"/>
      </w:pPr>
    </w:p>
    <w:p>
      <w:pPr>
        <w:pStyle w:val="Heading2"/>
        <w:spacing w:before="320" w:after="120"/>
      </w:pPr>
      <w:r>
        <w:rPr>
          <w:rFonts w:ascii="Arial" w:cs="Arial" w:eastAsia="Arial" w:hAnsi="Arial"/>
          <w:b/>
          <w:bCs/>
          <w:color w:val="1A3A5C"/>
          <w:sz w:val="28"/>
          <w:szCs w:val="28"/>
        </w:rPr>
        <w:t xml:space="preserve">7.2  The Twelve Constitutional Pillars — Operational Enforcement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040"/>
        <w:gridCol w:w="6840"/>
      </w:tblGrid>
      <w:tr>
        <w:tc>
          <w:tcPr>
            <w:tcW w:type="dxa" w:w="4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Pillar</w:t>
            </w:r>
          </w:p>
        </w:tc>
        <w:tc>
          <w:tcPr>
            <w:tcW w:type="dxa" w:w="20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Principle</w:t>
            </w:r>
          </w:p>
        </w:tc>
        <w:tc>
          <w:tcPr>
            <w:tcW w:type="dxa" w:w="68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pPr>
            <w:r>
              <w:rPr>
                <w:rFonts w:ascii="Arial" w:cs="Arial" w:eastAsia="Arial" w:hAnsi="Arial"/>
                <w:b/>
                <w:bCs/>
                <w:color w:val="FFFFFF"/>
                <w:sz w:val="20"/>
                <w:szCs w:val="20"/>
              </w:rPr>
              <w:t xml:space="preserve">Operational Enforcement Mechanism</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 — Human Dignity</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Every programme advances human dignity — not merely economic efficiency</w:t>
            </w:r>
          </w:p>
        </w:tc>
        <w:tc>
          <w:tcPr>
            <w:tcW w:type="dxa" w:w="6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participant charter. COB quarterly dignity impact review. UDOC dignity-impact scoring for all governed AI.</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II — Contribution Over Extraction</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AI legitimate only where it advances contribution, not extraction</w:t>
            </w:r>
          </w:p>
        </w:tc>
        <w:tc>
          <w:tcPr>
            <w:tcW w:type="dxa" w:w="6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bias detection monitors for extraction patterns. M.A.D.I.B.A investment screens for extractive business models.</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III — Sovereign Respect</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No G.O.D.S system overrides national sovereignty</w:t>
            </w:r>
          </w:p>
        </w:tc>
        <w:tc>
          <w:tcPr>
            <w:tcW w:type="dxa" w:w="6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Zero foreign data dependency for government clients. QKD sovereign key custody. Data localisation technically enforced.</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IV — Ethical Profitability</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Commercial benefit does not justify destabilisation or opacity</w:t>
            </w:r>
          </w:p>
        </w:tc>
        <w:tc>
          <w:tcPr>
            <w:tcW w:type="dxa" w:w="6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M.A.D.I.B.A ethical screen for all capital deployments. COB approval required for all commercial agreements above R10M.</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V — Governance Before Scale</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No system expands faster than its governance</w:t>
            </w:r>
          </w:p>
        </w:tc>
        <w:tc>
          <w:tcPr>
            <w:tcW w:type="dxa" w:w="6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Phase gate system: governance infrastructure must be operational before next deployment phase activates. COB certification required.</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VI — Transparency and Accountability</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AI systems produce explainable, auditable outputs</w:t>
            </w:r>
          </w:p>
        </w:tc>
        <w:tc>
          <w:tcPr>
            <w:tcW w:type="dxa" w:w="6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UDOC technical requirement: every AI decision event produces human-readable audit record. No black-box deployments permitted.</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VII — Anti-Capture</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No single entity controls system architecture</w:t>
            </w:r>
          </w:p>
        </w:tc>
        <w:tc>
          <w:tcPr>
            <w:tcW w:type="dxa" w:w="6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Investor rights bounded in MOI. No investor &gt;20% without COB approval. G.O.D.S Holdings Class A cannot be sold without IP Trust consent.</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VIII — Human Primacy in AI</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Intelligence subordinate to human authority at all consequential decision points</w:t>
            </w:r>
          </w:p>
        </w:tc>
        <w:tc>
          <w:tcPr>
            <w:tcW w:type="dxa" w:w="6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UDOC deployments include human override architecture. Automated decisions above defined thresholds require human confirmation.</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IX — Equity of Access</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Benefits reach most marginalised populations first</w:t>
            </w:r>
          </w:p>
        </w:tc>
        <w:tc>
          <w:tcPr>
            <w:tcW w:type="dxa" w:w="6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S.E.T.H.S intake prioritises structurally excluded populations. T.S infrastructure prioritised in underserved areas. COB equity impact review quarterly.</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X — Intergenerational Mandate</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design considers 50-year consequences</w:t>
            </w:r>
          </w:p>
        </w:tc>
        <w:tc>
          <w:tcPr>
            <w:tcW w:type="dxa" w:w="6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T.S environmental standards exceed legal minimum. M.A.D.I.B.A investment screens for intergenerational impact. 250-year institutional mandate.</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XI — Anti-Corruption</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No hidden concentration of power beyond constitutional scrutiny</w:t>
            </w:r>
          </w:p>
        </w:tc>
        <w:tc>
          <w:tcPr>
            <w:tcW w:type="dxa" w:w="6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COB full financial oversight. All capital flows above R500K trigger automated constitutional compliance check. External audit annually.</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bCs/>
                <w:color w:val="1A3A5C"/>
                <w:sz w:val="20"/>
                <w:szCs w:val="20"/>
              </w:rPr>
              <w:t xml:space="preserve">XII — Evidence-Driven Evolution</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Governance adapts to demonstrated outcomes, not ideology</w:t>
            </w:r>
          </w:p>
        </w:tc>
        <w:tc>
          <w:tcPr>
            <w:tcW w:type="dxa" w:w="6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pPr>
            <w:r>
              <w:rPr>
                <w:rFonts w:ascii="Arial" w:cs="Arial" w:eastAsia="Arial" w:hAnsi="Arial"/>
                <w:b w:val="false"/>
                <w:bCs w:val="false"/>
                <w:color w:val="0D0D0D"/>
                <w:sz w:val="20"/>
                <w:szCs w:val="20"/>
              </w:rPr>
              <w:t xml:space="preserve">All operational decisions require data justification. Phase advancement requires measured performance evidence. COB reviews evidence quarterly.</w:t>
            </w:r>
          </w:p>
        </w:tc>
      </w:tr>
    </w:tbl>
    <w:p>
      <w:r>
        <w:br w:type="page"/>
      </w:r>
    </w:p>
    <w:p>
      <w:pPr>
        <w:spacing w:before="240" w:after="0"/>
      </w:pPr>
    </w:p>
    <w:p>
      <w:pPr>
        <w:spacing w:before="0" w:after="40"/>
      </w:pPr>
      <w:r>
        <w:rPr>
          <w:rFonts w:ascii="Arial" w:cs="Arial" w:eastAsia="Arial" w:hAnsi="Arial"/>
          <w:b/>
          <w:bCs/>
          <w:caps/>
          <w:color w:val="C9A84C"/>
          <w:sz w:val="20"/>
          <w:szCs w:val="20"/>
        </w:rPr>
        <w:t xml:space="preserve">SECTION 08</w:t>
      </w:r>
    </w:p>
    <w:p>
      <w:pPr>
        <w:spacing w:before="0" w:after="120"/>
      </w:pPr>
      <w:r>
        <w:rPr>
          <w:rFonts w:ascii="Arial" w:cs="Arial" w:eastAsia="Arial" w:hAnsi="Arial"/>
          <w:b/>
          <w:bCs/>
          <w:color w:val="0A1628"/>
          <w:sz w:val="34"/>
          <w:szCs w:val="34"/>
        </w:rPr>
        <w:t xml:space="preserve">The Strategic Case — Why G.O.D.S Cannot Be Replicated</w:t>
      </w:r>
    </w:p>
    <w:p>
      <w:pPr>
        <w:pBdr>
          <w:bottom w:val="single" w:color="C9A84C" w:sz="8" w:space="4"/>
        </w:pBdr>
        <w:spacing w:before="100" w:after="100"/>
      </w:pPr>
    </w:p>
    <w:p>
      <w:pPr>
        <w:pStyle w:val="Heading2"/>
        <w:spacing w:before="320" w:after="120"/>
      </w:pPr>
      <w:r>
        <w:rPr>
          <w:rFonts w:ascii="Arial" w:cs="Arial" w:eastAsia="Arial" w:hAnsi="Arial"/>
          <w:b/>
          <w:bCs/>
          <w:color w:val="1A3A5C"/>
          <w:sz w:val="28"/>
          <w:szCs w:val="28"/>
        </w:rPr>
        <w:t xml:space="preserve">8.1  The Structural Moat</w:t>
      </w:r>
    </w:p>
    <w:p>
      <w:pPr>
        <w:spacing w:before="80" w:after="100"/>
        <w:jc w:val="both"/>
      </w:pPr>
      <w:r>
        <w:rPr>
          <w:rFonts w:ascii="Arial" w:cs="Arial" w:eastAsia="Arial" w:hAnsi="Arial"/>
          <w:b w:val="false"/>
          <w:bCs w:val="false"/>
          <w:i w:val="false"/>
          <w:iCs w:val="false"/>
          <w:color w:val="0D0D0D"/>
          <w:sz w:val="22"/>
          <w:szCs w:val="22"/>
        </w:rPr>
        <w:t xml:space="preserve">The G.O.D.S compounding loop creates a structural competitive moat that has nothing to do with technology patents, market share, or brand. The moat is the integration itself. No competitor can replicate the compounding value of the loop without building all four divisions simultaneously, because the value of each division depends on the others. A workforce training programme without infrastructure deployment for its graduates is a training programme. An infrastructure company without trained workforce is a contractor. A governance platform without operational proof data is software. A capital platform without proven deployment vehicles is an advisory firm. G.O.D.S is all four — simultaneously, integrated, compounding.</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The quantum layer adds a second moat that is even harder to replicate.</w:t>
            </w:r>
          </w:p>
          <w:p>
            <w:pPr>
              <w:spacing w:before="50" w:after="50"/>
              <w:jc w:val="both"/>
            </w:pPr>
            <w:r>
              <w:rPr>
                <w:rFonts w:ascii="Arial" w:cs="Arial" w:eastAsia="Arial" w:hAnsi="Arial"/>
                <w:i/>
                <w:iCs/>
                <w:color w:val="0A1628"/>
                <w:sz w:val="21"/>
                <w:szCs w:val="21"/>
              </w:rPr>
              <w:t xml:space="preserve">Quantum-ready sovereign governance infrastructure requires:</w:t>
            </w:r>
          </w:p>
          <w:p>
            <w:pPr>
              <w:spacing w:before="50" w:after="50"/>
              <w:jc w:val="both"/>
            </w:pPr>
            <w:r>
              <w:rPr>
                <w:rFonts w:ascii="Arial" w:cs="Arial" w:eastAsia="Arial" w:hAnsi="Arial"/>
                <w:i/>
                <w:iCs/>
                <w:color w:val="0A1628"/>
                <w:sz w:val="21"/>
                <w:szCs w:val="21"/>
              </w:rPr>
              <w:t xml:space="preserve">Post-quantum cryptographic architecture (buildable, but requires time and expertise)</w:t>
            </w:r>
          </w:p>
          <w:p>
            <w:pPr>
              <w:spacing w:before="50" w:after="50"/>
              <w:jc w:val="both"/>
            </w:pPr>
            <w:r>
              <w:rPr>
                <w:rFonts w:ascii="Arial" w:cs="Arial" w:eastAsia="Arial" w:hAnsi="Arial"/>
                <w:i/>
                <w:iCs/>
                <w:color w:val="0A1628"/>
                <w:sz w:val="21"/>
                <w:szCs w:val="21"/>
              </w:rPr>
              <w:t xml:space="preserve">Constitutional governance framework (cannot be bought — must be built from inception)</w:t>
            </w:r>
          </w:p>
          <w:p>
            <w:pPr>
              <w:spacing w:before="50" w:after="50"/>
              <w:jc w:val="both"/>
            </w:pPr>
            <w:r>
              <w:rPr>
                <w:rFonts w:ascii="Arial" w:cs="Arial" w:eastAsia="Arial" w:hAnsi="Arial"/>
                <w:i/>
                <w:iCs/>
                <w:color w:val="0A1628"/>
                <w:sz w:val="21"/>
                <w:szCs w:val="21"/>
              </w:rPr>
              <w:t xml:space="preserve">Sovereign government trust (cannot be acquired — must be earned through operational proof)</w:t>
            </w:r>
          </w:p>
          <w:p>
            <w:pPr>
              <w:spacing w:before="50" w:after="50"/>
              <w:jc w:val="both"/>
            </w:pPr>
            <w:r>
              <w:rPr>
                <w:rFonts w:ascii="Arial" w:cs="Arial" w:eastAsia="Arial" w:hAnsi="Arial"/>
                <w:i/>
                <w:iCs/>
                <w:color w:val="0A1628"/>
                <w:sz w:val="21"/>
                <w:szCs w:val="21"/>
              </w:rPr>
              <w:t xml:space="preserve">Technical quantum engineering capability (globally scarce; G.O.D.S building internal pipeline via S.E.T.H.S)</w:t>
            </w:r>
          </w:p>
          <w:p>
            <w:pPr>
              <w:spacing w:before="50" w:after="50"/>
              <w:jc w:val="both"/>
            </w:pPr>
            <w:r>
              <w:rPr>
                <w:rFonts w:ascii="Arial" w:cs="Arial" w:eastAsia="Arial" w:hAnsi="Arial"/>
                <w:i/>
                <w:iCs/>
                <w:color w:val="0A1628"/>
                <w:sz w:val="21"/>
                <w:szCs w:val="21"/>
              </w:rPr>
              <w:t xml:space="preserve">African sovereign market understanding (cannot be imported — must be demonstrated in-market)</w:t>
            </w:r>
          </w:p>
          <w:p>
            <w:pPr>
              <w:spacing w:before="50" w:after="50"/>
              <w:jc w:val="both"/>
            </w:pPr>
            <w:r>
              <w:rPr>
                <w:rFonts w:ascii="Arial" w:cs="Arial" w:eastAsia="Arial" w:hAnsi="Arial"/>
                <w:i/>
                <w:iCs/>
                <w:color w:val="0A1628"/>
                <w:sz w:val="21"/>
                <w:szCs w:val="21"/>
              </w:rPr>
              <w:t xml:space="preserve">A competitor who wants to replicate G.O.D.S HQ-OS must replicate all five of these simultaneously.</w:t>
            </w:r>
          </w:p>
          <w:p>
            <w:pPr>
              <w:spacing w:before="50" w:after="50"/>
              <w:jc w:val="both"/>
            </w:pPr>
            <w:r>
              <w:rPr>
                <w:rFonts w:ascii="Arial" w:cs="Arial" w:eastAsia="Arial" w:hAnsi="Arial"/>
                <w:i/>
                <w:iCs/>
                <w:color w:val="0A1628"/>
                <w:sz w:val="21"/>
                <w:szCs w:val="21"/>
              </w:rPr>
              <w:t xml:space="preserve">The time required to build that combination is the moat. The lead is the architecture. The proof is South Africa.</w:t>
            </w:r>
          </w:p>
        </w:tc>
      </w:tr>
    </w:tbl>
    <w:p>
      <w:pPr>
        <w:spacing w:before="80" w:after="0"/>
      </w:pPr>
    </w:p>
    <w:p>
      <w:pPr>
        <w:pStyle w:val="Heading2"/>
        <w:spacing w:before="320" w:after="120"/>
      </w:pPr>
      <w:r>
        <w:rPr>
          <w:rFonts w:ascii="Arial" w:cs="Arial" w:eastAsia="Arial" w:hAnsi="Arial"/>
          <w:b/>
          <w:bCs/>
          <w:color w:val="1A3A5C"/>
          <w:sz w:val="28"/>
          <w:szCs w:val="28"/>
        </w:rPr>
        <w:t xml:space="preserve">8.2  The Closing Declaration</w:t>
      </w:r>
    </w:p>
    <w:p>
      <w:pPr>
        <w:spacing w:before="80" w:after="100"/>
        <w:jc w:val="both"/>
      </w:pPr>
      <w:r>
        <w:rPr>
          <w:rFonts w:ascii="Arial" w:cs="Arial" w:eastAsia="Arial" w:hAnsi="Arial"/>
          <w:b w:val="false"/>
          <w:bCs w:val="false"/>
          <w:i w:val="false"/>
          <w:iCs w:val="false"/>
          <w:color w:val="0D0D0D"/>
          <w:sz w:val="22"/>
          <w:szCs w:val="22"/>
        </w:rPr>
        <w:t xml:space="preserve">The world is not short of technology. It is not short of capital. It is not short of ambition. What it is short of is the disciplined, sequenced, constitutionally governed integration of technology, capital, human capacity, and sovereign infrastructure into a system that compounds. That is what G.O.D.S is. Not a product. Not a programme. Not a fund. A system. A compounding, constitutionally governed, quantum-ready, Africa-built system that is designed to endure across generations and grow across civilisations.</w:t>
      </w:r>
    </w:p>
    <w:p>
      <w:pPr>
        <w:spacing w:before="80" w:after="0"/>
      </w:pPr>
    </w:p>
    <w:p>
      <w:pPr>
        <w:spacing w:before="0" w:after="40"/>
        <w:jc w:val="center"/>
      </w:pPr>
      <w:r>
        <w:rPr>
          <w:rFonts w:ascii="Arial" w:cs="Arial" w:eastAsia="Arial" w:hAnsi="Arial"/>
          <w:b/>
          <w:bCs/>
          <w:color w:val="C9A84C"/>
          <w:sz w:val="26"/>
          <w:szCs w:val="26"/>
        </w:rPr>
        <w:t xml:space="preserve">It begins with 50 people in Gauteng.</w:t>
      </w:r>
    </w:p>
    <w:p>
      <w:pPr>
        <w:spacing w:before="0" w:after="40"/>
        <w:jc w:val="center"/>
      </w:pPr>
      <w:r>
        <w:rPr>
          <w:rFonts w:ascii="Arial" w:cs="Arial" w:eastAsia="Arial" w:hAnsi="Arial"/>
          <w:i/>
          <w:iCs/>
          <w:color w:val="1A3A5C"/>
          <w:sz w:val="22"/>
          <w:szCs w:val="22"/>
        </w:rPr>
        <w:t xml:space="preserve">It ends with 1 billion people under constitutionally governed, quantum-secured, sovereign AI governance.</w:t>
      </w:r>
    </w:p>
    <w:p>
      <w:pPr>
        <w:spacing w:before="80" w:after="0"/>
      </w:pPr>
    </w:p>
    <w:p>
      <w:pPr>
        <w:pBdr>
          <w:bottom w:val="single" w:color="C9A84C" w:sz="8" w:space="4"/>
        </w:pBdr>
        <w:spacing w:before="100" w:after="100"/>
      </w:pPr>
    </w:p>
    <w:p>
      <w:pPr>
        <w:spacing w:before="100" w:after="0"/>
      </w:pPr>
    </w:p>
    <w:p>
      <w:pPr>
        <w:spacing w:before="0" w:after="40"/>
        <w:jc w:val="center"/>
      </w:pPr>
      <w:r>
        <w:rPr>
          <w:rFonts w:ascii="Arial" w:cs="Arial" w:eastAsia="Arial" w:hAnsi="Arial"/>
          <w:b/>
          <w:bCs/>
          <w:color w:val="0D0D0D"/>
          <w:sz w:val="22"/>
          <w:szCs w:val="22"/>
        </w:rPr>
        <w:t xml:space="preserve">Sashin J. Singh  |  Founder &amp; Systems Architect</w:t>
      </w:r>
    </w:p>
    <w:p>
      <w:pPr>
        <w:spacing w:before="0" w:after="40"/>
        <w:jc w:val="center"/>
      </w:pPr>
      <w:r>
        <w:rPr>
          <w:rFonts w:ascii="Arial" w:cs="Arial" w:eastAsia="Arial" w:hAnsi="Arial"/>
          <w:color w:val="555555"/>
          <w:sz w:val="20"/>
          <w:szCs w:val="20"/>
        </w:rPr>
        <w:t xml:space="preserve">G.O.D.S Holdings (Pty) Ltd  |  Johannesburg, South Africa  |  March 2026</w:t>
      </w:r>
    </w:p>
    <w:p>
      <w:pPr>
        <w:spacing w:before="0" w:after="40"/>
        <w:jc w:val="center"/>
      </w:pPr>
      <w:r>
        <w:rPr>
          <w:rFonts w:ascii="Arial" w:cs="Arial" w:eastAsia="Arial" w:hAnsi="Arial"/>
          <w:i/>
          <w:iCs/>
          <w:color w:val="C9A84C"/>
          <w:sz w:val="20"/>
          <w:szCs w:val="20"/>
        </w:rPr>
        <w:t xml:space="preserve">info@gods.systems  |  www.gods.systems</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2" w:space="4"/>
      </w:pBdr>
      <w:tabs>
        <w:tab w:val="right" w:pos="9360"/>
      </w:tabs>
      <w:spacing w:before="0" w:after="0"/>
    </w:pPr>
    <w:r>
      <w:rPr>
        <w:rFonts w:ascii="Arial" w:cs="Arial" w:eastAsia="Arial" w:hAnsi="Arial"/>
        <w:color w:val="AAAAAA"/>
        <w:sz w:val="16"/>
        <w:szCs w:val="16"/>
      </w:rPr>
      <w:t xml:space="preserve">G.O.D.S Holdings (Pty) Ltd  |  Good Orderly Directional Systems</w:t>
    </w:r>
    <w:r>
      <w:rPr>
        <w:rFonts w:ascii="Arial" w:cs="Arial" w:eastAsia="Arial" w:hAnsi="Arial"/>
        <w:sz w:val="16"/>
        <w:szCs w:val="16"/>
      </w:rPr>
      <w:t xml:space="preserve">	</w:t>
    </w:r>
    <w:r>
      <w:rPr>
        <w:rFonts w:ascii="Arial" w:cs="Arial" w:eastAsia="Arial" w:hAnsi="Arial"/>
        <w:i/>
        <w:iCs/>
        <w:color w:val="C9A84C"/>
        <w:sz w:val="16"/>
        <w:szCs w:val="16"/>
      </w:rPr>
      <w:t xml:space="preserve">www.gods.systems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4"/>
      </w:pBdr>
      <w:tabs>
        <w:tab w:val="right" w:pos="9360"/>
      </w:tabs>
      <w:spacing w:before="0" w:after="0"/>
    </w:pPr>
    <w:r>
      <w:rPr>
        <w:rFonts w:ascii="Arial" w:cs="Arial" w:eastAsia="Arial" w:hAnsi="Arial"/>
        <w:color w:val="AAAAAA"/>
        <w:sz w:val="16"/>
        <w:szCs w:val="16"/>
      </w:rPr>
      <w:t xml:space="preserve">G.O.D.S  |  Systems Architecture &amp; Quantum-Ready Sector Control  |  March 2026</w:t>
    </w:r>
    <w:r>
      <w:rPr>
        <w:rFonts w:ascii="Arial" w:cs="Arial" w:eastAsia="Arial" w:hAnsi="Arial"/>
        <w:sz w:val="16"/>
        <w:szCs w:val="16"/>
      </w:rPr>
      <w:t xml:space="preserve">	</w:t>
    </w:r>
    <w:r>
      <w:rPr>
        <w:rFonts w:ascii="Arial" w:cs="Arial" w:eastAsia="Arial" w:hAnsi="Arial"/>
        <w:b/>
        <w:bCs/>
        <w:color w:val="F59E0B"/>
        <w:sz w:val="16"/>
        <w:szCs w:val="16"/>
      </w:rPr>
      <w:t xml:space="preserve">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D0D0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160"/>
      <w:outlineLvl w:val="0"/>
    </w:pPr>
    <w:rPr>
      <w:rFonts w:ascii="Arial" w:cs="Arial" w:eastAsia="Arial" w:hAnsi="Arial"/>
      <w:b/>
      <w:bCs/>
      <w:color w:val="C9A84C"/>
      <w:sz w:val="36"/>
      <w:szCs w:val="36"/>
    </w:rPr>
  </w:style>
  <w:style w:type="paragraph" w:styleId="Heading2">
    <w:name w:val="Heading 2"/>
    <w:basedOn w:val="Normal"/>
    <w:next w:val="Normal"/>
    <w:qFormat/>
    <w:pPr>
      <w:spacing w:before="320" w:after="120"/>
      <w:outlineLvl w:val="1"/>
    </w:pPr>
    <w:rPr>
      <w:rFonts w:ascii="Arial" w:cs="Arial" w:eastAsia="Arial" w:hAnsi="Arial"/>
      <w:b/>
      <w:bCs/>
      <w:color w:val="1A3A5C"/>
      <w:sz w:val="28"/>
      <w:szCs w:val="28"/>
    </w:rPr>
  </w:style>
  <w:style w:type="paragraph" w:styleId="Heading3">
    <w:name w:val="Heading 3"/>
    <w:basedOn w:val="Normal"/>
    <w:next w:val="Normal"/>
    <w:qFormat/>
    <w:pPr>
      <w:spacing w:before="200" w:after="80"/>
      <w:outlineLvl w:val="2"/>
    </w:pPr>
    <w:rPr>
      <w:rFonts w:ascii="Arial" w:cs="Arial" w:eastAsia="Arial" w:hAnsi="Arial"/>
      <w:b/>
      <w:bCs/>
      <w:color w:val="0D0D0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2026-03-12T12:07:45.413Z</dcterms:created>
  <dcterms:modified xsi:type="dcterms:W3CDTF">2026-03-12T12:07:45.414Z</dcterms:modified>
</cp:coreProperties>
</file>

<file path=docProps/custom.xml><?xml version="1.0" encoding="utf-8"?>
<Properties xmlns="http://schemas.openxmlformats.org/officeDocument/2006/custom-properties" xmlns:vt="http://schemas.openxmlformats.org/officeDocument/2006/docPropsVTypes"/>
</file>