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960" w:after="80"/>
        <w:jc w:val="center"/>
      </w:pPr>
      <w:r>
        <w:rPr>
          <w:rFonts w:ascii="Arial" w:cs="Arial" w:eastAsia="Arial" w:hAnsi="Arial"/>
          <w:b/>
          <w:bCs/>
          <w:color w:val="C9A84C"/>
          <w:sz w:val="72"/>
          <w:szCs w:val="72"/>
        </w:rPr>
        <w:t xml:space="preserve">G.O.D.S</w:t>
      </w:r>
    </w:p>
    <w:p>
      <w:pPr>
        <w:spacing w:before="0" w:after="80"/>
        <w:jc w:val="center"/>
      </w:pPr>
      <w:r>
        <w:rPr>
          <w:rFonts w:ascii="Arial" w:cs="Arial" w:eastAsia="Arial" w:hAnsi="Arial"/>
          <w:b/>
          <w:bCs/>
          <w:color w:val="1A1A2E"/>
          <w:sz w:val="34"/>
          <w:szCs w:val="34"/>
        </w:rPr>
        <w:t xml:space="preserve">T.S — THE TECHNOLOGICAL SECTOR</w:t>
      </w:r>
    </w:p>
    <w:p>
      <w:pPr>
        <w:spacing w:before="0" w:after="80"/>
        <w:jc w:val="center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INFRASTRUCTURE BLUEPRINT</w:t>
      </w:r>
    </w:p>
    <w:p>
      <w:pPr>
        <w:spacing w:before="0" w:after="120"/>
        <w:jc w:val="center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Production Architecture · Sector Subsidiaries · Revenue Model · Implementation Plan · SPV Structure</w:t>
      </w:r>
    </w:p>
    <w:p>
      <w:pPr>
        <w:pBdr>
          <w:bottom w:val="single" w:color="C9A84C" w:sz="4"/>
        </w:pBdr>
        <w:spacing w:before="120" w:after="120"/>
      </w:pPr>
    </w:p>
    <w:p>
      <w:pPr>
        <w:spacing w:before="200" w:after="400"/>
        <w:jc w:val="center"/>
      </w:pPr>
      <w:r>
        <w:rPr>
          <w:rFonts w:ascii="Arial" w:cs="Arial" w:eastAsia="Arial" w:hAnsi="Arial"/>
          <w:b/>
          <w:bCs/>
          <w:color w:val="C9A84C"/>
          <w:sz w:val="20"/>
          <w:szCs w:val="20"/>
        </w:rPr>
        <w:t xml:space="preserve">Sashin J. Singh — Founder &amp; Architect | G.O.D.S Holdings | 2026</w:t>
      </w:r>
    </w:p>
    <w:p>
      <w:r>
        <w:br w:type="page"/>
      </w:r>
    </w:p>
    <w:p>
      <w:pPr>
        <w:spacing w:before="400" w:after="160"/>
      </w:pPr>
      <w:r>
        <w:rPr>
          <w:rFonts w:ascii="Arial" w:cs="Arial" w:eastAsia="Arial" w:hAnsi="Arial"/>
          <w:b/>
          <w:bCs/>
          <w:color w:val="0A0A0A"/>
          <w:sz w:val="36"/>
          <w:szCs w:val="36"/>
        </w:rPr>
        <w:t xml:space="preserve">PART ONE — WHAT T.S IS</w:t>
      </w:r>
    </w:p>
    <w:p>
      <w:pPr>
        <w:pBdr>
          <w:bottom w:val="single" w:color="C9A84C" w:sz="4"/>
        </w:pBdr>
        <w:spacing w:before="120" w:after="120"/>
      </w:pP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111111"/>
          <w:sz w:val="22"/>
          <w:szCs w:val="22"/>
        </w:rPr>
        <w:t xml:space="preserve">The Technological Sector (T.S) is the production and infrastructure engine of G.O.D.S Holdings. It is not a technology company. It is an industrial conglomerate — a multi-sector production platform that builds the physical infrastructure that South Africa's structural challenges require, using the human capital that S.E.T.H.S produces.</w:t>
      </w:r>
    </w:p>
    <w:p>
      <w:pPr>
        <w:spacing w:before="80"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F9F5EC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before="200" w:after="80"/>
            </w:pPr>
            <w:r>
              <w:rPr>
                <w:rFonts w:ascii="Arial" w:cs="Arial" w:eastAsia="Arial" w:hAnsi="Arial"/>
                <w:b/>
                <w:bCs/>
                <w:color w:val="C9A84C"/>
                <w:sz w:val="24"/>
                <w:szCs w:val="24"/>
              </w:rPr>
              <w:t xml:space="preserve">T.S in the Compounding Loop</w:t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2"/>
                <w:szCs w:val="22"/>
              </w:rPr>
              <w:t xml:space="preserve">T.S serves two simultaneous functions. First, it is the primary employment destination for S.E.T.H.S graduates — the production infrastructure that transforms trained human capital into economic output. Second, it generates the infrastructure outcomes that attract M.A.D.I.B.A capital — completed projects that demonstrate the system's execution capability and create bankable assets for future capital deployment.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spacing w:before="280" w:after="120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Why 'Technological Sector' as the Name</w:t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111111"/>
          <w:sz w:val="22"/>
          <w:szCs w:val="22"/>
        </w:rPr>
        <w:t xml:space="preserve">The name was chosen deliberately to signal that T.S operates at the intersection of technology and physical production — not as a pure technology company and not as a traditional construction or engineering firm. The model is closest to what is sometimes called deep tech infrastructure: the application of advanced technology to solve physical world problems at scale.</w:t>
      </w:r>
    </w:p>
    <w:p>
      <w:pPr>
        <w:spacing w:before="400" w:after="160"/>
      </w:pPr>
      <w:r>
        <w:rPr>
          <w:rFonts w:ascii="Arial" w:cs="Arial" w:eastAsia="Arial" w:hAnsi="Arial"/>
          <w:b/>
          <w:bCs/>
          <w:color w:val="0A0A0A"/>
          <w:sz w:val="36"/>
          <w:szCs w:val="36"/>
        </w:rPr>
        <w:t xml:space="preserve">PART TWO — THE SEVEN SECTOR SUBSIDIARIES</w:t>
      </w:r>
    </w:p>
    <w:p>
      <w:pPr>
        <w:pBdr>
          <w:bottom w:val="single" w:color="C9A84C" w:sz="4"/>
        </w:pBdr>
        <w:spacing w:before="120"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F5F5F0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before="200" w:after="80"/>
            </w:pPr>
            <w:r>
              <w:rPr>
                <w:rFonts w:ascii="Arial" w:cs="Arial" w:eastAsia="Arial" w:hAnsi="Arial"/>
                <w:b/>
                <w:bCs/>
                <w:color w:val="C9A84C"/>
                <w:sz w:val="24"/>
                <w:szCs w:val="24"/>
              </w:rPr>
              <w:t xml:space="preserve">TS ENERGY (PTY) LTD</w:t>
            </w:r>
          </w:p>
          <w:tbl>
            <w:tblPr>
              <w:tblW w:type="dxa" w:w="936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4680"/>
              <w:gridCol w:w="4680"/>
            </w:tblGrid>
            <w:tr>
              <w:tc>
                <w:tcPr>
                  <w:tcW w:type="dxa" w:w="46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0"/>
                    <w:left w:type="dxa" w:w="0"/>
                    <w:bottom w:type="dxa" w:w="80"/>
                    <w:right w:type="dxa" w:w="20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SIC Classification: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40100 — Electricity Production and Distribution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Primary Market: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South Africa renewable energy IPP program, municipal solar, commercial and industrial (C&amp;I) solar, residential solar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S.E.T.H.S Employment Pipeline: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Pathway A (Solar PV Installation) graduates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Launch Timeline: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Year 1 — Priority launch division</w:t>
                  </w:r>
                </w:p>
              </w:tc>
              <w:tc>
                <w:tcPr>
                  <w:tcW w:type="dxa" w:w="46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0"/>
                    <w:left w:type="dxa" w:w="200"/>
                    <w:bottom w:type="dxa" w:w="80"/>
                    <w:right w:type="dxa" w:w="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Products and Services: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Solar PV EPC (Engineering, Procurement, Construction) contracts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Battery storage system installation and maintenance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Microgrid and off-grid power system installation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Renewable energy operations and maintenance (O&amp;M) services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Grid-tie and net-metering system installation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Revenue Structure: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EPC contracts (R5M–R500M per project), O&amp;M retainers (annual recurring), REIPP programme participation</w:t>
                  </w:r>
                </w:p>
              </w:tc>
            </w:tr>
          </w:tbl>
          <w:p/>
        </w:tc>
      </w:tr>
    </w:tbl>
    <w:p>
      <w:pPr>
        <w:spacing w:before="80"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F5F5F0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before="200" w:after="80"/>
            </w:pPr>
            <w:r>
              <w:rPr>
                <w:rFonts w:ascii="Arial" w:cs="Arial" w:eastAsia="Arial" w:hAnsi="Arial"/>
                <w:b/>
                <w:bCs/>
                <w:color w:val="C9A84C"/>
                <w:sz w:val="24"/>
                <w:szCs w:val="24"/>
              </w:rPr>
              <w:t xml:space="preserve">TS CONSTRUCTION &amp; HOUSING (PTY) LTD</w:t>
            </w:r>
          </w:p>
          <w:tbl>
            <w:tblPr>
              <w:tblW w:type="dxa" w:w="936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4680"/>
              <w:gridCol w:w="4680"/>
            </w:tblGrid>
            <w:tr>
              <w:tc>
                <w:tcPr>
                  <w:tcW w:type="dxa" w:w="46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0"/>
                    <w:left w:type="dxa" w:w="0"/>
                    <w:bottom w:type="dxa" w:w="80"/>
                    <w:right w:type="dxa" w:w="20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SIC Classification: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45000 — Construction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Primary Market: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Government social housing (DFFE/DRDLR contracts), affordable housing developers, municipal infrastructure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S.E.T.H.S Employment Pipeline: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Pathway B (Construction &amp; Housing) graduates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Launch Timeline: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Year 1 — Priority launch division</w:t>
                  </w:r>
                </w:p>
              </w:tc>
              <w:tc>
                <w:tcPr>
                  <w:tcW w:type="dxa" w:w="46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0"/>
                    <w:left w:type="dxa" w:w="200"/>
                    <w:bottom w:type="dxa" w:w="80"/>
                    <w:right w:type="dxa" w:w="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Products and Services: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Modular housing units for government social housing programs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Prefabricated building systems for rapid deployment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Infrastructure construction: roads, drainage, community facilities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Building materials production integration (feeds TS Manufacturing)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Revenue Structure: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Government housing contracts (DFFE, provincial DHS), commercial contracts, Section 13sex portfolio investor partnerships</w:t>
                  </w:r>
                </w:p>
              </w:tc>
            </w:tr>
          </w:tbl>
          <w:p/>
        </w:tc>
      </w:tr>
    </w:tbl>
    <w:p>
      <w:pPr>
        <w:spacing w:before="80"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F5F5F0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before="200" w:after="80"/>
            </w:pPr>
            <w:r>
              <w:rPr>
                <w:rFonts w:ascii="Arial" w:cs="Arial" w:eastAsia="Arial" w:hAnsi="Arial"/>
                <w:b/>
                <w:bCs/>
                <w:color w:val="C9A84C"/>
                <w:sz w:val="24"/>
                <w:szCs w:val="24"/>
              </w:rPr>
              <w:t xml:space="preserve">TS AGRITECH (PTY) LTD</w:t>
            </w:r>
          </w:p>
          <w:tbl>
            <w:tblPr>
              <w:tblW w:type="dxa" w:w="936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4680"/>
              <w:gridCol w:w="4680"/>
            </w:tblGrid>
            <w:tr>
              <w:tc>
                <w:tcPr>
                  <w:tcW w:type="dxa" w:w="46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0"/>
                    <w:left w:type="dxa" w:w="0"/>
                    <w:bottom w:type="dxa" w:w="80"/>
                    <w:right w:type="dxa" w:w="20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SIC Classification: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01000 — Agriculture; 73000 — Research and Development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Primary Market: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Municipal urban farming contracts, food security programs, commercial vertical farming, township food desert solutions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S.E.T.H.S Employment Pipeline: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Pathway C (Agricultural Technology) graduates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Launch Timeline: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Year 2 — Second wave launch</w:t>
                  </w:r>
                </w:p>
              </w:tc>
              <w:tc>
                <w:tcPr>
                  <w:tcW w:type="dxa" w:w="46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0"/>
                    <w:left w:type="dxa" w:w="200"/>
                    <w:bottom w:type="dxa" w:w="80"/>
                    <w:right w:type="dxa" w:w="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Products and Services: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Vertical farming installations for urban food production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Precision irrigation and hydroponic systems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Food security program infrastructure for municipalities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Smart farming technology deployment for smallholder farmers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Revenue Structure: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Government food security contracts, commercial urban farming revenue, franchise and licensing model for township food installations</w:t>
                  </w:r>
                </w:p>
              </w:tc>
            </w:tr>
          </w:tbl>
          <w:p/>
        </w:tc>
      </w:tr>
    </w:tbl>
    <w:p>
      <w:pPr>
        <w:spacing w:before="80"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F5F5F0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before="200" w:after="80"/>
            </w:pPr>
            <w:r>
              <w:rPr>
                <w:rFonts w:ascii="Arial" w:cs="Arial" w:eastAsia="Arial" w:hAnsi="Arial"/>
                <w:b/>
                <w:bCs/>
                <w:color w:val="C9A84C"/>
                <w:sz w:val="24"/>
                <w:szCs w:val="24"/>
              </w:rPr>
              <w:t xml:space="preserve">TS WATER SYSTEMS (PTY) LTD</w:t>
            </w:r>
          </w:p>
          <w:tbl>
            <w:tblPr>
              <w:tblW w:type="dxa" w:w="936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4680"/>
              <w:gridCol w:w="4680"/>
            </w:tblGrid>
            <w:tr>
              <w:tc>
                <w:tcPr>
                  <w:tcW w:type="dxa" w:w="46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0"/>
                    <w:left w:type="dxa" w:w="0"/>
                    <w:bottom w:type="dxa" w:w="80"/>
                    <w:right w:type="dxa" w:w="20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SIC Classification: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41000 — Water Purification and Distribution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Primary Market: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Municipal water infrastructure contracts, industrial water treatment, rural water access programs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S.E.T.H.S Employment Pipeline: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Pathway B (Construction) graduates with water systems specialisation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Launch Timeline: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Year 2 — Second wave launch</w:t>
                  </w:r>
                </w:p>
              </w:tc>
              <w:tc>
                <w:tcPr>
                  <w:tcW w:type="dxa" w:w="46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0"/>
                    <w:left w:type="dxa" w:w="200"/>
                    <w:bottom w:type="dxa" w:w="80"/>
                    <w:right w:type="dxa" w:w="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Products and Services: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Municipal water infrastructure maintenance and upgrade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Wastewater treatment systems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Rural borehole and water access infrastructure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Smart water metering and leak detection systems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Revenue Structure: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Municipal maintenance contracts (COGTA, SALGA), new infrastructure contracts, water management SaaS fees</w:t>
                  </w:r>
                </w:p>
              </w:tc>
            </w:tr>
          </w:tbl>
          <w:p/>
        </w:tc>
      </w:tr>
    </w:tbl>
    <w:p>
      <w:pPr>
        <w:spacing w:before="80"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F5F5F0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before="200" w:after="80"/>
            </w:pPr>
            <w:r>
              <w:rPr>
                <w:rFonts w:ascii="Arial" w:cs="Arial" w:eastAsia="Arial" w:hAnsi="Arial"/>
                <w:b/>
                <w:bCs/>
                <w:color w:val="C9A84C"/>
                <w:sz w:val="24"/>
                <w:szCs w:val="24"/>
              </w:rPr>
              <w:t xml:space="preserve">TS DIGITAL INFRASTRUCTURE (PTY) LTD</w:t>
            </w:r>
          </w:p>
          <w:tbl>
            <w:tblPr>
              <w:tblW w:type="dxa" w:w="936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4680"/>
              <w:gridCol w:w="4680"/>
            </w:tblGrid>
            <w:tr>
              <w:tc>
                <w:tcPr>
                  <w:tcW w:type="dxa" w:w="46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0"/>
                    <w:left w:type="dxa" w:w="0"/>
                    <w:bottom w:type="dxa" w:w="80"/>
                    <w:right w:type="dxa" w:w="20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SIC Classification: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64200 — Telecommunications; 72000 — Computer Services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Primary Market: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UDOC sovereign cloud infrastructure, government data centre needs, fibre infrastructure gaps, edge computing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S.E.T.H.S Employment Pipeline: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Pathway D (Digital Operations) graduates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Launch Timeline: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Year 2–3 — Built in parallel with UDOC Phase 2</w:t>
                  </w:r>
                </w:p>
              </w:tc>
              <w:tc>
                <w:tcPr>
                  <w:tcW w:type="dxa" w:w="46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0"/>
                    <w:left w:type="dxa" w:w="200"/>
                    <w:bottom w:type="dxa" w:w="80"/>
                    <w:right w:type="dxa" w:w="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Products and Services: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Sovereign cloud data centre construction and operation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Government data hosting (POPIA-compliant, SA-domiciled)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Edge computing infrastructure for remote areas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Fibre network installation for underserved communities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Revenue Structure: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UDOC infrastructure hosting fees, government data sovereignty contracts, commercial data centre colocation, fibre access fees</w:t>
                  </w:r>
                </w:p>
              </w:tc>
            </w:tr>
          </w:tbl>
          <w:p/>
        </w:tc>
      </w:tr>
    </w:tbl>
    <w:p>
      <w:pPr>
        <w:spacing w:before="80"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F5F5F0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before="200" w:after="80"/>
            </w:pPr>
            <w:r>
              <w:rPr>
                <w:rFonts w:ascii="Arial" w:cs="Arial" w:eastAsia="Arial" w:hAnsi="Arial"/>
                <w:b/>
                <w:bCs/>
                <w:color w:val="C9A84C"/>
                <w:sz w:val="24"/>
                <w:szCs w:val="24"/>
              </w:rPr>
              <w:t xml:space="preserve">TS MANUFACTURING (PTY) LTD</w:t>
            </w:r>
          </w:p>
          <w:tbl>
            <w:tblPr>
              <w:tblW w:type="dxa" w:w="936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4680"/>
              <w:gridCol w:w="4680"/>
            </w:tblGrid>
            <w:tr>
              <w:tc>
                <w:tcPr>
                  <w:tcW w:type="dxa" w:w="46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0"/>
                    <w:left w:type="dxa" w:w="0"/>
                    <w:bottom w:type="dxa" w:w="80"/>
                    <w:right w:type="dxa" w:w="20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SIC Classification: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28000–35000 — Manufacturing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Primary Market: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Internal supply to TS subsidiaries, government procurement of locally manufactured components, export potential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S.E.T.H.S Employment Pipeline: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Multi-pathway graduates with manufacturing specialisation modules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Launch Timeline: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Year 3–5 — Scale phase</w:t>
                  </w:r>
                </w:p>
              </w:tc>
              <w:tc>
                <w:tcPr>
                  <w:tcW w:type="dxa" w:w="46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0"/>
                    <w:left w:type="dxa" w:w="200"/>
                    <w:bottom w:type="dxa" w:w="80"/>
                    <w:right w:type="dxa" w:w="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Products and Services: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Modular building components for TS Construction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Solar panel mounting systems and components for TS Energy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AgriTech equipment components for TS AgriTech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Reverse engineering of imported infrastructure components for local production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Revenue Structure: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Internal supply chain revenue, government local procurement preference contracts, SABS-certified product sales</w:t>
                  </w:r>
                </w:p>
              </w:tc>
            </w:tr>
          </w:tbl>
          <w:p/>
        </w:tc>
      </w:tr>
    </w:tbl>
    <w:p>
      <w:pPr>
        <w:spacing w:before="80"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F5F5F0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before="200" w:after="80"/>
            </w:pPr>
            <w:r>
              <w:rPr>
                <w:rFonts w:ascii="Arial" w:cs="Arial" w:eastAsia="Arial" w:hAnsi="Arial"/>
                <w:b/>
                <w:bCs/>
                <w:color w:val="C9A84C"/>
                <w:sz w:val="24"/>
                <w:szCs w:val="24"/>
              </w:rPr>
              <w:t xml:space="preserve">TS LOGISTICS (PTY) LTD</w:t>
            </w:r>
          </w:p>
          <w:tbl>
            <w:tblPr>
              <w:tblW w:type="dxa" w:w="936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4680"/>
              <w:gridCol w:w="4680"/>
            </w:tblGrid>
            <w:tr>
              <w:tc>
                <w:tcPr>
                  <w:tcW w:type="dxa" w:w="46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0"/>
                    <w:left w:type="dxa" w:w="0"/>
                    <w:bottom w:type="dxa" w:w="80"/>
                    <w:right w:type="dxa" w:w="20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SIC Classification: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60000 — Land Transport; 63000 — Support Activities for Transportation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Primary Market: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Last-mile logistics in underserved communities, government supply chain, food distribution from TS AgriTech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S.E.T.H.S Employment Pipeline: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Driver and logistics operations graduates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Launch Timeline: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Year 3–5 — Scale phase</w:t>
                  </w:r>
                </w:p>
              </w:tc>
              <w:tc>
                <w:tcPr>
                  <w:tcW w:type="dxa" w:w="46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0"/>
                    <w:left w:type="dxa" w:w="200"/>
                    <w:bottom w:type="dxa" w:w="80"/>
                    <w:right w:type="dxa" w:w="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Products and Services: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Last-mile delivery infrastructure for township economies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Cold chain logistics for TS AgriTech food distribution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Government supply chain management and distribution</w:t>
                  </w:r>
                </w:p>
                <w:p>
                  <w:pPr>
                    <w:pStyle w:val="ListParagraph"/>
                    <w:numPr>
                      <w:ilvl w:val="0"/>
                      <w:numId w:val="2"/>
                    </w:numPr>
                    <w:spacing w:before="60" w:after="60"/>
                  </w:pPr>
                  <w:r>
                    <w:rPr>
                      <w:rFonts w:ascii="Arial" w:cs="Arial" w:eastAsia="Arial" w:hAnsi="Arial"/>
                      <w:sz w:val="22"/>
                      <w:szCs w:val="22"/>
                    </w:rPr>
                    <w:t xml:space="preserve">Logistics technology platform (route optimisation, fleet management)</w:t>
                  </w:r>
                </w:p>
                <w:p>
                  <w:pPr>
                    <w:spacing w:before="80" w:after="80"/>
                  </w:pPr>
                  <w:r>
                    <w:t xml:space="preserve"/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11111"/>
                      <w:sz w:val="22"/>
                      <w:szCs w:val="22"/>
                    </w:rPr>
                    <w:t xml:space="preserve">Revenue Structure:</w:t>
                  </w:r>
                </w:p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olor w:val="111111"/>
                      <w:sz w:val="22"/>
                      <w:szCs w:val="22"/>
                    </w:rPr>
                    <w:t xml:space="preserve">Logistics SaaS subscription fees, per-delivery fees, government supply chain contracts</w:t>
                  </w:r>
                </w:p>
              </w:tc>
            </w:tr>
          </w:tbl>
          <w:p/>
        </w:tc>
      </w:tr>
    </w:tbl>
    <w:p>
      <w:pPr>
        <w:spacing w:before="80" w:after="80"/>
      </w:pPr>
      <w:r>
        <w:t xml:space="preserve"/>
      </w:r>
    </w:p>
    <w:p>
      <w:r>
        <w:br w:type="page"/>
      </w:r>
    </w:p>
    <w:p>
      <w:pPr>
        <w:spacing w:before="400" w:after="160"/>
      </w:pPr>
      <w:r>
        <w:rPr>
          <w:rFonts w:ascii="Arial" w:cs="Arial" w:eastAsia="Arial" w:hAnsi="Arial"/>
          <w:b/>
          <w:bCs/>
          <w:color w:val="0A0A0A"/>
          <w:sz w:val="36"/>
          <w:szCs w:val="36"/>
        </w:rPr>
        <w:t xml:space="preserve">PART THREE — SPV STRUCTURE FOR LARGE PROJECTS</w:t>
      </w:r>
    </w:p>
    <w:p>
      <w:pPr>
        <w:pBdr>
          <w:bottom w:val="single" w:color="C9A84C" w:sz="4"/>
        </w:pBdr>
        <w:spacing w:before="120" w:after="120"/>
      </w:pP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111111"/>
          <w:sz w:val="22"/>
          <w:szCs w:val="22"/>
        </w:rPr>
        <w:t xml:space="preserve">T.S's largest infrastructure projects will be executed through Special Purpose Vehicles — separate legal entities established for specific projects, co-owned with government partners, development finance institutions, or private investors. This structure is standard in South African infrastructure development and is required for REIPP programme participation.</w:t>
      </w:r>
    </w:p>
    <w:p>
      <w:pPr>
        <w:spacing w:before="80"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F9F5EC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before="200" w:after="80"/>
            </w:pPr>
            <w:r>
              <w:rPr>
                <w:rFonts w:ascii="Arial" w:cs="Arial" w:eastAsia="Arial" w:hAnsi="Arial"/>
                <w:b/>
                <w:bCs/>
                <w:color w:val="C9A84C"/>
                <w:sz w:val="24"/>
                <w:szCs w:val="24"/>
              </w:rPr>
              <w:t xml:space="preserve">Standard SPV Architecture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2400"/>
              <w:gridCol w:w="3480"/>
              <w:gridCol w:w="3480"/>
            </w:tblGrid>
            <w:tr>
              <w:tc>
                <w:tcPr>
                  <w:tcW w:type="dxa" w:w="24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shd w:fill="1A1A2E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0"/>
                      <w:szCs w:val="20"/>
                    </w:rPr>
                    <w:t xml:space="preserve">SPV Element</w:t>
                  </w:r>
                </w:p>
              </w:tc>
              <w:tc>
                <w:tcPr>
                  <w:tcW w:type="dxa" w:w="34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shd w:fill="1A1A2E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0"/>
                      <w:szCs w:val="20"/>
                    </w:rPr>
                    <w:t xml:space="preserve">Typical Structure</w:t>
                  </w:r>
                </w:p>
              </w:tc>
              <w:tc>
                <w:tcPr>
                  <w:tcW w:type="dxa" w:w="34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shd w:fill="1A1A2E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0"/>
                      <w:szCs w:val="20"/>
                    </w:rPr>
                    <w:t xml:space="preserve">G.O.D.S Role</w:t>
                  </w:r>
                </w:p>
              </w:tc>
            </w:tr>
            <w:tr>
              <w:tc>
                <w:tcPr>
                  <w:tcW w:type="dxa" w:w="24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Equity split</w:t>
                  </w:r>
                </w:p>
              </w:tc>
              <w:tc>
                <w:tcPr>
                  <w:tcW w:type="dxa" w:w="34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TS Industries: 40–60%, Government/DFI: 20–40%, Private investor: 10–30%</w:t>
                  </w:r>
                </w:p>
              </w:tc>
              <w:tc>
                <w:tcPr>
                  <w:tcW w:type="dxa" w:w="34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Majority or co-majority shareholder</w:t>
                  </w:r>
                </w:p>
              </w:tc>
            </w:tr>
            <w:tr>
              <w:tc>
                <w:tcPr>
                  <w:tcW w:type="dxa" w:w="24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Governance</w:t>
                  </w:r>
                </w:p>
              </w:tc>
              <w:tc>
                <w:tcPr>
                  <w:tcW w:type="dxa" w:w="34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SPV board with proportional representation + independent director</w:t>
                  </w:r>
                </w:p>
              </w:tc>
              <w:tc>
                <w:tcPr>
                  <w:tcW w:type="dxa" w:w="34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SPV CEO appointed by TS Industries</w:t>
                  </w:r>
                </w:p>
              </w:tc>
            </w:tr>
            <w:tr>
              <w:tc>
                <w:tcPr>
                  <w:tcW w:type="dxa" w:w="24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Project debt</w:t>
                  </w:r>
                </w:p>
              </w:tc>
              <w:tc>
                <w:tcPr>
                  <w:tcW w:type="dxa" w:w="34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Commercial bank + DFI debt at project level, not G.O.D.S Holdings level</w:t>
                  </w:r>
                </w:p>
              </w:tc>
              <w:tc>
                <w:tcPr>
                  <w:tcW w:type="dxa" w:w="34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G.O.D.S Holdings provides completion guarantee</w:t>
                  </w:r>
                </w:p>
              </w:tc>
            </w:tr>
            <w:tr>
              <w:tc>
                <w:tcPr>
                  <w:tcW w:type="dxa" w:w="24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Revenue</w:t>
                  </w:r>
                </w:p>
              </w:tc>
              <w:tc>
                <w:tcPr>
                  <w:tcW w:type="dxa" w:w="34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Project revenue (government contract, tariff, or commercial) flows to SPV first</w:t>
                  </w:r>
                </w:p>
              </w:tc>
              <w:tc>
                <w:tcPr>
                  <w:tcW w:type="dxa" w:w="34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TS Industries receives dividends from SPV profit</w:t>
                  </w:r>
                </w:p>
              </w:tc>
            </w:tr>
            <w:tr>
              <w:tc>
                <w:tcPr>
                  <w:tcW w:type="dxa" w:w="24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M.A.D.I.B.A role</w:t>
                  </w:r>
                </w:p>
              </w:tc>
              <w:tc>
                <w:tcPr>
                  <w:tcW w:type="dxa" w:w="34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M.A.D.I.B.A structures the equity and debt package, manages DFI relationships</w:t>
                  </w:r>
                </w:p>
              </w:tc>
              <w:tc>
                <w:tcPr>
                  <w:tcW w:type="dxa" w:w="34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M.A.D.I.B.A earns advisory and management fees</w:t>
                  </w:r>
                </w:p>
              </w:tc>
            </w:tr>
            <w:tr>
              <w:tc>
                <w:tcPr>
                  <w:tcW w:type="dxa" w:w="24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UDOC role</w:t>
                  </w:r>
                </w:p>
              </w:tc>
              <w:tc>
                <w:tcPr>
                  <w:tcW w:type="dxa" w:w="34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UDOC provides compliance reporting and audit infrastructure for SPV</w:t>
                  </w:r>
                </w:p>
              </w:tc>
              <w:tc>
                <w:tcPr>
                  <w:tcW w:type="dxa" w:w="34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UDOC earns SaaS contract from SPV</w:t>
                  </w:r>
                </w:p>
              </w:tc>
            </w:tr>
          </w:tbl>
          <w:p/>
        </w:tc>
      </w:tr>
    </w:tbl>
    <w:p>
      <w:pPr>
        <w:spacing w:before="80" w:after="80"/>
      </w:pPr>
      <w:r>
        <w:t xml:space="preserve"/>
      </w:r>
    </w:p>
    <w:p>
      <w:pPr>
        <w:pBdr>
          <w:bottom w:val="single" w:color="C9A84C" w:sz="4"/>
        </w:pBdr>
        <w:spacing w:before="120" w:after="120"/>
      </w:pPr>
    </w:p>
    <w:p>
      <w:pPr>
        <w:spacing w:before="80" w:after="80"/>
      </w:pPr>
      <w:r>
        <w:t xml:space="preserve"/>
      </w:r>
    </w:p>
    <w:p>
      <w:pPr>
        <w:spacing w:before="80" w:after="80"/>
        <w:jc w:val="center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T.S Infrastructure Blueprint — G.O.D.S Holdings</w:t>
      </w:r>
    </w:p>
    <w:p>
      <w:pPr>
        <w:spacing w:before="80" w:after="80"/>
        <w:jc w:val="center"/>
      </w:pPr>
      <w:r>
        <w:rPr>
          <w:rFonts w:ascii="Arial" w:cs="Arial" w:eastAsia="Arial" w:hAnsi="Arial"/>
          <w:b w:val="false"/>
          <w:bCs w:val="false"/>
          <w:color w:val="888888"/>
          <w:sz w:val="20"/>
          <w:szCs w:val="20"/>
        </w:rPr>
        <w:t xml:space="preserve">G.O.D.S Holdings | Johannesburg, South Africa | 2026</w:t>
      </w:r>
    </w:p>
    <w:p>
      <w:pPr>
        <w:spacing w:before="0" w:after="200"/>
        <w:jc w:val="center"/>
      </w:pPr>
      <w:r>
        <w:rPr>
          <w:rFonts w:ascii="Arial" w:cs="Arial" w:eastAsia="Arial" w:hAnsi="Arial"/>
          <w:i/>
          <w:iCs/>
          <w:color w:val="888888"/>
          <w:sz w:val="20"/>
          <w:szCs w:val="20"/>
        </w:rPr>
        <w:t xml:space="preserve">CONFIDENTIAL — For Institutional Review Only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2026-03-12T08:02:14.742Z</dcterms:created>
  <dcterms:modified xsi:type="dcterms:W3CDTF">2026-03-12T08:02:14.742Z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