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960" w:after="80"/>
        <w:jc w:val="center"/>
      </w:pPr>
      <w:r>
        <w:rPr>
          <w:rFonts w:ascii="Arial" w:cs="Arial" w:eastAsia="Arial" w:hAnsi="Arial"/>
          <w:b/>
          <w:bCs/>
          <w:color w:val="C9A84C"/>
          <w:sz w:val="80"/>
          <w:szCs w:val="80"/>
        </w:rPr>
        <w:t xml:space="preserve">UDOC</w:t>
      </w:r>
    </w:p>
    <w:p>
      <w:pPr>
        <w:spacing w:before="0" w:after="80"/>
        <w:jc w:val="center"/>
      </w:pPr>
      <w:r>
        <w:rPr>
          <w:rFonts w:ascii="Arial" w:cs="Arial" w:eastAsia="Arial" w:hAnsi="Arial"/>
          <w:b/>
          <w:bCs/>
          <w:color w:val="1A1A2E"/>
          <w:sz w:val="28"/>
          <w:szCs w:val="28"/>
        </w:rPr>
        <w:t xml:space="preserve">Unified Digital Oversight and Coordination</w:t>
      </w:r>
    </w:p>
    <w:p>
      <w:pPr>
        <w:spacing w:before="80" w:after="120"/>
        <w:jc w:val="center"/>
      </w:pPr>
      <w:r>
        <w:rPr>
          <w:rFonts w:ascii="Arial" w:cs="Arial" w:eastAsia="Arial" w:hAnsi="Arial"/>
          <w:color w:val="888888"/>
          <w:sz w:val="22"/>
          <w:szCs w:val="22"/>
        </w:rPr>
        <w:t xml:space="preserve">BUILD AND ROLLOUT PLAN — PHASES ONE THROUGH THREE</w:t>
      </w:r>
    </w:p>
    <w:p>
      <w:pPr>
        <w:pBdr>
          <w:bottom w:val="single" w:color="C9A84C" w:sz="4"/>
        </w:pBdr>
        <w:spacing w:before="120" w:after="120"/>
      </w:pPr>
    </w:p>
    <w:p>
      <w:pPr>
        <w:spacing w:before="200" w:after="60"/>
        <w:jc w:val="center"/>
      </w:pPr>
      <w:r>
        <w:rPr>
          <w:rFonts w:ascii="Arial" w:cs="Arial" w:eastAsia="Arial" w:hAnsi="Arial"/>
          <w:b/>
          <w:bCs/>
          <w:color w:val="0A0A0A"/>
          <w:sz w:val="24"/>
          <w:szCs w:val="24"/>
        </w:rPr>
        <w:t xml:space="preserve">Sovereign Digital Governance Infrastructure Division</w:t>
      </w:r>
    </w:p>
    <w:p>
      <w:pPr>
        <w:spacing w:before="0" w:after="400"/>
        <w:jc w:val="center"/>
      </w:pPr>
      <w:r>
        <w:rPr>
          <w:rFonts w:ascii="Arial" w:cs="Arial" w:eastAsia="Arial" w:hAnsi="Arial"/>
          <w:color w:val="888888"/>
          <w:sz w:val="20"/>
          <w:szCs w:val="20"/>
        </w:rPr>
        <w:t xml:space="preserve">A Division of G.O.D.S Holdings | Johannesburg, South Africa | 2026</w:t>
      </w:r>
    </w:p>
    <w:p>
      <w:r>
        <w:br w:type="page"/>
      </w:r>
    </w:p>
    <w:p>
      <w:pPr>
        <w:spacing w:before="400" w:after="160"/>
      </w:pPr>
      <w:r>
        <w:rPr>
          <w:rFonts w:ascii="Arial" w:cs="Arial" w:eastAsia="Arial" w:hAnsi="Arial"/>
          <w:b/>
          <w:bCs/>
          <w:color w:val="0A0A0A"/>
          <w:sz w:val="36"/>
          <w:szCs w:val="36"/>
        </w:rPr>
        <w:t xml:space="preserve">PART ONE — WHAT UDOC IS AND WHY IT MATTERS NOW</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The Governance Gap UDOC Fills</w:t>
      </w:r>
    </w:p>
    <w:p>
      <w:pPr>
        <w:spacing w:before="80" w:after="80"/>
      </w:pPr>
      <w:r>
        <w:rPr>
          <w:rFonts w:ascii="Arial" w:cs="Arial" w:eastAsia="Arial" w:hAnsi="Arial"/>
          <w:b w:val="false"/>
          <w:bCs w:val="false"/>
          <w:color w:val="111111"/>
          <w:sz w:val="22"/>
          <w:szCs w:val="22"/>
        </w:rPr>
        <w:t xml:space="preserve">AI deployment has outpaced AI governance globally. Enterprises, regulated industries, and governments are operating AI systems with no standardised framework for explainability, auditability, bias detection, or sovereign control. This creates three simultaneous crises: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Crisis 1: Regulatory Exposure</w:t>
            </w:r>
          </w:p>
          <w:p>
            <w:pPr>
              <w:spacing w:before="80" w:after="80"/>
            </w:pPr>
            <w:r>
              <w:rPr>
                <w:rFonts w:ascii="Arial" w:cs="Arial" w:eastAsia="Arial" w:hAnsi="Arial"/>
                <w:b w:val="false"/>
                <w:bCs w:val="false"/>
                <w:color w:val="111111"/>
                <w:sz w:val="22"/>
                <w:szCs w:val="22"/>
              </w:rPr>
              <w:t xml:space="preserve">The EU AI Act, the GDPR enforcement expansion, and emerging African Union AI governance frameworks are creating mandatory compliance requirements that current enterprise AI deployments cannot meet. Organisations face material regulatory risk — fines, operational shutdowns, reputational damage — from AI systems they cannot audit.</w:t>
            </w:r>
          </w:p>
          <w:p>
            <w:pPr>
              <w:spacing w:before="80" w:after="80"/>
            </w:pPr>
            <w:r>
              <w:t xml:space="preserve"/>
            </w:r>
          </w:p>
          <w:p>
            <w:pPr>
              <w:spacing w:before="200" w:after="80"/>
            </w:pPr>
            <w:r>
              <w:rPr>
                <w:rFonts w:ascii="Arial" w:cs="Arial" w:eastAsia="Arial" w:hAnsi="Arial"/>
                <w:b/>
                <w:bCs/>
                <w:color w:val="C9A84C"/>
                <w:sz w:val="24"/>
                <w:szCs w:val="24"/>
              </w:rPr>
              <w:t xml:space="preserve">Crisis 2: Institutional Trust Collapse</w:t>
            </w:r>
          </w:p>
          <w:p>
            <w:pPr>
              <w:spacing w:before="80" w:after="80"/>
            </w:pPr>
            <w:r>
              <w:rPr>
                <w:rFonts w:ascii="Arial" w:cs="Arial" w:eastAsia="Arial" w:hAnsi="Arial"/>
                <w:b w:val="false"/>
                <w:bCs w:val="false"/>
                <w:color w:val="111111"/>
                <w:sz w:val="22"/>
                <w:szCs w:val="22"/>
              </w:rPr>
              <w:t xml:space="preserve">Public trust in AI-assisted government decision-making is collapsing globally. Algorithmic bias in social welfare allocation, justice system risk scoring, and medical triage decisions is documented and legally challenged. Governments that cannot demonstrate transparent, auditable AI governance face both legal liability and political delegitimisation.</w:t>
            </w:r>
          </w:p>
          <w:p>
            <w:pPr>
              <w:spacing w:before="80" w:after="80"/>
            </w:pPr>
            <w:r>
              <w:t xml:space="preserve"/>
            </w:r>
          </w:p>
          <w:p>
            <w:pPr>
              <w:spacing w:before="200" w:after="80"/>
            </w:pPr>
            <w:r>
              <w:rPr>
                <w:rFonts w:ascii="Arial" w:cs="Arial" w:eastAsia="Arial" w:hAnsi="Arial"/>
                <w:b/>
                <w:bCs/>
                <w:color w:val="C9A84C"/>
                <w:sz w:val="24"/>
                <w:szCs w:val="24"/>
              </w:rPr>
              <w:t xml:space="preserve">Crisis 3: Digital Sovereignty Loss</w:t>
            </w:r>
          </w:p>
          <w:p>
            <w:pPr>
              <w:spacing w:before="80" w:after="80"/>
            </w:pPr>
            <w:r>
              <w:rPr>
                <w:rFonts w:ascii="Arial" w:cs="Arial" w:eastAsia="Arial" w:hAnsi="Arial"/>
                <w:b w:val="false"/>
                <w:bCs w:val="false"/>
                <w:color w:val="111111"/>
                <w:sz w:val="22"/>
                <w:szCs w:val="22"/>
              </w:rPr>
              <w:t xml:space="preserve">African governments — and emerging market governments broadly — are dependent on foreign-owned cloud infrastructure for core public functions: social welfare data, tax systems, biometric identity systems, and law enforcement databases. This creates structural national security risk. Any disruption to foreign cloud relationships threatens government operational continuity.</w:t>
            </w:r>
          </w:p>
        </w:tc>
      </w:tr>
    </w:tbl>
    <w:p>
      <w:pPr>
        <w:spacing w:before="80" w:after="80"/>
      </w:pPr>
      <w:r>
        <w:t xml:space="preserve"/>
      </w:r>
    </w:p>
    <w:p>
      <w:pPr>
        <w:spacing w:before="80" w:after="80"/>
      </w:pPr>
      <w:r>
        <w:rPr>
          <w:rFonts w:ascii="Arial" w:cs="Arial" w:eastAsia="Arial" w:hAnsi="Arial"/>
          <w:b w:val="false"/>
          <w:bCs w:val="false"/>
          <w:color w:val="111111"/>
          <w:sz w:val="22"/>
          <w:szCs w:val="22"/>
        </w:rPr>
        <w:t xml:space="preserve">UDOC is the infrastructure that closes all three crises simultaneously — commercially structured, revenue-generating, and scalable from enterprise SaaS to national digital backbone.</w:t>
      </w:r>
    </w:p>
    <w:p>
      <w:pPr>
        <w:spacing w:before="80" w:after="80"/>
      </w:pPr>
      <w:r>
        <w:t xml:space="preserve"/>
      </w:r>
    </w:p>
    <w:p>
      <w:pPr>
        <w:spacing w:before="280" w:after="120"/>
      </w:pPr>
      <w:r>
        <w:rPr>
          <w:rFonts w:ascii="Arial" w:cs="Arial" w:eastAsia="Arial" w:hAnsi="Arial"/>
          <w:b/>
          <w:bCs/>
          <w:color w:val="1A1A2E"/>
          <w:sz w:val="28"/>
          <w:szCs w:val="28"/>
        </w:rPr>
        <w:t xml:space="preserve">UDOC's Competitive Position</w:t>
      </w:r>
    </w:p>
    <w:p>
      <w:pPr>
        <w:spacing w:before="80" w:after="80"/>
      </w:pPr>
      <w:r>
        <w:rPr>
          <w:rFonts w:ascii="Arial" w:cs="Arial" w:eastAsia="Arial" w:hAnsi="Arial"/>
          <w:b w:val="false"/>
          <w:bCs w:val="false"/>
          <w:color w:val="111111"/>
          <w:sz w:val="22"/>
          <w:szCs w:val="22"/>
        </w:rPr>
        <w:t xml:space="preserve">UDOC is not competing with Palantir, Microsoft Azure, or AWS at the enterprise AI layer. It is building the governance and oversight layer that sits above all of them — the infrastructure that regulated industries and governments use to audit, control, and verify AI systems regardless of which vendor built them.</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1A1A2E" w:val="clear"/>
            <w:tcMar>
              <w:top w:type="dxa" w:w="200"/>
              <w:left w:type="dxa" w:w="300"/>
              <w:bottom w:type="dxa" w:w="200"/>
              <w:right w:type="dxa" w:w="300"/>
            </w:tcMar>
          </w:tcPr>
          <w:p>
            <w:pPr>
              <w:spacing w:before="80" w:after="60"/>
            </w:pPr>
            <w:r>
              <w:rPr>
                <w:rFonts w:ascii="Arial" w:cs="Arial" w:eastAsia="Arial" w:hAnsi="Arial"/>
                <w:b/>
                <w:bCs/>
                <w:i/>
                <w:iCs/>
                <w:color w:val="C9A84C"/>
                <w:sz w:val="24"/>
                <w:szCs w:val="24"/>
              </w:rPr>
              <w:t xml:space="preserve">UDOC is to AI governance what SWIFT is to financial transactions — the independent, auditable infrastructure layer that makes the underlying system trustworthy.</w:t>
            </w:r>
          </w:p>
        </w:tc>
      </w:tr>
    </w:tbl>
    <w:p>
      <w:r>
        <w:br w:type="page"/>
      </w:r>
    </w:p>
    <w:p>
      <w:pPr>
        <w:spacing w:before="400" w:after="160"/>
      </w:pPr>
      <w:r>
        <w:rPr>
          <w:rFonts w:ascii="Arial" w:cs="Arial" w:eastAsia="Arial" w:hAnsi="Arial"/>
          <w:b/>
          <w:bCs/>
          <w:color w:val="0A0A0A"/>
          <w:sz w:val="36"/>
          <w:szCs w:val="36"/>
        </w:rPr>
        <w:t xml:space="preserve">PART TWO — PHASE ONE: ENTERPRISE AI GOVERNANCE SAAS</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Build Timeline: Months 1–18</w:t>
      </w:r>
    </w:p>
    <w:p>
      <w:pPr>
        <w:spacing w:before="80" w:after="80"/>
      </w:pPr>
      <w:r>
        <w:rPr>
          <w:rFonts w:ascii="Arial" w:cs="Arial" w:eastAsia="Arial" w:hAnsi="Arial"/>
          <w:b w:val="false"/>
          <w:bCs w:val="false"/>
          <w:color w:val="111111"/>
          <w:sz w:val="22"/>
          <w:szCs w:val="22"/>
        </w:rPr>
        <w:t xml:space="preserve">Phase One is the commercial entry point. It is not the national system described in the whitepaper — that is Phase Three. Phase One is an enterprise SaaS product for regulated industries that need AI governance compliance now. This makes UDOC immediately revenue-generating while building the technical foundation for Phases Two and Three.</w:t>
      </w:r>
    </w:p>
    <w:p>
      <w:pPr>
        <w:spacing w:before="80" w:after="80"/>
      </w:pPr>
      <w:r>
        <w:t xml:space="preserve"/>
      </w:r>
    </w:p>
    <w:p>
      <w:pPr>
        <w:spacing w:before="280" w:after="120"/>
      </w:pPr>
      <w:r>
        <w:rPr>
          <w:rFonts w:ascii="Arial" w:cs="Arial" w:eastAsia="Arial" w:hAnsi="Arial"/>
          <w:b/>
          <w:bCs/>
          <w:color w:val="1A1A2E"/>
          <w:sz w:val="28"/>
          <w:szCs w:val="28"/>
        </w:rPr>
        <w:t xml:space="preserve">Phase One Product Architecture</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Module 1: AI Decision Audit Log</w:t>
            </w:r>
          </w:p>
          <w:p>
            <w:pPr>
              <w:spacing w:before="80" w:after="80"/>
            </w:pPr>
            <w:r>
              <w:rPr>
                <w:rFonts w:ascii="Arial" w:cs="Arial" w:eastAsia="Arial" w:hAnsi="Arial"/>
                <w:b w:val="false"/>
                <w:bCs w:val="false"/>
                <w:color w:val="111111"/>
                <w:sz w:val="22"/>
                <w:szCs w:val="22"/>
              </w:rPr>
              <w:t xml:space="preserve">Every decision made by an AI system within the client's environment is logged with full explainability metadata — input parameters, model version, decision output, confidence score, alternative outcomes considered, and timestamp. Logs are immutable, stored in UDOC's infrastructure (not the client's AI vendor), and independently accessible to compliance officers and regulators.</w:t>
            </w:r>
          </w:p>
          <w:p>
            <w:pPr>
              <w:pStyle w:val="ListParagraph"/>
              <w:numPr>
                <w:ilvl w:val="0"/>
                <w:numId w:val="2"/>
              </w:numPr>
              <w:spacing w:before="60" w:after="60"/>
            </w:pPr>
            <w:r>
              <w:rPr>
                <w:rFonts w:ascii="Arial" w:cs="Arial" w:eastAsia="Arial" w:hAnsi="Arial"/>
                <w:sz w:val="22"/>
                <w:szCs w:val="22"/>
              </w:rPr>
              <w:t xml:space="preserve">Real-time decision logging via API integration with client AI systems</w:t>
            </w:r>
          </w:p>
          <w:p>
            <w:pPr>
              <w:pStyle w:val="ListParagraph"/>
              <w:numPr>
                <w:ilvl w:val="0"/>
                <w:numId w:val="2"/>
              </w:numPr>
              <w:spacing w:before="60" w:after="60"/>
            </w:pPr>
            <w:r>
              <w:rPr>
                <w:rFonts w:ascii="Arial" w:cs="Arial" w:eastAsia="Arial" w:hAnsi="Arial"/>
                <w:sz w:val="22"/>
                <w:szCs w:val="22"/>
              </w:rPr>
              <w:t xml:space="preserve">Immutable audit trail — tamper-evident storage</w:t>
            </w:r>
          </w:p>
          <w:p>
            <w:pPr>
              <w:pStyle w:val="ListParagraph"/>
              <w:numPr>
                <w:ilvl w:val="0"/>
                <w:numId w:val="2"/>
              </w:numPr>
              <w:spacing w:before="60" w:after="60"/>
            </w:pPr>
            <w:r>
              <w:rPr>
                <w:rFonts w:ascii="Arial" w:cs="Arial" w:eastAsia="Arial" w:hAnsi="Arial"/>
                <w:sz w:val="22"/>
                <w:szCs w:val="22"/>
              </w:rPr>
              <w:t xml:space="preserve">Regulatory export formats: EU AI Act, GDPR, POPIA, sector-specific frameworks</w:t>
            </w:r>
          </w:p>
          <w:p>
            <w:pPr>
              <w:pStyle w:val="ListParagraph"/>
              <w:numPr>
                <w:ilvl w:val="0"/>
                <w:numId w:val="2"/>
              </w:numPr>
              <w:spacing w:before="60" w:after="60"/>
            </w:pPr>
            <w:r>
              <w:rPr>
                <w:rFonts w:ascii="Arial" w:cs="Arial" w:eastAsia="Arial" w:hAnsi="Arial"/>
                <w:sz w:val="22"/>
                <w:szCs w:val="22"/>
              </w:rPr>
              <w:t xml:space="preserve">Accessible via web dashboard and API</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Module 2: Bias Detection and Fairness Engine</w:t>
            </w:r>
          </w:p>
          <w:p>
            <w:pPr>
              <w:spacing w:before="80" w:after="80"/>
            </w:pPr>
            <w:r>
              <w:rPr>
                <w:rFonts w:ascii="Arial" w:cs="Arial" w:eastAsia="Arial" w:hAnsi="Arial"/>
                <w:b w:val="false"/>
                <w:bCs w:val="false"/>
                <w:color w:val="111111"/>
                <w:sz w:val="22"/>
                <w:szCs w:val="22"/>
              </w:rPr>
              <w:t xml:space="preserve">Continuous monitoring of AI decision outputs across protected characteristic groups — race, gender, age, disability, geographic location. Automated flagging of statistical disparities exceeding defined thresholds. Root-cause analysis reports generated automatically.</w:t>
            </w:r>
          </w:p>
          <w:p>
            <w:pPr>
              <w:pStyle w:val="ListParagraph"/>
              <w:numPr>
                <w:ilvl w:val="0"/>
                <w:numId w:val="2"/>
              </w:numPr>
              <w:spacing w:before="60" w:after="60"/>
            </w:pPr>
            <w:r>
              <w:rPr>
                <w:rFonts w:ascii="Arial" w:cs="Arial" w:eastAsia="Arial" w:hAnsi="Arial"/>
                <w:sz w:val="22"/>
                <w:szCs w:val="22"/>
              </w:rPr>
              <w:t xml:space="preserve">Configurable protected characteristic groups per client and jurisdiction</w:t>
            </w:r>
          </w:p>
          <w:p>
            <w:pPr>
              <w:pStyle w:val="ListParagraph"/>
              <w:numPr>
                <w:ilvl w:val="0"/>
                <w:numId w:val="2"/>
              </w:numPr>
              <w:spacing w:before="60" w:after="60"/>
            </w:pPr>
            <w:r>
              <w:rPr>
                <w:rFonts w:ascii="Arial" w:cs="Arial" w:eastAsia="Arial" w:hAnsi="Arial"/>
                <w:sz w:val="22"/>
                <w:szCs w:val="22"/>
              </w:rPr>
              <w:t xml:space="preserve">Statistical disparity detection across all decision categories</w:t>
            </w:r>
          </w:p>
          <w:p>
            <w:pPr>
              <w:pStyle w:val="ListParagraph"/>
              <w:numPr>
                <w:ilvl w:val="0"/>
                <w:numId w:val="2"/>
              </w:numPr>
              <w:spacing w:before="60" w:after="60"/>
            </w:pPr>
            <w:r>
              <w:rPr>
                <w:rFonts w:ascii="Arial" w:cs="Arial" w:eastAsia="Arial" w:hAnsi="Arial"/>
                <w:sz w:val="22"/>
                <w:szCs w:val="22"/>
              </w:rPr>
              <w:t xml:space="preserve">Automated escalation protocols when thresholds are exceeded</w:t>
            </w:r>
          </w:p>
          <w:p>
            <w:pPr>
              <w:pStyle w:val="ListParagraph"/>
              <w:numPr>
                <w:ilvl w:val="0"/>
                <w:numId w:val="2"/>
              </w:numPr>
              <w:spacing w:before="60" w:after="60"/>
            </w:pPr>
            <w:r>
              <w:rPr>
                <w:rFonts w:ascii="Arial" w:cs="Arial" w:eastAsia="Arial" w:hAnsi="Arial"/>
                <w:sz w:val="22"/>
                <w:szCs w:val="22"/>
              </w:rPr>
              <w:t xml:space="preserve">Remediation recommendation engine</w:t>
            </w:r>
          </w:p>
          <w:p>
            <w:pPr>
              <w:pStyle w:val="ListParagraph"/>
              <w:numPr>
                <w:ilvl w:val="0"/>
                <w:numId w:val="2"/>
              </w:numPr>
              <w:spacing w:before="60" w:after="60"/>
            </w:pPr>
            <w:r>
              <w:rPr>
                <w:rFonts w:ascii="Arial" w:cs="Arial" w:eastAsia="Arial" w:hAnsi="Arial"/>
                <w:sz w:val="22"/>
                <w:szCs w:val="22"/>
              </w:rPr>
              <w:t xml:space="preserve">Monthly fairness reports for board and regulatory submission</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Module 3: Model Registry and Version Control</w:t>
            </w:r>
          </w:p>
          <w:p>
            <w:pPr>
              <w:spacing w:before="80" w:after="80"/>
            </w:pPr>
            <w:r>
              <w:rPr>
                <w:rFonts w:ascii="Arial" w:cs="Arial" w:eastAsia="Arial" w:hAnsi="Arial"/>
                <w:b w:val="false"/>
                <w:bCs w:val="false"/>
                <w:color w:val="111111"/>
                <w:sz w:val="22"/>
                <w:szCs w:val="22"/>
              </w:rPr>
              <w:t xml:space="preserve">A governed registry of all AI models in use within the client's environment — including third-party models accessed via API. Every model is documented: vendor, version, training data description, known limitations, approved use cases, and review schedule. Model retirement and replacement workflows are governed through the registry.</w:t>
            </w:r>
          </w:p>
          <w:p>
            <w:pPr>
              <w:pStyle w:val="ListParagraph"/>
              <w:numPr>
                <w:ilvl w:val="0"/>
                <w:numId w:val="2"/>
              </w:numPr>
              <w:spacing w:before="60" w:after="60"/>
            </w:pPr>
            <w:r>
              <w:rPr>
                <w:rFonts w:ascii="Arial" w:cs="Arial" w:eastAsia="Arial" w:hAnsi="Arial"/>
                <w:sz w:val="22"/>
                <w:szCs w:val="22"/>
              </w:rPr>
              <w:t xml:space="preserve">Full inventory of deployed AI models and integrations</w:t>
            </w:r>
          </w:p>
          <w:p>
            <w:pPr>
              <w:pStyle w:val="ListParagraph"/>
              <w:numPr>
                <w:ilvl w:val="0"/>
                <w:numId w:val="2"/>
              </w:numPr>
              <w:spacing w:before="60" w:after="60"/>
            </w:pPr>
            <w:r>
              <w:rPr>
                <w:rFonts w:ascii="Arial" w:cs="Arial" w:eastAsia="Arial" w:hAnsi="Arial"/>
                <w:sz w:val="22"/>
                <w:szCs w:val="22"/>
              </w:rPr>
              <w:t xml:space="preserve">Vendor assessment framework with risk scoring</w:t>
            </w:r>
          </w:p>
          <w:p>
            <w:pPr>
              <w:pStyle w:val="ListParagraph"/>
              <w:numPr>
                <w:ilvl w:val="0"/>
                <w:numId w:val="2"/>
              </w:numPr>
              <w:spacing w:before="60" w:after="60"/>
            </w:pPr>
            <w:r>
              <w:rPr>
                <w:rFonts w:ascii="Arial" w:cs="Arial" w:eastAsia="Arial" w:hAnsi="Arial"/>
                <w:sz w:val="22"/>
                <w:szCs w:val="22"/>
              </w:rPr>
              <w:t xml:space="preserve">Approval workflow for new model deployment</w:t>
            </w:r>
          </w:p>
          <w:p>
            <w:pPr>
              <w:pStyle w:val="ListParagraph"/>
              <w:numPr>
                <w:ilvl w:val="0"/>
                <w:numId w:val="2"/>
              </w:numPr>
              <w:spacing w:before="60" w:after="60"/>
            </w:pPr>
            <w:r>
              <w:rPr>
                <w:rFonts w:ascii="Arial" w:cs="Arial" w:eastAsia="Arial" w:hAnsi="Arial"/>
                <w:sz w:val="22"/>
                <w:szCs w:val="22"/>
              </w:rPr>
              <w:t xml:space="preserve">Deprecation and replacement tracking</w:t>
            </w:r>
          </w:p>
          <w:p>
            <w:pPr>
              <w:pStyle w:val="ListParagraph"/>
              <w:numPr>
                <w:ilvl w:val="0"/>
                <w:numId w:val="2"/>
              </w:numPr>
              <w:spacing w:before="60" w:after="60"/>
            </w:pPr>
            <w:r>
              <w:rPr>
                <w:rFonts w:ascii="Arial" w:cs="Arial" w:eastAsia="Arial" w:hAnsi="Arial"/>
                <w:sz w:val="22"/>
                <w:szCs w:val="22"/>
              </w:rPr>
              <w:t xml:space="preserve">Integration with procurement systems for vendor accountability</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Module 4: Incident Response and Escalation</w:t>
            </w:r>
          </w:p>
          <w:p>
            <w:pPr>
              <w:spacing w:before="80" w:after="80"/>
            </w:pPr>
            <w:r>
              <w:rPr>
                <w:rFonts w:ascii="Arial" w:cs="Arial" w:eastAsia="Arial" w:hAnsi="Arial"/>
                <w:b w:val="false"/>
                <w:bCs w:val="false"/>
                <w:color w:val="111111"/>
                <w:sz w:val="22"/>
                <w:szCs w:val="22"/>
              </w:rPr>
              <w:t xml:space="preserve">When AI systems produce decisions that trigger governance alerts — bias threshold breach, confidence below minimum, regulatory flag, or manual review request — UDOC's incident management system activates. Structured escalation to defined review authorities. Full documentation of investigation, response, and resolution.</w:t>
            </w:r>
          </w:p>
          <w:p>
            <w:pPr>
              <w:pStyle w:val="ListParagraph"/>
              <w:numPr>
                <w:ilvl w:val="0"/>
                <w:numId w:val="2"/>
              </w:numPr>
              <w:spacing w:before="60" w:after="60"/>
            </w:pPr>
            <w:r>
              <w:rPr>
                <w:rFonts w:ascii="Arial" w:cs="Arial" w:eastAsia="Arial" w:hAnsi="Arial"/>
                <w:sz w:val="22"/>
                <w:szCs w:val="22"/>
              </w:rPr>
              <w:t xml:space="preserve">Configurable alert triggers per module and risk category</w:t>
            </w:r>
          </w:p>
          <w:p>
            <w:pPr>
              <w:pStyle w:val="ListParagraph"/>
              <w:numPr>
                <w:ilvl w:val="0"/>
                <w:numId w:val="2"/>
              </w:numPr>
              <w:spacing w:before="60" w:after="60"/>
            </w:pPr>
            <w:r>
              <w:rPr>
                <w:rFonts w:ascii="Arial" w:cs="Arial" w:eastAsia="Arial" w:hAnsi="Arial"/>
                <w:sz w:val="22"/>
                <w:szCs w:val="22"/>
              </w:rPr>
              <w:t xml:space="preserve">Multi-tier escalation workflow: automated → human review → executive → regulatory notification</w:t>
            </w:r>
          </w:p>
          <w:p>
            <w:pPr>
              <w:pStyle w:val="ListParagraph"/>
              <w:numPr>
                <w:ilvl w:val="0"/>
                <w:numId w:val="2"/>
              </w:numPr>
              <w:spacing w:before="60" w:after="60"/>
            </w:pPr>
            <w:r>
              <w:rPr>
                <w:rFonts w:ascii="Arial" w:cs="Arial" w:eastAsia="Arial" w:hAnsi="Arial"/>
                <w:sz w:val="22"/>
                <w:szCs w:val="22"/>
              </w:rPr>
              <w:t xml:space="preserve">Investigation case management with full audit trail</w:t>
            </w:r>
          </w:p>
          <w:p>
            <w:pPr>
              <w:pStyle w:val="ListParagraph"/>
              <w:numPr>
                <w:ilvl w:val="0"/>
                <w:numId w:val="2"/>
              </w:numPr>
              <w:spacing w:before="60" w:after="60"/>
            </w:pPr>
            <w:r>
              <w:rPr>
                <w:rFonts w:ascii="Arial" w:cs="Arial" w:eastAsia="Arial" w:hAnsi="Arial"/>
                <w:sz w:val="22"/>
                <w:szCs w:val="22"/>
              </w:rPr>
              <w:t xml:space="preserve">Regulatory notification templates for mandatory disclosure requirements</w:t>
            </w:r>
          </w:p>
          <w:p>
            <w:pPr>
              <w:pStyle w:val="ListParagraph"/>
              <w:numPr>
                <w:ilvl w:val="0"/>
                <w:numId w:val="2"/>
              </w:numPr>
              <w:spacing w:before="60" w:after="60"/>
            </w:pPr>
            <w:r>
              <w:rPr>
                <w:rFonts w:ascii="Arial" w:cs="Arial" w:eastAsia="Arial" w:hAnsi="Arial"/>
                <w:sz w:val="22"/>
                <w:szCs w:val="22"/>
              </w:rPr>
              <w:t xml:space="preserve">Post-incident analysis and remediation tracking</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Module 5: Compliance Reporting Dashboard</w:t>
            </w:r>
          </w:p>
          <w:p>
            <w:pPr>
              <w:spacing w:before="80" w:after="80"/>
            </w:pPr>
            <w:r>
              <w:rPr>
                <w:rFonts w:ascii="Arial" w:cs="Arial" w:eastAsia="Arial" w:hAnsi="Arial"/>
                <w:b w:val="false"/>
                <w:bCs w:val="false"/>
                <w:color w:val="111111"/>
                <w:sz w:val="22"/>
                <w:szCs w:val="22"/>
              </w:rPr>
              <w:t xml:space="preserve">The client-facing reporting layer. Real-time compliance status across all active regulatory frameworks. Automated report generation for board, audit committee, and regulator submission. Historical trend analysis.</w:t>
            </w:r>
          </w:p>
          <w:p>
            <w:pPr>
              <w:pStyle w:val="ListParagraph"/>
              <w:numPr>
                <w:ilvl w:val="0"/>
                <w:numId w:val="2"/>
              </w:numPr>
              <w:spacing w:before="60" w:after="60"/>
            </w:pPr>
            <w:r>
              <w:rPr>
                <w:rFonts w:ascii="Arial" w:cs="Arial" w:eastAsia="Arial" w:hAnsi="Arial"/>
                <w:sz w:val="22"/>
                <w:szCs w:val="22"/>
              </w:rPr>
              <w:t xml:space="preserve">Framework-specific compliance status (EU AI Act, GDPR, POPIA, FSCA, NHI)</w:t>
            </w:r>
          </w:p>
          <w:p>
            <w:pPr>
              <w:pStyle w:val="ListParagraph"/>
              <w:numPr>
                <w:ilvl w:val="0"/>
                <w:numId w:val="2"/>
              </w:numPr>
              <w:spacing w:before="60" w:after="60"/>
            </w:pPr>
            <w:r>
              <w:rPr>
                <w:rFonts w:ascii="Arial" w:cs="Arial" w:eastAsia="Arial" w:hAnsi="Arial"/>
                <w:sz w:val="22"/>
                <w:szCs w:val="22"/>
              </w:rPr>
              <w:t xml:space="preserve">Automated monthly, quarterly, and annual report generation</w:t>
            </w:r>
          </w:p>
          <w:p>
            <w:pPr>
              <w:pStyle w:val="ListParagraph"/>
              <w:numPr>
                <w:ilvl w:val="0"/>
                <w:numId w:val="2"/>
              </w:numPr>
              <w:spacing w:before="60" w:after="60"/>
            </w:pPr>
            <w:r>
              <w:rPr>
                <w:rFonts w:ascii="Arial" w:cs="Arial" w:eastAsia="Arial" w:hAnsi="Arial"/>
                <w:sz w:val="22"/>
                <w:szCs w:val="22"/>
              </w:rPr>
              <w:t xml:space="preserve">Board-ready executive summary outputs</w:t>
            </w:r>
          </w:p>
          <w:p>
            <w:pPr>
              <w:pStyle w:val="ListParagraph"/>
              <w:numPr>
                <w:ilvl w:val="0"/>
                <w:numId w:val="2"/>
              </w:numPr>
              <w:spacing w:before="60" w:after="60"/>
            </w:pPr>
            <w:r>
              <w:rPr>
                <w:rFonts w:ascii="Arial" w:cs="Arial" w:eastAsia="Arial" w:hAnsi="Arial"/>
                <w:sz w:val="22"/>
                <w:szCs w:val="22"/>
              </w:rPr>
              <w:t xml:space="preserve">Regulator submission formats with one-click export</w:t>
            </w:r>
          </w:p>
          <w:p>
            <w:pPr>
              <w:pStyle w:val="ListParagraph"/>
              <w:numPr>
                <w:ilvl w:val="0"/>
                <w:numId w:val="2"/>
              </w:numPr>
              <w:spacing w:before="60" w:after="60"/>
            </w:pPr>
            <w:r>
              <w:rPr>
                <w:rFonts w:ascii="Arial" w:cs="Arial" w:eastAsia="Arial" w:hAnsi="Arial"/>
                <w:sz w:val="22"/>
                <w:szCs w:val="22"/>
              </w:rPr>
              <w:t xml:space="preserve">Custom KPI dashboards per stakeholder type</w:t>
            </w:r>
          </w:p>
        </w:tc>
      </w:tr>
    </w:tbl>
    <w:p>
      <w:pPr>
        <w:spacing w:before="80" w:after="80"/>
      </w:pPr>
      <w:r>
        <w:t xml:space="preserve"/>
      </w:r>
    </w:p>
    <w:p>
      <w:pPr>
        <w:spacing w:before="280" w:after="120"/>
      </w:pPr>
      <w:r>
        <w:rPr>
          <w:rFonts w:ascii="Arial" w:cs="Arial" w:eastAsia="Arial" w:hAnsi="Arial"/>
          <w:b/>
          <w:bCs/>
          <w:color w:val="1A1A2E"/>
          <w:sz w:val="28"/>
          <w:szCs w:val="28"/>
        </w:rPr>
        <w:t xml:space="preserve">Phase One Technical Stack</w:t>
      </w:r>
    </w:p>
    <w:p>
      <w:pPr>
        <w:spacing w:before="80" w:after="80"/>
      </w:pPr>
      <w:r>
        <w:rPr>
          <w:rFonts w:ascii="Arial" w:cs="Arial" w:eastAsia="Arial" w:hAnsi="Arial"/>
          <w:b w:val="false"/>
          <w:bCs w:val="false"/>
          <w:color w:val="111111"/>
          <w:sz w:val="22"/>
          <w:szCs w:val="22"/>
        </w:rPr>
        <w:t xml:space="preserve">Phase One is built on commercially available, open-source, and proven enterprise infrastructure — not experimental technology. The decision to avoid bespoke or cutting-edge dependencies at Phase One is deliberate: it reduces build time, reduces engineering risk, and produces a more defensible audit trail.</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Layer</w:t>
            </w:r>
          </w:p>
        </w:tc>
        <w:tc>
          <w:tcPr>
            <w:tcW w:type="dxa" w:w="34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Technology</w:t>
            </w:r>
          </w:p>
        </w:tc>
        <w:tc>
          <w:tcPr>
            <w:tcW w:type="dxa" w:w="34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Rationale</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Cloud Infrastructure (Phase 1)</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color w:val="C9A84C"/>
                <w:sz w:val="20"/>
                <w:szCs w:val="20"/>
              </w:rPr>
              <w:t xml:space="preserve">AWS / Azure South Africa region</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GDPR and POPIA compliant. Local data residency. Proven enterprise reliability.</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Cloud Infrastructure (Phase 2-3)</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color w:val="C9A84C"/>
                <w:sz w:val="20"/>
                <w:szCs w:val="20"/>
              </w:rPr>
              <w:t xml:space="preserve">South Africa sovereign infrastructure / Huawei Cloud Africa</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Moves toward digital sovereignty. Reduces foreign dependency.</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API Gateway</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color w:val="C9A84C"/>
                <w:sz w:val="20"/>
                <w:szCs w:val="20"/>
              </w:rPr>
              <w:t xml:space="preserve">AWS API Gateway / Kong</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Industry standard. Proven scale. Developer ecosystem.</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Audit Log Storage</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color w:val="C9A84C"/>
                <w:sz w:val="20"/>
                <w:szCs w:val="20"/>
              </w:rPr>
              <w:t xml:space="preserve">Apache Kafka + Amazon S3 with object lock</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Immutable, tamper-evident storage. Regulatory standard.</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Bias Detection Engine</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color w:val="C9A84C"/>
                <w:sz w:val="20"/>
                <w:szCs w:val="20"/>
              </w:rPr>
              <w:t xml:space="preserve">IBM Fairness 360 + custom ML models</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Open source foundation. Extensible. Audit-ready.</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Frontend Dashboard</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color w:val="C9A84C"/>
                <w:sz w:val="20"/>
                <w:szCs w:val="20"/>
              </w:rPr>
              <w:t xml:space="preserve">React.js + TypeScript</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Enterprise standard. Security vetted. Accessible.</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Database</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color w:val="C9A84C"/>
                <w:sz w:val="20"/>
                <w:szCs w:val="20"/>
              </w:rPr>
              <w:t xml:space="preserve">PostgreSQL (relational) + MongoDB (document)</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Proven. POPIA-compliant. South Africa hosted.</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Encryption (Phase 1)</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color w:val="C9A84C"/>
                <w:sz w:val="20"/>
                <w:szCs w:val="20"/>
              </w:rPr>
              <w:t xml:space="preserve">AES-256 + TLS 1.3</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Current regulatory standard. NIST compliant.</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Encryption (Phase 3)</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color w:val="C9A84C"/>
                <w:sz w:val="20"/>
                <w:szCs w:val="20"/>
              </w:rPr>
              <w:t xml:space="preserve">Post-quantum cryptography (CRYSTALS-Kyber)</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Quantum-ready. Future-proof. Government-grade.</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Identity and Access</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color w:val="C9A84C"/>
                <w:sz w:val="20"/>
                <w:szCs w:val="20"/>
              </w:rPr>
              <w:t xml:space="preserve">Auth0 / AWS Cognito</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Zero-trust architecture. MFA enforced. SOC2 compliant.</w:t>
            </w:r>
          </w:p>
        </w:tc>
      </w:tr>
    </w:tbl>
    <w:p>
      <w:pPr>
        <w:spacing w:before="80" w:after="80"/>
      </w:pPr>
      <w:r>
        <w:t xml:space="preserve"/>
      </w:r>
    </w:p>
    <w:p>
      <w:pPr>
        <w:spacing w:before="280" w:after="120"/>
      </w:pPr>
      <w:r>
        <w:rPr>
          <w:rFonts w:ascii="Arial" w:cs="Arial" w:eastAsia="Arial" w:hAnsi="Arial"/>
          <w:b/>
          <w:bCs/>
          <w:color w:val="1A1A2E"/>
          <w:sz w:val="28"/>
          <w:szCs w:val="28"/>
        </w:rPr>
        <w:t xml:space="preserve">Phase One Engineering Team — Build Requirements</w:t>
      </w:r>
    </w:p>
    <w:p>
      <w:pPr>
        <w:spacing w:before="80" w:after="80"/>
      </w:pPr>
      <w:r>
        <w:rPr>
          <w:rFonts w:ascii="Arial" w:cs="Arial" w:eastAsia="Arial" w:hAnsi="Arial"/>
          <w:b w:val="false"/>
          <w:bCs w:val="false"/>
          <w:color w:val="111111"/>
          <w:sz w:val="22"/>
          <w:szCs w:val="22"/>
        </w:rPr>
        <w:t xml:space="preserve">Phase One requires a focused engineering team of 12–18 people across a 12-month build timeline. This is achievable with South African engineering talent — UDOC does not require Silicon Valley salaries or US-based engineering.</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1200"/>
        <w:gridCol w:w="1200"/>
        <w:gridCol w:w="3760"/>
      </w:tblGrid>
      <w:tr>
        <w:tc>
          <w:tcPr>
            <w:tcW w:type="dxa" w:w="3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Role</w:t>
            </w:r>
          </w:p>
        </w:tc>
        <w:tc>
          <w:tcPr>
            <w:tcW w:type="dxa" w:w="1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Phase 1 FTE</w:t>
            </w:r>
          </w:p>
        </w:tc>
        <w:tc>
          <w:tcPr>
            <w:tcW w:type="dxa" w:w="1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Phase 2 FTE</w:t>
            </w:r>
          </w:p>
        </w:tc>
        <w:tc>
          <w:tcPr>
            <w:tcW w:type="dxa" w:w="37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Key Skills Required</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CTO / Head of Engineering</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b/>
                <w:bCs/>
                <w:color w:val="C9A84C"/>
                <w:sz w:val="20"/>
                <w:szCs w:val="20"/>
              </w:rPr>
              <w:t xml:space="preserve">1</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sz w:val="20"/>
                <w:szCs w:val="20"/>
              </w:rPr>
              <w:t xml:space="preserve">1</w:t>
            </w:r>
          </w:p>
        </w:tc>
        <w:tc>
          <w:tcPr>
            <w:tcW w:type="dxa" w:w="3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Enterprise SaaS architecture. AI systems integration. Security engineering.</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Backend Engineers (Python/Node)</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b/>
                <w:bCs/>
                <w:color w:val="C9A84C"/>
                <w:sz w:val="20"/>
                <w:szCs w:val="20"/>
              </w:rPr>
              <w:t xml:space="preserve">3</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sz w:val="20"/>
                <w:szCs w:val="20"/>
              </w:rPr>
              <w:t xml:space="preserve">8</w:t>
            </w:r>
          </w:p>
        </w:tc>
        <w:tc>
          <w:tcPr>
            <w:tcW w:type="dxa" w:w="3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API development. Kafka/messaging systems. Database design. POPIA compliance.</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Frontend Engineers (React)</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b/>
                <w:bCs/>
                <w:color w:val="C9A84C"/>
                <w:sz w:val="20"/>
                <w:szCs w:val="20"/>
              </w:rPr>
              <w:t xml:space="preserve">2</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sz w:val="20"/>
                <w:szCs w:val="20"/>
              </w:rPr>
              <w:t xml:space="preserve">4</w:t>
            </w:r>
          </w:p>
        </w:tc>
        <w:tc>
          <w:tcPr>
            <w:tcW w:type="dxa" w:w="3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Dashboard development. Data visualisation. Accessibility compliance.</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ML / AI Integration Engineers</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b/>
                <w:bCs/>
                <w:color w:val="C9A84C"/>
                <w:sz w:val="20"/>
                <w:szCs w:val="20"/>
              </w:rPr>
              <w:t xml:space="preserve">2</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sz w:val="20"/>
                <w:szCs w:val="20"/>
              </w:rPr>
              <w:t xml:space="preserve">5</w:t>
            </w:r>
          </w:p>
        </w:tc>
        <w:tc>
          <w:tcPr>
            <w:tcW w:type="dxa" w:w="3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Bias detection algorithms. Model explainability. AI API integration.</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Security Engineers</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b/>
                <w:bCs/>
                <w:color w:val="C9A84C"/>
                <w:sz w:val="20"/>
                <w:szCs w:val="20"/>
              </w:rPr>
              <w:t xml:space="preserve">1</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sz w:val="20"/>
                <w:szCs w:val="20"/>
              </w:rPr>
              <w:t xml:space="preserve">3</w:t>
            </w:r>
          </w:p>
        </w:tc>
        <w:tc>
          <w:tcPr>
            <w:tcW w:type="dxa" w:w="3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Zero-trust architecture. Encryption implementation. Penetration testing.</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DevOps / Cloud Engineers</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b/>
                <w:bCs/>
                <w:color w:val="C9A84C"/>
                <w:sz w:val="20"/>
                <w:szCs w:val="20"/>
              </w:rPr>
              <w:t xml:space="preserve">2</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sz w:val="20"/>
                <w:szCs w:val="20"/>
              </w:rPr>
              <w:t xml:space="preserve">4</w:t>
            </w:r>
          </w:p>
        </w:tc>
        <w:tc>
          <w:tcPr>
            <w:tcW w:type="dxa" w:w="3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AWS/Azure deployment. CI/CD pipelines. Infrastructure as code.</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QA / Test Engineers</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b/>
                <w:bCs/>
                <w:color w:val="C9A84C"/>
                <w:sz w:val="20"/>
                <w:szCs w:val="20"/>
              </w:rPr>
              <w:t xml:space="preserve">1</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sz w:val="20"/>
                <w:szCs w:val="20"/>
              </w:rPr>
              <w:t xml:space="preserve">3</w:t>
            </w:r>
          </w:p>
        </w:tc>
        <w:tc>
          <w:tcPr>
            <w:tcW w:type="dxa" w:w="3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Automated testing. Compliance test frameworks. Regression testing.</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Compliance / Regulatory Specialist</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b/>
                <w:bCs/>
                <w:color w:val="C9A84C"/>
                <w:sz w:val="20"/>
                <w:szCs w:val="20"/>
              </w:rPr>
              <w:t xml:space="preserve">1</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sz w:val="20"/>
                <w:szCs w:val="20"/>
              </w:rPr>
              <w:t xml:space="preserve">2</w:t>
            </w:r>
          </w:p>
        </w:tc>
        <w:tc>
          <w:tcPr>
            <w:tcW w:type="dxa" w:w="3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EU AI Act, GDPR, POPIA expertise. Regulatory framework mapping.</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Product Manager</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b/>
                <w:bCs/>
                <w:color w:val="C9A84C"/>
                <w:sz w:val="20"/>
                <w:szCs w:val="20"/>
              </w:rPr>
              <w:t xml:space="preserve">1</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sz w:val="20"/>
                <w:szCs w:val="20"/>
              </w:rPr>
              <w:t xml:space="preserve">2</w:t>
            </w:r>
          </w:p>
        </w:tc>
        <w:tc>
          <w:tcPr>
            <w:tcW w:type="dxa" w:w="3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Enterprise SaaS product management. Client requirements. Roadmap.</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Technical Project Manager</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b/>
                <w:bCs/>
                <w:color w:val="C9A84C"/>
                <w:sz w:val="20"/>
                <w:szCs w:val="20"/>
              </w:rPr>
              <w:t xml:space="preserve">1</w:t>
            </w:r>
          </w:p>
        </w:tc>
        <w:tc>
          <w:tcPr>
            <w:tcW w:type="dxa" w:w="1200"/>
            <w:tcBorders>
              <w:top w:val="single" w:color="C9A84C" w:sz="1"/>
              <w:left w:val="single" w:color="C9A84C" w:sz="1"/>
              <w:bottom w:val="single" w:color="C9A84C" w:sz="1"/>
              <w:right w:val="single" w:color="C9A84C" w:sz="1"/>
            </w:tcBorders>
            <w:tcMar>
              <w:top w:type="dxa" w:w="80"/>
              <w:left w:type="dxa" w:w="120"/>
              <w:bottom w:type="dxa" w:w="80"/>
              <w:right w:type="dxa" w:w="120"/>
            </w:tcMar>
          </w:tcPr>
          <w:p>
            <w:pPr>
              <w:jc w:val="center"/>
            </w:pPr>
            <w:r>
              <w:rPr>
                <w:rFonts w:ascii="Arial" w:cs="Arial" w:eastAsia="Arial" w:hAnsi="Arial"/>
                <w:sz w:val="20"/>
                <w:szCs w:val="20"/>
              </w:rPr>
              <w:t xml:space="preserve">1</w:t>
            </w:r>
          </w:p>
        </w:tc>
        <w:tc>
          <w:tcPr>
            <w:tcW w:type="dxa" w:w="3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Delivery management. Risk management. Stakeholder reporting.</w:t>
            </w:r>
          </w:p>
        </w:tc>
      </w:tr>
    </w:tbl>
    <w:p>
      <w:pPr>
        <w:spacing w:before="80" w:after="80"/>
      </w:pPr>
      <w:r>
        <w:t xml:space="preserve"/>
      </w:r>
    </w:p>
    <w:p>
      <w:pPr>
        <w:spacing w:before="280" w:after="120"/>
      </w:pPr>
      <w:r>
        <w:rPr>
          <w:rFonts w:ascii="Arial" w:cs="Arial" w:eastAsia="Arial" w:hAnsi="Arial"/>
          <w:b/>
          <w:bCs/>
          <w:color w:val="1A1A2E"/>
          <w:sz w:val="28"/>
          <w:szCs w:val="28"/>
        </w:rPr>
        <w:t xml:space="preserve">Phase One Go-to-Market Strategy</w:t>
      </w:r>
    </w:p>
    <w:p>
      <w:pPr>
        <w:spacing w:before="80" w:after="80"/>
      </w:pPr>
      <w:r>
        <w:rPr>
          <w:rFonts w:ascii="Arial" w:cs="Arial" w:eastAsia="Arial" w:hAnsi="Arial"/>
          <w:b w:val="false"/>
          <w:bCs w:val="false"/>
          <w:color w:val="111111"/>
          <w:sz w:val="22"/>
          <w:szCs w:val="22"/>
        </w:rPr>
        <w:t xml:space="preserve">Phase One targets three specific regulated industry verticals in South Africa first — financial services, healthcare, and legal. These verticals have the highest regulatory compliance pressure, the largest AI deployment, and the most pressing governance gaps.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Target Clients — Priority Order</w:t>
            </w:r>
          </w:p>
          <w:p>
            <w:pPr>
              <w:pStyle w:val="ListParagraph"/>
              <w:numPr>
                <w:ilvl w:val="0"/>
                <w:numId w:val="2"/>
              </w:numPr>
              <w:spacing w:before="60" w:after="60"/>
            </w:pPr>
            <w:r>
              <w:rPr>
                <w:rFonts w:ascii="Arial" w:cs="Arial" w:eastAsia="Arial" w:hAnsi="Arial"/>
                <w:sz w:val="22"/>
                <w:szCs w:val="22"/>
              </w:rPr>
              <w:t xml:space="preserve">Tier 1 Financial Services: JSE-listed banks and insurers deploying AI in credit scoring, fraud detection, and customer service (FNB, Standard Bank, Discovery, OUTsurance)</w:t>
            </w:r>
          </w:p>
          <w:p>
            <w:pPr>
              <w:pStyle w:val="ListParagraph"/>
              <w:numPr>
                <w:ilvl w:val="0"/>
                <w:numId w:val="2"/>
              </w:numPr>
              <w:spacing w:before="60" w:after="60"/>
            </w:pPr>
            <w:r>
              <w:rPr>
                <w:rFonts w:ascii="Arial" w:cs="Arial" w:eastAsia="Arial" w:hAnsi="Arial"/>
                <w:sz w:val="22"/>
                <w:szCs w:val="22"/>
              </w:rPr>
              <w:t xml:space="preserve">Tier 2 Healthcare: Private hospital groups and medical schemes using AI in patient triage, claims processing, and diagnostic support (Netcare, Mediclinic, Discovery Health)</w:t>
            </w:r>
          </w:p>
          <w:p>
            <w:pPr>
              <w:pStyle w:val="ListParagraph"/>
              <w:numPr>
                <w:ilvl w:val="0"/>
                <w:numId w:val="2"/>
              </w:numPr>
              <w:spacing w:before="60" w:after="60"/>
            </w:pPr>
            <w:r>
              <w:rPr>
                <w:rFonts w:ascii="Arial" w:cs="Arial" w:eastAsia="Arial" w:hAnsi="Arial"/>
                <w:sz w:val="22"/>
                <w:szCs w:val="22"/>
              </w:rPr>
              <w:t xml:space="preserve">Tier 3 Legal / Professional Services: Large law firms and auditing firms using AI in document analysis, compliance review, and risk assessment</w:t>
            </w:r>
          </w:p>
          <w:p>
            <w:pPr>
              <w:pStyle w:val="ListParagraph"/>
              <w:numPr>
                <w:ilvl w:val="0"/>
                <w:numId w:val="2"/>
              </w:numPr>
              <w:spacing w:before="60" w:after="60"/>
            </w:pPr>
            <w:r>
              <w:rPr>
                <w:rFonts w:ascii="Arial" w:cs="Arial" w:eastAsia="Arial" w:hAnsi="Arial"/>
                <w:sz w:val="22"/>
                <w:szCs w:val="22"/>
              </w:rPr>
              <w:t xml:space="preserve">Phase One Government Pilot: National Treasury or SARS — single department AI governance deployment to begin the government track</w:t>
            </w:r>
          </w:p>
          <w:p>
            <w:pPr>
              <w:spacing w:before="80" w:after="80"/>
            </w:pPr>
            <w:r>
              <w:t xml:space="preserve"/>
            </w:r>
          </w:p>
          <w:p>
            <w:pPr>
              <w:spacing w:before="200" w:after="80"/>
            </w:pPr>
            <w:r>
              <w:rPr>
                <w:rFonts w:ascii="Arial" w:cs="Arial" w:eastAsia="Arial" w:hAnsi="Arial"/>
                <w:b/>
                <w:bCs/>
                <w:color w:val="C9A84C"/>
                <w:sz w:val="24"/>
                <w:szCs w:val="24"/>
              </w:rPr>
              <w:t xml:space="preserve">Pricing Architecture</w:t>
            </w:r>
          </w:p>
          <w:p>
            <w:pPr>
              <w:pStyle w:val="ListParagraph"/>
              <w:numPr>
                <w:ilvl w:val="0"/>
                <w:numId w:val="2"/>
              </w:numPr>
              <w:spacing w:before="60" w:after="60"/>
            </w:pPr>
            <w:r>
              <w:rPr>
                <w:rFonts w:ascii="Arial" w:cs="Arial" w:eastAsia="Arial" w:hAnsi="Arial"/>
                <w:sz w:val="22"/>
                <w:szCs w:val="22"/>
              </w:rPr>
              <w:t xml:space="preserve">Enterprise SaaS: R85,000–R250,000 per month depending on AI system volume and module selection</w:t>
            </w:r>
          </w:p>
          <w:p>
            <w:pPr>
              <w:pStyle w:val="ListParagraph"/>
              <w:numPr>
                <w:ilvl w:val="0"/>
                <w:numId w:val="2"/>
              </w:numPr>
              <w:spacing w:before="60" w:after="60"/>
            </w:pPr>
            <w:r>
              <w:rPr>
                <w:rFonts w:ascii="Arial" w:cs="Arial" w:eastAsia="Arial" w:hAnsi="Arial"/>
                <w:sz w:val="22"/>
                <w:szCs w:val="22"/>
              </w:rPr>
              <w:t xml:space="preserve">Implementation fee: R500,000–R2,000,000 per client depending on integration complexity</w:t>
            </w:r>
          </w:p>
          <w:p>
            <w:pPr>
              <w:pStyle w:val="ListParagraph"/>
              <w:numPr>
                <w:ilvl w:val="0"/>
                <w:numId w:val="2"/>
              </w:numPr>
              <w:spacing w:before="60" w:after="60"/>
            </w:pPr>
            <w:r>
              <w:rPr>
                <w:rFonts w:ascii="Arial" w:cs="Arial" w:eastAsia="Arial" w:hAnsi="Arial"/>
                <w:sz w:val="22"/>
                <w:szCs w:val="22"/>
              </w:rPr>
              <w:t xml:space="preserve">Government: Separate procurement framework — annual contract with outcome-based pricing</w:t>
            </w:r>
          </w:p>
          <w:p>
            <w:pPr>
              <w:pStyle w:val="ListParagraph"/>
              <w:numPr>
                <w:ilvl w:val="0"/>
                <w:numId w:val="2"/>
              </w:numPr>
              <w:spacing w:before="60" w:after="60"/>
            </w:pPr>
            <w:r>
              <w:rPr>
                <w:rFonts w:ascii="Arial" w:cs="Arial" w:eastAsia="Arial" w:hAnsi="Arial"/>
                <w:sz w:val="22"/>
                <w:szCs w:val="22"/>
              </w:rPr>
              <w:t xml:space="preserve">Phase One target: 3 paying enterprise clients within 18 months generating minimum R3M ARR</w:t>
            </w:r>
          </w:p>
        </w:tc>
      </w:tr>
    </w:tbl>
    <w:p>
      <w:r>
        <w:br w:type="page"/>
      </w:r>
    </w:p>
    <w:p>
      <w:pPr>
        <w:spacing w:before="400" w:after="160"/>
      </w:pPr>
      <w:r>
        <w:rPr>
          <w:rFonts w:ascii="Arial" w:cs="Arial" w:eastAsia="Arial" w:hAnsi="Arial"/>
          <w:b/>
          <w:bCs/>
          <w:color w:val="0A0A0A"/>
          <w:sz w:val="36"/>
          <w:szCs w:val="36"/>
        </w:rPr>
        <w:t xml:space="preserve">PART THREE — PHASE TWO: NATIONAL DIGITAL GOVERNANCE BACKBONE</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Deployment Timeline: Months 18–60</w:t>
      </w:r>
    </w:p>
    <w:p>
      <w:pPr>
        <w:spacing w:before="80" w:after="80"/>
      </w:pPr>
      <w:r>
        <w:rPr>
          <w:rFonts w:ascii="Arial" w:cs="Arial" w:eastAsia="Arial" w:hAnsi="Arial"/>
          <w:b w:val="false"/>
          <w:bCs w:val="false"/>
          <w:color w:val="111111"/>
          <w:sz w:val="22"/>
          <w:szCs w:val="22"/>
        </w:rPr>
        <w:t xml:space="preserve">Phase Two transitions UDOC from enterprise SaaS to national infrastructure. The commercial model proven in Phase One provides the credibility, the engineering team, and the South African government relationships required to win national deployment contracts.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Phase Two Core Deployments</w:t>
            </w:r>
          </w:p>
          <w:p>
            <w:pPr>
              <w:spacing w:before="80" w:after="80"/>
            </w:pPr>
            <w:r>
              <w:t xml:space="preserve"/>
            </w:r>
          </w:p>
          <w:p>
            <w:pPr>
              <w:spacing w:before="200" w:after="80"/>
            </w:pPr>
            <w:r>
              <w:rPr>
                <w:rFonts w:ascii="Arial" w:cs="Arial" w:eastAsia="Arial" w:hAnsi="Arial"/>
                <w:b/>
                <w:bCs/>
                <w:color w:val="C9A84C"/>
                <w:sz w:val="24"/>
                <w:szCs w:val="24"/>
              </w:rPr>
              <w:t xml:space="preserve">National AI Registry</w:t>
            </w:r>
          </w:p>
          <w:p>
            <w:pPr>
              <w:spacing w:before="80" w:after="80"/>
            </w:pPr>
            <w:r>
              <w:rPr>
                <w:rFonts w:ascii="Arial" w:cs="Arial" w:eastAsia="Arial" w:hAnsi="Arial"/>
                <w:b w:val="false"/>
                <w:bCs w:val="false"/>
                <w:color w:val="111111"/>
                <w:sz w:val="22"/>
                <w:szCs w:val="22"/>
              </w:rPr>
              <w:t xml:space="preserve">A government-operated registry of all AI systems deployed by South African public sector entities and regulated industries. UDOC administers the registry on behalf of the DTPS (Department of Communications and Digital Technologies) or equivalent. Every AI system requires registration, documentation, and ongoing compliance reporting.</w:t>
            </w:r>
          </w:p>
          <w:p>
            <w:pPr>
              <w:pStyle w:val="ListParagraph"/>
              <w:numPr>
                <w:ilvl w:val="0"/>
                <w:numId w:val="2"/>
              </w:numPr>
              <w:spacing w:before="60" w:after="60"/>
            </w:pPr>
            <w:r>
              <w:rPr>
                <w:rFonts w:ascii="Arial" w:cs="Arial" w:eastAsia="Arial" w:hAnsi="Arial"/>
                <w:sz w:val="22"/>
                <w:szCs w:val="22"/>
              </w:rPr>
              <w:t xml:space="preserve">Government AI systems: mandatory registration and annual audit</w:t>
            </w:r>
          </w:p>
          <w:p>
            <w:pPr>
              <w:pStyle w:val="ListParagraph"/>
              <w:numPr>
                <w:ilvl w:val="0"/>
                <w:numId w:val="2"/>
              </w:numPr>
              <w:spacing w:before="60" w:after="60"/>
            </w:pPr>
            <w:r>
              <w:rPr>
                <w:rFonts w:ascii="Arial" w:cs="Arial" w:eastAsia="Arial" w:hAnsi="Arial"/>
                <w:sz w:val="22"/>
                <w:szCs w:val="22"/>
              </w:rPr>
              <w:t xml:space="preserve">Private sector AI in regulated industries: mandatory registration</w:t>
            </w:r>
          </w:p>
          <w:p>
            <w:pPr>
              <w:pStyle w:val="ListParagraph"/>
              <w:numPr>
                <w:ilvl w:val="0"/>
                <w:numId w:val="2"/>
              </w:numPr>
              <w:spacing w:before="60" w:after="60"/>
            </w:pPr>
            <w:r>
              <w:rPr>
                <w:rFonts w:ascii="Arial" w:cs="Arial" w:eastAsia="Arial" w:hAnsi="Arial"/>
                <w:sz w:val="22"/>
                <w:szCs w:val="22"/>
              </w:rPr>
              <w:t xml:space="preserve">Public register of AI systems with public-facing transparency reports</w:t>
            </w:r>
          </w:p>
          <w:p>
            <w:pPr>
              <w:pStyle w:val="ListParagraph"/>
              <w:numPr>
                <w:ilvl w:val="0"/>
                <w:numId w:val="2"/>
              </w:numPr>
              <w:spacing w:before="60" w:after="60"/>
            </w:pPr>
            <w:r>
              <w:rPr>
                <w:rFonts w:ascii="Arial" w:cs="Arial" w:eastAsia="Arial" w:hAnsi="Arial"/>
                <w:sz w:val="22"/>
                <w:szCs w:val="22"/>
              </w:rPr>
              <w:t xml:space="preserve">AI system risk classification framework (low / medium / high / prohibited)</w:t>
            </w:r>
          </w:p>
          <w:p>
            <w:pPr>
              <w:spacing w:before="80" w:after="80"/>
            </w:pPr>
            <w:r>
              <w:t xml:space="preserve"/>
            </w:r>
          </w:p>
          <w:p>
            <w:pPr>
              <w:spacing w:before="200" w:after="80"/>
            </w:pPr>
            <w:r>
              <w:rPr>
                <w:rFonts w:ascii="Arial" w:cs="Arial" w:eastAsia="Arial" w:hAnsi="Arial"/>
                <w:b/>
                <w:bCs/>
                <w:color w:val="C9A84C"/>
                <w:sz w:val="24"/>
                <w:szCs w:val="24"/>
              </w:rPr>
              <w:t xml:space="preserve">Data Sovereignty Infrastructure</w:t>
            </w:r>
          </w:p>
          <w:p>
            <w:pPr>
              <w:spacing w:before="80" w:after="80"/>
            </w:pPr>
            <w:r>
              <w:rPr>
                <w:rFonts w:ascii="Arial" w:cs="Arial" w:eastAsia="Arial" w:hAnsi="Arial"/>
                <w:b w:val="false"/>
                <w:bCs w:val="false"/>
                <w:color w:val="111111"/>
                <w:sz w:val="22"/>
                <w:szCs w:val="22"/>
              </w:rPr>
              <w:t xml:space="preserve">South Africa government data currently hosted on foreign cloud infrastructure (AWS, Azure, Google Cloud) creates measurable national security and sovereignty risk. Phase Two deploys UDOC's sovereign cloud infrastructure — South Africa-owned, South Africa-operated, legally governed under South African jurisdiction.</w:t>
            </w:r>
          </w:p>
          <w:p>
            <w:pPr>
              <w:pStyle w:val="ListParagraph"/>
              <w:numPr>
                <w:ilvl w:val="0"/>
                <w:numId w:val="2"/>
              </w:numPr>
              <w:spacing w:before="60" w:after="60"/>
            </w:pPr>
            <w:r>
              <w:rPr>
                <w:rFonts w:ascii="Arial" w:cs="Arial" w:eastAsia="Arial" w:hAnsi="Arial"/>
                <w:sz w:val="22"/>
                <w:szCs w:val="22"/>
              </w:rPr>
              <w:t xml:space="preserve">Sovereign cloud data centres — partnership with South African data centre operators</w:t>
            </w:r>
          </w:p>
          <w:p>
            <w:pPr>
              <w:pStyle w:val="ListParagraph"/>
              <w:numPr>
                <w:ilvl w:val="0"/>
                <w:numId w:val="2"/>
              </w:numPr>
              <w:spacing w:before="60" w:after="60"/>
            </w:pPr>
            <w:r>
              <w:rPr>
                <w:rFonts w:ascii="Arial" w:cs="Arial" w:eastAsia="Arial" w:hAnsi="Arial"/>
                <w:sz w:val="22"/>
                <w:szCs w:val="22"/>
              </w:rPr>
              <w:t xml:space="preserve">Government data migration framework — structured migration from foreign cloud</w:t>
            </w:r>
          </w:p>
          <w:p>
            <w:pPr>
              <w:pStyle w:val="ListParagraph"/>
              <w:numPr>
                <w:ilvl w:val="0"/>
                <w:numId w:val="2"/>
              </w:numPr>
              <w:spacing w:before="60" w:after="60"/>
            </w:pPr>
            <w:r>
              <w:rPr>
                <w:rFonts w:ascii="Arial" w:cs="Arial" w:eastAsia="Arial" w:hAnsi="Arial"/>
                <w:sz w:val="22"/>
                <w:szCs w:val="22"/>
              </w:rPr>
              <w:t xml:space="preserve">Cross-ministry data governance protocol — controlled data sharing between departments</w:t>
            </w:r>
          </w:p>
          <w:p>
            <w:pPr>
              <w:pStyle w:val="ListParagraph"/>
              <w:numPr>
                <w:ilvl w:val="0"/>
                <w:numId w:val="2"/>
              </w:numPr>
              <w:spacing w:before="60" w:after="60"/>
            </w:pPr>
            <w:r>
              <w:rPr>
                <w:rFonts w:ascii="Arial" w:cs="Arial" w:eastAsia="Arial" w:hAnsi="Arial"/>
                <w:sz w:val="22"/>
                <w:szCs w:val="22"/>
              </w:rPr>
              <w:t xml:space="preserve">POPIA compliance infrastructure — national standard for government data handling</w:t>
            </w:r>
          </w:p>
          <w:p>
            <w:pPr>
              <w:spacing w:before="80" w:after="80"/>
            </w:pPr>
            <w:r>
              <w:t xml:space="preserve"/>
            </w:r>
          </w:p>
          <w:p>
            <w:pPr>
              <w:spacing w:before="200" w:after="80"/>
            </w:pPr>
            <w:r>
              <w:rPr>
                <w:rFonts w:ascii="Arial" w:cs="Arial" w:eastAsia="Arial" w:hAnsi="Arial"/>
                <w:b/>
                <w:bCs/>
                <w:color w:val="C9A84C"/>
                <w:sz w:val="24"/>
                <w:szCs w:val="24"/>
              </w:rPr>
              <w:t xml:space="preserve">Quantum-Ready Encryption Upgrade</w:t>
            </w:r>
          </w:p>
          <w:p>
            <w:pPr>
              <w:spacing w:before="80" w:after="80"/>
            </w:pPr>
            <w:r>
              <w:rPr>
                <w:rFonts w:ascii="Arial" w:cs="Arial" w:eastAsia="Arial" w:hAnsi="Arial"/>
                <w:b w:val="false"/>
                <w:bCs w:val="false"/>
                <w:color w:val="111111"/>
                <w:sz w:val="22"/>
                <w:szCs w:val="22"/>
              </w:rPr>
              <w:t xml:space="preserve">National security infrastructure requires encryption that will remain secure in the post-quantum computing era. UDOC's Phase Two encryption upgrade deploys post-quantum cryptographic standards (NIST PQC standards) across all national systems managed under the UDOC framework.</w:t>
            </w:r>
          </w:p>
          <w:p>
            <w:pPr>
              <w:pStyle w:val="ListParagraph"/>
              <w:numPr>
                <w:ilvl w:val="0"/>
                <w:numId w:val="2"/>
              </w:numPr>
              <w:spacing w:before="60" w:after="60"/>
            </w:pPr>
            <w:r>
              <w:rPr>
                <w:rFonts w:ascii="Arial" w:cs="Arial" w:eastAsia="Arial" w:hAnsi="Arial"/>
                <w:sz w:val="22"/>
                <w:szCs w:val="22"/>
              </w:rPr>
              <w:t xml:space="preserve">CRYSTALS-Kyber and CRYSTALS-Dilithium implementation</w:t>
            </w:r>
          </w:p>
          <w:p>
            <w:pPr>
              <w:pStyle w:val="ListParagraph"/>
              <w:numPr>
                <w:ilvl w:val="0"/>
                <w:numId w:val="2"/>
              </w:numPr>
              <w:spacing w:before="60" w:after="60"/>
            </w:pPr>
            <w:r>
              <w:rPr>
                <w:rFonts w:ascii="Arial" w:cs="Arial" w:eastAsia="Arial" w:hAnsi="Arial"/>
                <w:sz w:val="22"/>
                <w:szCs w:val="22"/>
              </w:rPr>
              <w:t xml:space="preserve">Hybrid encryption transition: current standards + PQC simultaneously</w:t>
            </w:r>
          </w:p>
          <w:p>
            <w:pPr>
              <w:pStyle w:val="ListParagraph"/>
              <w:numPr>
                <w:ilvl w:val="0"/>
                <w:numId w:val="2"/>
              </w:numPr>
              <w:spacing w:before="60" w:after="60"/>
            </w:pPr>
            <w:r>
              <w:rPr>
                <w:rFonts w:ascii="Arial" w:cs="Arial" w:eastAsia="Arial" w:hAnsi="Arial"/>
                <w:sz w:val="22"/>
                <w:szCs w:val="22"/>
              </w:rPr>
              <w:t xml:space="preserve">Key management infrastructure under South African government custody</w:t>
            </w:r>
          </w:p>
          <w:p>
            <w:pPr>
              <w:pStyle w:val="ListParagraph"/>
              <w:numPr>
                <w:ilvl w:val="0"/>
                <w:numId w:val="2"/>
              </w:numPr>
              <w:spacing w:before="60" w:after="60"/>
            </w:pPr>
            <w:r>
              <w:rPr>
                <w:rFonts w:ascii="Arial" w:cs="Arial" w:eastAsia="Arial" w:hAnsi="Arial"/>
                <w:sz w:val="22"/>
                <w:szCs w:val="22"/>
              </w:rPr>
              <w:t xml:space="preserve">Phased migration plan for existing government digital infrastructure</w:t>
            </w:r>
          </w:p>
        </w:tc>
      </w:tr>
    </w:tbl>
    <w:p>
      <w:pPr>
        <w:spacing w:before="80" w:after="80"/>
      </w:pPr>
      <w:r>
        <w:t xml:space="preserve"/>
      </w:r>
    </w:p>
    <w:p>
      <w:pPr>
        <w:spacing w:before="280" w:after="120"/>
      </w:pPr>
      <w:r>
        <w:rPr>
          <w:rFonts w:ascii="Arial" w:cs="Arial" w:eastAsia="Arial" w:hAnsi="Arial"/>
          <w:b/>
          <w:bCs/>
          <w:color w:val="1A1A2E"/>
          <w:sz w:val="28"/>
          <w:szCs w:val="28"/>
        </w:rPr>
        <w:t xml:space="preserve">Phase Two Partnership Architecture</w:t>
      </w:r>
    </w:p>
    <w:p>
      <w:pPr>
        <w:spacing w:before="80" w:after="80"/>
      </w:pPr>
      <w:r>
        <w:rPr>
          <w:rFonts w:ascii="Arial" w:cs="Arial" w:eastAsia="Arial" w:hAnsi="Arial"/>
          <w:b w:val="false"/>
          <w:bCs w:val="false"/>
          <w:color w:val="111111"/>
          <w:sz w:val="22"/>
          <w:szCs w:val="22"/>
        </w:rPr>
        <w:t xml:space="preserve">Phase Two requires government partnership at the national level. The following partnership strategy creates the institutional relationships that make national deployment possible:</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Partner</w:t>
            </w:r>
          </w:p>
        </w:tc>
        <w:tc>
          <w:tcPr>
            <w:tcW w:type="dxa" w:w="32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Role</w:t>
            </w:r>
          </w:p>
        </w:tc>
        <w:tc>
          <w:tcPr>
            <w:tcW w:type="dxa" w:w="32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Engagement Approach</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DTPS (Dept. of Communications &amp; Digital Technologies)</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Policy authority for AI governance and digital sovereignty</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Policy consultation from Phase One. Formal mandate partnership in Phase Two.</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State Information Technology Agency (SITA)</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Government ICT infrastructure</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Technical infrastructure partnership. UDOC deployed on SITA backbone.</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FSCA / Prudential Authority</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Financial sector AI governance mandate</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Regulatory compliance framework design partnership.</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CSIR (Council for Scientific and Industrial Research)</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Technical research credibility</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Joint research and development partnership for South African AI governance standard.</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African Union Commission</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Continental AI governance framework</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 positions as continental governance model. AU advisory role.</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SADC Digital Economy Working Group</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Regional digital governance</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 replication pathway across SADC member states.</w:t>
            </w:r>
          </w:p>
        </w:tc>
      </w:tr>
    </w:tbl>
    <w:p>
      <w:r>
        <w:br w:type="page"/>
      </w:r>
    </w:p>
    <w:p>
      <w:pPr>
        <w:spacing w:before="400" w:after="160"/>
      </w:pPr>
      <w:r>
        <w:rPr>
          <w:rFonts w:ascii="Arial" w:cs="Arial" w:eastAsia="Arial" w:hAnsi="Arial"/>
          <w:b/>
          <w:bCs/>
          <w:color w:val="0A0A0A"/>
          <w:sz w:val="36"/>
          <w:szCs w:val="36"/>
        </w:rPr>
        <w:t xml:space="preserve">PART FOUR — PHASE THREE: CONTINENTAL AND GLOBAL STANDARD</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Timeline: Year 5 Onward</w:t>
      </w:r>
    </w:p>
    <w:p>
      <w:pPr>
        <w:spacing w:before="80" w:after="80"/>
      </w:pPr>
      <w:r>
        <w:rPr>
          <w:rFonts w:ascii="Arial" w:cs="Arial" w:eastAsia="Arial" w:hAnsi="Arial"/>
          <w:b w:val="false"/>
          <w:bCs w:val="false"/>
          <w:color w:val="111111"/>
          <w:sz w:val="22"/>
          <w:szCs w:val="22"/>
        </w:rPr>
        <w:t xml:space="preserve">Phase Three is the consequence of Phase Two's success — not a plan to be executed independently. When UDOC operates as South Africa's national AI governance infrastructure, the continental replication case is commercially and diplomatically documented.</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Phase Three Objectives</w:t>
            </w:r>
          </w:p>
          <w:p>
            <w:pPr>
              <w:pStyle w:val="ListParagraph"/>
              <w:numPr>
                <w:ilvl w:val="0"/>
                <w:numId w:val="2"/>
              </w:numPr>
              <w:spacing w:before="60" w:after="60"/>
            </w:pPr>
            <w:r>
              <w:rPr>
                <w:rFonts w:ascii="Arial" w:cs="Arial" w:eastAsia="Arial" w:hAnsi="Arial"/>
                <w:sz w:val="22"/>
                <w:szCs w:val="22"/>
              </w:rPr>
              <w:t xml:space="preserve">UDOC deployed in minimum 5 additional African states — Nigeria, Kenya, Rwanda, Ghana, Egypt as priority targets</w:t>
            </w:r>
          </w:p>
          <w:p>
            <w:pPr>
              <w:pStyle w:val="ListParagraph"/>
              <w:numPr>
                <w:ilvl w:val="0"/>
                <w:numId w:val="2"/>
              </w:numPr>
              <w:spacing w:before="60" w:after="60"/>
            </w:pPr>
            <w:r>
              <w:rPr>
                <w:rFonts w:ascii="Arial" w:cs="Arial" w:eastAsia="Arial" w:hAnsi="Arial"/>
                <w:sz w:val="22"/>
                <w:szCs w:val="22"/>
              </w:rPr>
              <w:t xml:space="preserve">UDOC positioned as the voluntary African continental AI governance standard</w:t>
            </w:r>
          </w:p>
          <w:p>
            <w:pPr>
              <w:pStyle w:val="ListParagraph"/>
              <w:numPr>
                <w:ilvl w:val="0"/>
                <w:numId w:val="2"/>
              </w:numPr>
              <w:spacing w:before="60" w:after="60"/>
            </w:pPr>
            <w:r>
              <w:rPr>
                <w:rFonts w:ascii="Arial" w:cs="Arial" w:eastAsia="Arial" w:hAnsi="Arial"/>
                <w:sz w:val="22"/>
                <w:szCs w:val="22"/>
              </w:rPr>
              <w:t xml:space="preserve">Licensing model established: governments license UDOC framework and receive South African implementation support</w:t>
            </w:r>
          </w:p>
          <w:p>
            <w:pPr>
              <w:pStyle w:val="ListParagraph"/>
              <w:numPr>
                <w:ilvl w:val="0"/>
                <w:numId w:val="2"/>
              </w:numPr>
              <w:spacing w:before="60" w:after="60"/>
            </w:pPr>
            <w:r>
              <w:rPr>
                <w:rFonts w:ascii="Arial" w:cs="Arial" w:eastAsia="Arial" w:hAnsi="Arial"/>
                <w:sz w:val="22"/>
                <w:szCs w:val="22"/>
              </w:rPr>
              <w:t xml:space="preserve">UDOC used as basis for African Union continental AI governance framework submission</w:t>
            </w:r>
          </w:p>
          <w:p>
            <w:pPr>
              <w:pStyle w:val="ListParagraph"/>
              <w:numPr>
                <w:ilvl w:val="0"/>
                <w:numId w:val="2"/>
              </w:numPr>
              <w:spacing w:before="60" w:after="60"/>
            </w:pPr>
            <w:r>
              <w:rPr>
                <w:rFonts w:ascii="Arial" w:cs="Arial" w:eastAsia="Arial" w:hAnsi="Arial"/>
                <w:sz w:val="22"/>
                <w:szCs w:val="22"/>
              </w:rPr>
              <w:t xml:space="preserve">International standards body engagement — ISO, IEEE — to position UDOC architecture as global governance reference</w:t>
            </w:r>
          </w:p>
          <w:p>
            <w:pPr>
              <w:pStyle w:val="ListParagraph"/>
              <w:numPr>
                <w:ilvl w:val="0"/>
                <w:numId w:val="2"/>
              </w:numPr>
              <w:spacing w:before="60" w:after="60"/>
            </w:pPr>
            <w:r>
              <w:rPr>
                <w:rFonts w:ascii="Arial" w:cs="Arial" w:eastAsia="Arial" w:hAnsi="Arial"/>
                <w:sz w:val="22"/>
                <w:szCs w:val="22"/>
              </w:rPr>
              <w:t xml:space="preserve">Private sector licensing: multinationals operating across Africa deploy UDOC for continental AI compliance</w:t>
            </w:r>
          </w:p>
        </w:tc>
      </w:tr>
    </w:tbl>
    <w:p>
      <w:pPr>
        <w:spacing w:before="80" w:after="80"/>
      </w:pPr>
      <w:r>
        <w:t xml:space="preserve"/>
      </w:r>
    </w:p>
    <w:p>
      <w:pPr>
        <w:spacing w:before="280" w:after="120"/>
      </w:pPr>
      <w:r>
        <w:rPr>
          <w:rFonts w:ascii="Arial" w:cs="Arial" w:eastAsia="Arial" w:hAnsi="Arial"/>
          <w:b/>
          <w:bCs/>
          <w:color w:val="1A1A2E"/>
          <w:sz w:val="28"/>
          <w:szCs w:val="28"/>
        </w:rPr>
        <w:t xml:space="preserve">Revenue Architecture Across All Three Phases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2280"/>
        <w:gridCol w:w="2280"/>
      </w:tblGrid>
      <w:tr>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Revenue Stream</w:t>
            </w:r>
          </w:p>
        </w:tc>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Phase 1</w:t>
            </w:r>
          </w:p>
        </w:tc>
        <w:tc>
          <w:tcPr>
            <w:tcW w:type="dxa" w:w="22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Phase 2</w:t>
            </w:r>
          </w:p>
        </w:tc>
        <w:tc>
          <w:tcPr>
            <w:tcW w:type="dxa" w:w="22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Phase 3</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Enterprise SaaS Subscriptions</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color w:val="C9A84C"/>
                <w:sz w:val="20"/>
                <w:szCs w:val="20"/>
              </w:rPr>
              <w:t xml:space="preserve">Primary</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Continued</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Licensing model</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Implementation / Professional Services</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color w:val="C9A84C"/>
                <w:sz w:val="20"/>
                <w:szCs w:val="20"/>
              </w:rPr>
              <w:t xml:space="preserve">Primary</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Continued</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Scale-adjusted</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Government National Contract</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Pilot only</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color w:val="C9A84C"/>
                <w:sz w:val="20"/>
                <w:szCs w:val="20"/>
              </w:rPr>
              <w:t xml:space="preserve">Primary</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Multi-country</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Data Sovereignty Infrastructure Services</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None</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color w:val="C9A84C"/>
                <w:sz w:val="20"/>
                <w:szCs w:val="20"/>
              </w:rPr>
              <w:t xml:space="preserve">Primary</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Regional</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Framework Licensing to Other States</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None</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Developing</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color w:val="C9A84C"/>
                <w:sz w:val="20"/>
                <w:szCs w:val="20"/>
              </w:rPr>
              <w:t xml:space="preserve">Primary</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International Standards Participation</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None</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None</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Strategic</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sz w:val="20"/>
                <w:szCs w:val="20"/>
              </w:rPr>
              <w:t xml:space="preserve">Private Sector Continental Compliance</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None</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val="false"/>
                <w:bCs w:val="false"/>
                <w:color w:val="444444"/>
                <w:sz w:val="20"/>
                <w:szCs w:val="20"/>
              </w:rPr>
              <w:t xml:space="preserve">Emerging</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b/>
                <w:bCs/>
                <w:color w:val="C9A84C"/>
                <w:sz w:val="20"/>
                <w:szCs w:val="20"/>
              </w:rPr>
              <w:t xml:space="preserve">Primary</w:t>
            </w:r>
          </w:p>
        </w:tc>
      </w:tr>
    </w:tbl>
    <w:p>
      <w:pPr>
        <w:spacing w:before="80" w:after="80"/>
      </w:pPr>
      <w:r>
        <w:t xml:space="preserve"/>
      </w:r>
    </w:p>
    <w:p>
      <w:pPr>
        <w:pBdr>
          <w:bottom w:val="single" w:color="C9A84C" w:sz="4"/>
        </w:pBdr>
        <w:spacing w:before="120" w:after="120"/>
      </w:pPr>
    </w:p>
    <w:p>
      <w:pPr>
        <w:spacing w:before="80" w:after="80"/>
      </w:pPr>
      <w:r>
        <w:t xml:space="preserve"/>
      </w:r>
    </w:p>
    <w:p>
      <w:pPr>
        <w:spacing w:before="200" w:after="80"/>
        <w:jc w:val="center"/>
      </w:pPr>
      <w:r>
        <w:rPr>
          <w:rFonts w:ascii="Arial" w:cs="Arial" w:eastAsia="Arial" w:hAnsi="Arial"/>
          <w:b/>
          <w:bCs/>
          <w:color w:val="1A1A2E"/>
          <w:sz w:val="24"/>
          <w:szCs w:val="24"/>
        </w:rPr>
        <w:t xml:space="preserve">UDOC — Division Three of G.O.D.S Holdings</w:t>
      </w:r>
    </w:p>
    <w:p>
      <w:pPr>
        <w:spacing w:before="0" w:after="200"/>
        <w:jc w:val="center"/>
      </w:pPr>
      <w:r>
        <w:rPr>
          <w:rFonts w:ascii="Arial" w:cs="Arial" w:eastAsia="Arial" w:hAnsi="Arial"/>
          <w:i/>
          <w:iCs/>
          <w:color w:val="888888"/>
          <w:sz w:val="20"/>
          <w:szCs w:val="20"/>
        </w:rPr>
        <w:t xml:space="preserve">CONFIDENTIAL — Technical and Commercial Planning Document | G.O.D.S Holdings | 2026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2026-03-10T12:40:28.459Z</dcterms:created>
  <dcterms:modified xsi:type="dcterms:W3CDTF">2026-03-10T12:40:28.460Z</dcterms:modified>
</cp:coreProperties>
</file>

<file path=docProps/custom.xml><?xml version="1.0" encoding="utf-8"?>
<Properties xmlns="http://schemas.openxmlformats.org/officeDocument/2006/custom-properties" xmlns:vt="http://schemas.openxmlformats.org/officeDocument/2006/docPropsVTypes"/>
</file>