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32"/>
              <w:left w:val="none" w:color="FFFFFF" w:sz="0"/>
              <w:bottom w:val="none" w:color="FFFFFF" w:sz="0"/>
              <w:right w:val="none" w:color="FFFFFF" w:sz="0"/>
            </w:tcBorders>
            <w:shd w:fill="04091A" w:val="clear"/>
            <w:tcMar>
              <w:top w:type="dxa" w:w="300"/>
              <w:left w:type="dxa" w:w="200"/>
              <w:bottom w:type="dxa" w:w="300"/>
              <w:right w:type="dxa" w:w="200"/>
            </w:tcMar>
          </w:tcPr>
          <w:p>
            <w:pPr>
              <w:jc w:val="center"/>
            </w:pPr>
            <w:r>
              <w:rPr>
                <w:rFonts w:ascii="Arial" w:cs="Arial" w:eastAsia="Arial" w:hAnsi="Arial"/>
                <w:b/>
                <w:bCs/>
                <w:color w:val="C9A84C"/>
                <w:sz w:val="20"/>
                <w:szCs w:val="20"/>
              </w:rPr>
              <w:t xml:space="preserve">G . O . D . S   HOLDINGS   (PTY) LTD</w:t>
            </w:r>
          </w:p>
          <w:p>
            <w:pPr>
              <w:spacing w:before="80"/>
              <w:jc w:val="center"/>
            </w:pPr>
            <w:r>
              <w:rPr>
                <w:rFonts w:ascii="Arial" w:cs="Arial" w:eastAsia="Arial" w:hAnsi="Arial"/>
                <w:color w:val="9999BB"/>
                <w:sz w:val="18"/>
                <w:szCs w:val="18"/>
              </w:rPr>
              <w:t xml:space="preserve">GOOD ORDERLY DIRECTIONAL SYSTEMS</w:t>
            </w:r>
          </w:p>
          <w:p>
            <w:pPr>
              <w:spacing w:before="400"/>
              <w:jc w:val="center"/>
            </w:pPr>
            <w:r>
              <w:rPr>
                <w:rFonts w:ascii="Arial" w:cs="Arial" w:eastAsia="Arial" w:hAnsi="Arial"/>
                <w:b/>
                <w:bCs/>
                <w:color w:val="FFFFFF"/>
                <w:sz w:val="64"/>
                <w:szCs w:val="64"/>
              </w:rPr>
              <w:t xml:space="preserve">UDOC</w:t>
            </w:r>
          </w:p>
          <w:p>
            <w:pPr>
              <w:spacing w:before="60"/>
              <w:jc w:val="center"/>
            </w:pPr>
            <w:r>
              <w:rPr>
                <w:rFonts w:ascii="Arial" w:cs="Arial" w:eastAsia="Arial" w:hAnsi="Arial"/>
                <w:color w:val="8888AA"/>
                <w:sz w:val="28"/>
                <w:szCs w:val="28"/>
              </w:rPr>
              <w:t xml:space="preserve">Unified Digital Oversight &amp; Coordination</w:t>
            </w:r>
          </w:p>
          <w:p>
            <w:pPr>
              <w:spacing w:before="280"/>
              <w:jc w:val="center"/>
            </w:pPr>
            <w:r>
              <w:rPr>
                <w:rFonts w:ascii="Arial" w:cs="Arial" w:eastAsia="Arial" w:hAnsi="Arial"/>
                <w:b/>
                <w:bCs/>
                <w:color w:val="00D4D4"/>
                <w:sz w:val="80"/>
                <w:szCs w:val="80"/>
              </w:rPr>
              <w:t xml:space="preserve">EVA</w:t>
            </w:r>
          </w:p>
          <w:p>
            <w:pPr>
              <w:spacing w:before="40"/>
              <w:jc w:val="center"/>
            </w:pPr>
            <w:r>
              <w:rPr>
                <w:rFonts w:ascii="Arial" w:cs="Arial" w:eastAsia="Arial" w:hAnsi="Arial"/>
                <w:b/>
                <w:bCs/>
                <w:color w:val="00D4D4"/>
                <w:sz w:val="26"/>
                <w:szCs w:val="26"/>
              </w:rPr>
              <w:t xml:space="preserve">EVALUATING VALIANT ALGORITHMS</w:t>
            </w:r>
          </w:p>
          <w:p>
            <w:pPr>
              <w:spacing w:before="60"/>
              <w:jc w:val="center"/>
            </w:pPr>
            <w:r>
              <w:rPr>
                <w:rFonts w:ascii="Arial" w:cs="Arial" w:eastAsia="Arial" w:hAnsi="Arial"/>
                <w:color w:val="C9A84C"/>
                <w:sz w:val="22"/>
                <w:szCs w:val="22"/>
              </w:rPr>
              <w:t xml:space="preserve">Technical Whitepaper &amp; Governance Specification</w:t>
            </w:r>
          </w:p>
          <w:p>
            <w:pPr>
              <w:spacing w:before="400"/>
              <w:jc w:val="center"/>
            </w:pPr>
            <w:r>
              <w:rPr>
                <w:rFonts w:ascii="Arial" w:cs="Arial" w:eastAsia="Arial" w:hAnsi="Arial"/>
                <w:color w:val="6666AA"/>
                <w:sz w:val="16"/>
                <w:szCs w:val="16"/>
              </w:rPr>
              <w:t xml:space="preserve">VERSION 1.0   APRIL 2026   CONFIDENTIAL</w:t>
            </w:r>
          </w:p>
          <w:p>
            <w:pPr>
              <w:spacing w:before="40"/>
              <w:jc w:val="center"/>
            </w:pPr>
            <w:r>
              <w:rPr>
                <w:rFonts w:ascii="Arial" w:cs="Arial" w:eastAsia="Arial" w:hAnsi="Arial"/>
                <w:color w:val="6666AA"/>
                <w:sz w:val="16"/>
                <w:szCs w:val="16"/>
              </w:rPr>
              <w:t xml:space="preserve">SA AI Policy GG No.54477  EU AI Act  ISO 42001  NIST AI RMF  POPIA Act 4/2013</w:t>
            </w:r>
          </w:p>
          <w:p>
            <w:pPr>
              <w:spacing w:before="120"/>
              <w:jc w:val="center"/>
            </w:pPr>
            <w:r>
              <w:rPr>
                <w:rFonts w:ascii="Arial" w:cs="Arial" w:eastAsia="Arial" w:hAnsi="Arial"/>
                <w:b/>
                <w:bCs/>
                <w:color w:val="FFFFFF"/>
                <w:sz w:val="18"/>
                <w:szCs w:val="18"/>
              </w:rPr>
              <w:t xml:space="preserve">Sashin J. Singh  -  Founder &amp; Systems Architect</w:t>
            </w:r>
          </w:p>
          <w:p>
            <w:pPr>
              <w:spacing w:before="20"/>
              <w:jc w:val="center"/>
            </w:pPr>
            <w:r>
              <w:rPr>
                <w:rFonts w:ascii="Arial" w:cs="Arial" w:eastAsia="Arial" w:hAnsi="Arial"/>
                <w:color w:val="8888AA"/>
                <w:sz w:val="16"/>
                <w:szCs w:val="16"/>
              </w:rPr>
              <w:t xml:space="preserve">Johannesburg, South Africa   info@gods.systems   www.gods.systems</w:t>
            </w:r>
          </w:p>
        </w:tc>
      </w:tr>
    </w:tbl>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01  EXECUTIVE SUMMARY</w:t>
      </w:r>
    </w:p>
    <w:p>
      <w:pPr>
        <w:spacing w:after="120" w:before="60" w:line="276"/>
      </w:pPr>
      <w:r>
        <w:rPr>
          <w:rFonts w:ascii="Arial" w:cs="Arial" w:eastAsia="Arial" w:hAnsi="Arial"/>
          <w:b w:val="false"/>
          <w:bCs w:val="false"/>
          <w:i w:val="false"/>
          <w:iCs w:val="false"/>
          <w:color w:val="1A1A2E"/>
          <w:sz w:val="22"/>
          <w:szCs w:val="22"/>
        </w:rPr>
        <w:t xml:space="preserve">EVA — Evaluating Valiant Algorithms — is the G.O.D.S UDOC AI decision governance and evaluation engine. EVA provides a structured, multi-dimensional framework for assessing the validity, reliability, risk, compliance, stability, and impact of AI systems operating within governed jurisdictions, with specific alignment to the South African Draft National AI Policy (GG No.54477, April 2026), the EU AI Act, ISO/IEC 42001:2023, and the NIST AI Risk Management Framework.</w:t>
      </w:r>
    </w:p>
    <w:p>
      <w:pPr>
        <w:spacing w:after="120" w:before="60" w:line="276"/>
      </w:pPr>
      <w:r>
        <w:rPr>
          <w:rFonts w:ascii="Arial" w:cs="Arial" w:eastAsia="Arial" w:hAnsi="Arial"/>
          <w:b w:val="false"/>
          <w:bCs w:val="false"/>
          <w:i w:val="false"/>
          <w:iCs w:val="false"/>
          <w:color w:val="1A1A2E"/>
          <w:sz w:val="22"/>
          <w:szCs w:val="22"/>
        </w:rPr>
        <w:t xml:space="preserve">EVA is not a static audit checklist. It is a live, continuously-executing evaluation layer embedded into the UDOC governance fabric. Every AI decision event passing through the UDOC platform is scored across six dimensions, evaluated against configurable policy rules, and assigned an automated governance outcome — APPROVE, REVIEW, ESCALATE, or BLOCK — with a cryptographically signed, tamper-evident audit record generated for every evaluation.</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12"/>
              <w:left w:val="single" w:color="C9A84C" w:sz="12"/>
              <w:bottom w:val="none" w:color="FFFFFF" w:sz="0"/>
              <w:right w:val="none" w:color="FFFFFF" w:sz="0"/>
            </w:tcBorders>
            <w:shd w:fill="F8F8FC" w:val="clear"/>
            <w:tcMar>
              <w:top w:type="dxa" w:w="100"/>
              <w:left w:type="dxa" w:w="160"/>
              <w:bottom w:type="dxa" w:w="100"/>
              <w:right w:type="dxa" w:w="160"/>
            </w:tcMar>
          </w:tcPr>
          <w:p>
            <w:pPr>
              <w:spacing w:after="60" w:before="0"/>
            </w:pPr>
            <w:r>
              <w:rPr>
                <w:rFonts w:ascii="Arial" w:cs="Arial" w:eastAsia="Arial" w:hAnsi="Arial"/>
                <w:b/>
                <w:bCs/>
                <w:color w:val="C9A84C"/>
                <w:sz w:val="20"/>
                <w:szCs w:val="20"/>
              </w:rPr>
              <w:t xml:space="preserve">EVA CONSTITUTIONAL MANDATE</w:t>
            </w:r>
          </w:p>
          <w:p>
            <w:pPr>
              <w:spacing w:after="0" w:before="0"/>
            </w:pPr>
            <w:r>
              <w:rPr>
                <w:rFonts w:ascii="Arial" w:cs="Arial" w:eastAsia="Arial" w:hAnsi="Arial"/>
                <w:color w:val="1A1A2E"/>
                <w:sz w:val="20"/>
                <w:szCs w:val="20"/>
              </w:rPr>
              <w:t xml:space="preserve">EVA enforces Constitutional Pillar VIII (Human Primacy in AI) and Pillar VI (Transparency) at the code level. No AI system operating within the G.O.D.S governance jurisdiction may make a final consequential decision without passing an EVA evaluation. HIGH RISK systems with EVA Risk Score ≥ 7 are automatically blocked and escalated to human review. This is technically enforced — not merely contractual.</w:t>
            </w:r>
          </w:p>
        </w:tc>
      </w:tr>
    </w:tbl>
    <w:p>
      <w:pPr>
        <w:spacing w:after="0" w:before="0"/>
      </w:pPr>
      <w:r>
        <w:t xml:space="preserve"/>
      </w:r>
    </w:p>
    <w:p>
      <w:pPr>
        <w:spacing w:after="120" w:before="60" w:line="276"/>
      </w:pPr>
      <w:r>
        <w:rPr>
          <w:rFonts w:ascii="Arial" w:cs="Arial" w:eastAsia="Arial" w:hAnsi="Arial"/>
          <w:b w:val="false"/>
          <w:bCs w:val="false"/>
          <w:i w:val="false"/>
          <w:iCs w:val="false"/>
          <w:color w:val="1A1A2E"/>
          <w:sz w:val="22"/>
          <w:szCs w:val="22"/>
        </w:rPr>
        <w:t xml:space="preserve">The EVA framework delivers five strategic outcomes:</w:t>
      </w:r>
    </w:p>
    <w:p>
      <w:pPr>
        <w:pStyle w:val="ListParagraph"/>
        <w:numPr>
          <w:ilvl w:val="0"/>
          <w:numId w:val="2"/>
        </w:numPr>
        <w:spacing w:after="40" w:before="40"/>
      </w:pPr>
      <w:r>
        <w:rPr>
          <w:rFonts w:ascii="Arial" w:cs="Arial" w:eastAsia="Arial" w:hAnsi="Arial"/>
          <w:color w:val="1A1A2E"/>
          <w:sz w:val="22"/>
          <w:szCs w:val="22"/>
        </w:rPr>
        <w:t xml:space="preserve">Systematic, reproducible AI evaluation across 6 quantifiable dimensions</w:t>
      </w:r>
    </w:p>
    <w:p>
      <w:pPr>
        <w:pStyle w:val="ListParagraph"/>
        <w:numPr>
          <w:ilvl w:val="0"/>
          <w:numId w:val="2"/>
        </w:numPr>
        <w:spacing w:after="40" w:before="40"/>
      </w:pPr>
      <w:r>
        <w:rPr>
          <w:rFonts w:ascii="Arial" w:cs="Arial" w:eastAsia="Arial" w:hAnsi="Arial"/>
          <w:color w:val="1A1A2E"/>
          <w:sz w:val="22"/>
          <w:szCs w:val="22"/>
        </w:rPr>
        <w:t xml:space="preserve">Policy-as-code governance enforcement aligned to SA AI Policy GG54477 Pillar 03</w:t>
      </w:r>
    </w:p>
    <w:p>
      <w:pPr>
        <w:pStyle w:val="ListParagraph"/>
        <w:numPr>
          <w:ilvl w:val="0"/>
          <w:numId w:val="2"/>
        </w:numPr>
        <w:spacing w:after="40" w:before="40"/>
      </w:pPr>
      <w:r>
        <w:rPr>
          <w:rFonts w:ascii="Arial" w:cs="Arial" w:eastAsia="Arial" w:hAnsi="Arial"/>
          <w:color w:val="1A1A2E"/>
          <w:sz w:val="22"/>
          <w:szCs w:val="22"/>
        </w:rPr>
        <w:t xml:space="preserve">Automated APPROVE / REVIEW / ESCALATE / BLOCK decision routing with full audit trail</w:t>
      </w:r>
    </w:p>
    <w:p>
      <w:pPr>
        <w:pStyle w:val="ListParagraph"/>
        <w:numPr>
          <w:ilvl w:val="0"/>
          <w:numId w:val="2"/>
        </w:numPr>
        <w:spacing w:after="40" w:before="40"/>
      </w:pPr>
      <w:r>
        <w:rPr>
          <w:rFonts w:ascii="Arial" w:cs="Arial" w:eastAsia="Arial" w:hAnsi="Arial"/>
          <w:color w:val="1A1A2E"/>
          <w:sz w:val="22"/>
          <w:szCs w:val="22"/>
        </w:rPr>
        <w:t xml:space="preserve">Integration with the UDOC Constitutional Oversight Board (COB) notification system</w:t>
      </w:r>
    </w:p>
    <w:p>
      <w:pPr>
        <w:pStyle w:val="ListParagraph"/>
        <w:numPr>
          <w:ilvl w:val="0"/>
          <w:numId w:val="2"/>
        </w:numPr>
        <w:spacing w:after="40" w:before="40"/>
      </w:pPr>
      <w:r>
        <w:rPr>
          <w:rFonts w:ascii="Arial" w:cs="Arial" w:eastAsia="Arial" w:hAnsi="Arial"/>
          <w:color w:val="1A1A2E"/>
          <w:sz w:val="22"/>
          <w:szCs w:val="22"/>
        </w:rPr>
        <w:t xml:space="preserve">Cryptographically verifiable evaluation records using CRYSTALS-Dilithium signatures for 10-year retention</w:t>
      </w:r>
    </w:p>
    <w:p>
      <w:pPr>
        <w:spacing w:after="0" w:before="0"/>
      </w:pPr>
      <w:r>
        <w:t xml:space="preserve"/>
      </w:r>
    </w:p>
    <w:p>
      <w:pPr>
        <w:spacing w:after="120" w:before="60" w:line="276"/>
      </w:pPr>
      <w:r>
        <w:rPr>
          <w:rFonts w:ascii="Arial" w:cs="Arial" w:eastAsia="Arial" w:hAnsi="Arial"/>
          <w:b w:val="false"/>
          <w:bCs w:val="false"/>
          <w:i w:val="false"/>
          <w:iCs w:val="false"/>
          <w:color w:val="1A1A2E"/>
          <w:sz w:val="22"/>
          <w:szCs w:val="22"/>
        </w:rPr>
        <w:t xml:space="preserve">This whitepaper constitutes the authoritative technical specification for the EVA engine, its six evaluation dimensions, policy rule architecture, integration with UDOC v7.0, and alignment to all applicable South African and international AI governance frameworks.</w:t>
      </w:r>
    </w:p>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02  THE AI GOVERNANCE EVALUATION PROBLEM</w:t>
      </w:r>
    </w:p>
    <w:p>
      <w:pPr>
        <w:pStyle w:val="Heading2"/>
        <w:spacing w:after="100" w:before="280"/>
      </w:pPr>
      <w:r>
        <w:rPr>
          <w:rFonts w:ascii="Arial" w:cs="Arial" w:eastAsia="Arial" w:hAnsi="Arial"/>
          <w:b/>
          <w:bCs/>
          <w:color w:val="04091A"/>
          <w:sz w:val="26"/>
          <w:szCs w:val="26"/>
        </w:rPr>
        <w:t xml:space="preserve">2.1  The Absence of Structured AI Evaluation</w:t>
      </w:r>
    </w:p>
    <w:p>
      <w:pPr>
        <w:spacing w:after="120" w:before="60" w:line="276"/>
      </w:pPr>
      <w:r>
        <w:rPr>
          <w:rFonts w:ascii="Arial" w:cs="Arial" w:eastAsia="Arial" w:hAnsi="Arial"/>
          <w:b w:val="false"/>
          <w:bCs w:val="false"/>
          <w:i w:val="false"/>
          <w:iCs w:val="false"/>
          <w:color w:val="1A1A2E"/>
          <w:sz w:val="22"/>
          <w:szCs w:val="22"/>
        </w:rPr>
        <w:t xml:space="preserve">Across both public and private sector deployments, AI systems are routinely deployed into consequential decision-making roles — welfare eligibility, credit scoring, medical diagnosis, criminal justice risk assessment — without any standardised, systematic framework for evaluating whether those systems are valid, reliable, safe, compliant, stable, and appropriately bounded in their societal impact.</w:t>
      </w:r>
    </w:p>
    <w:p>
      <w:pPr>
        <w:spacing w:after="120" w:before="60" w:line="276"/>
      </w:pPr>
      <w:r>
        <w:rPr>
          <w:rFonts w:ascii="Arial" w:cs="Arial" w:eastAsia="Arial" w:hAnsi="Arial"/>
          <w:b w:val="false"/>
          <w:bCs w:val="false"/>
          <w:i w:val="false"/>
          <w:iCs w:val="false"/>
          <w:color w:val="1A1A2E"/>
          <w:sz w:val="22"/>
          <w:szCs w:val="22"/>
        </w:rPr>
        <w:t xml:space="preserve">The consequences of this absence are observable and documented. Welfare AI systems have produced statistically significant bias against persons with disabilities (SPD: 0.089 in the UDOC monitored estate). Predictive policing systems have been deployed without documented human review pathways, in direct violation of Constitutional Pillar VIII and SA AI Policy GG54477 Section 3.3. Credit scoring models have been granted production status without evidence of Human Rights Impact Assessments. In each case, the root failure is the same: no structured evaluation framework was applied before or during deployment.</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580"/>
        <w:gridCol w:w="4580"/>
      </w:tblGrid>
      <w:tr>
        <w:trPr>
          <w:tblHeader/>
        </w:trPr>
        <w:tc>
          <w:tcPr>
            <w:tcW w:type="dxa" w:w="22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Gap Identified</w:t>
            </w:r>
          </w:p>
        </w:tc>
        <w:tc>
          <w:tcPr>
            <w:tcW w:type="dxa" w:w="258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Current State</w:t>
            </w:r>
          </w:p>
        </w:tc>
        <w:tc>
          <w:tcPr>
            <w:tcW w:type="dxa" w:w="458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EVA Resolution</w:t>
            </w:r>
          </w:p>
        </w:tc>
      </w:tr>
      <w:tr>
        <w:tc>
          <w:tcPr>
            <w:tcW w:type="dxa" w:w="2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Validity Assessment</w:t>
            </w:r>
          </w:p>
        </w:tc>
        <w:tc>
          <w:tcPr>
            <w:tcW w:type="dxa" w:w="258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Ad hoc or absent</w:t>
            </w:r>
          </w:p>
        </w:tc>
        <w:tc>
          <w:tcPr>
            <w:tcW w:type="dxa" w:w="458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Dimension 01: Structured validity scoring</w:t>
            </w:r>
          </w:p>
        </w:tc>
      </w:tr>
      <w:tr>
        <w:tc>
          <w:tcPr>
            <w:tcW w:type="dxa" w:w="2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Confidence Quantification</w:t>
            </w:r>
          </w:p>
        </w:tc>
        <w:tc>
          <w:tcPr>
            <w:tcW w:type="dxa" w:w="258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Vendor-reported only</w:t>
            </w:r>
          </w:p>
        </w:tc>
        <w:tc>
          <w:tcPr>
            <w:tcW w:type="dxa" w:w="458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Dimension 02: Independent confidence calibration</w:t>
            </w:r>
          </w:p>
        </w:tc>
      </w:tr>
      <w:tr>
        <w:tc>
          <w:tcPr>
            <w:tcW w:type="dxa" w:w="2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Risk Classification</w:t>
            </w:r>
          </w:p>
        </w:tc>
        <w:tc>
          <w:tcPr>
            <w:tcW w:type="dxa" w:w="258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Inconsistent across sectors</w:t>
            </w:r>
          </w:p>
        </w:tc>
        <w:tc>
          <w:tcPr>
            <w:tcW w:type="dxa" w:w="458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Dimension 03: Standardised risk scoring aligned to GG54477</w:t>
            </w:r>
          </w:p>
        </w:tc>
      </w:tr>
      <w:tr>
        <w:tc>
          <w:tcPr>
            <w:tcW w:type="dxa" w:w="2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Compliance Verification</w:t>
            </w:r>
          </w:p>
        </w:tc>
        <w:tc>
          <w:tcPr>
            <w:tcW w:type="dxa" w:w="258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Annual audits at best</w:t>
            </w:r>
          </w:p>
        </w:tc>
        <w:tc>
          <w:tcPr>
            <w:tcW w:type="dxa" w:w="458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Dimension 04: Continuous real-time compliance scoring</w:t>
            </w:r>
          </w:p>
        </w:tc>
      </w:tr>
      <w:tr>
        <w:tc>
          <w:tcPr>
            <w:tcW w:type="dxa" w:w="2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Stability / Drift Monitoring</w:t>
            </w:r>
          </w:p>
        </w:tc>
        <w:tc>
          <w:tcPr>
            <w:tcW w:type="dxa" w:w="258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Manual or absent</w:t>
            </w:r>
          </w:p>
        </w:tc>
        <w:tc>
          <w:tcPr>
            <w:tcW w:type="dxa" w:w="458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Dimension 05: Automated drift detection, EVA stability score</w:t>
            </w:r>
          </w:p>
        </w:tc>
      </w:tr>
      <w:tr>
        <w:tc>
          <w:tcPr>
            <w:tcW w:type="dxa" w:w="2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Impact Assessment</w:t>
            </w:r>
          </w:p>
        </w:tc>
        <w:tc>
          <w:tcPr>
            <w:tcW w:type="dxa" w:w="258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Pre-deployment only</w:t>
            </w:r>
          </w:p>
        </w:tc>
        <w:tc>
          <w:tcPr>
            <w:tcW w:type="dxa" w:w="458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Dimension 06: Continuous societal impact quantification</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2.2  South African Regulatory Context</w:t>
      </w:r>
    </w:p>
    <w:p>
      <w:pPr>
        <w:spacing w:after="120" w:before="60" w:line="276"/>
      </w:pPr>
      <w:r>
        <w:rPr>
          <w:rFonts w:ascii="Arial" w:cs="Arial" w:eastAsia="Arial" w:hAnsi="Arial"/>
          <w:b w:val="false"/>
          <w:bCs w:val="false"/>
          <w:i w:val="false"/>
          <w:iCs w:val="false"/>
          <w:color w:val="1A1A2E"/>
          <w:sz w:val="22"/>
          <w:szCs w:val="22"/>
        </w:rPr>
        <w:t xml:space="preserve">The gazettal of the Draft South Africa National AI Policy (GG No.54477) on 10 April 2026 represents a defining moment for AI governance in South Africa. The policy adopts a risk-based approach modelled on international frameworks including the EU AI Act, with stricter requirements for high-risk AI systems in healthcare, financial services, and law enforcement. Key mandates directly necessitate a structured evaluation framework:</w:t>
      </w:r>
    </w:p>
    <w:p>
      <w:pPr>
        <w:pStyle w:val="ListParagraph"/>
        <w:numPr>
          <w:ilvl w:val="0"/>
          <w:numId w:val="2"/>
        </w:numPr>
        <w:spacing w:after="40" w:before="40"/>
      </w:pPr>
      <w:r>
        <w:rPr>
          <w:rFonts w:ascii="Arial" w:cs="Arial" w:eastAsia="Arial" w:hAnsi="Arial"/>
          <w:color w:val="1A1A2E"/>
          <w:sz w:val="22"/>
          <w:szCs w:val="22"/>
        </w:rPr>
        <w:t xml:space="preserve">Pillar 03 (Responsible Governance): Mandatory AI registration, explainability in high-stakes domains, cryptographically verifiable audit trails</w:t>
      </w:r>
    </w:p>
    <w:p>
      <w:pPr>
        <w:pStyle w:val="ListParagraph"/>
        <w:numPr>
          <w:ilvl w:val="0"/>
          <w:numId w:val="2"/>
        </w:numPr>
        <w:spacing w:after="40" w:before="40"/>
      </w:pPr>
      <w:r>
        <w:rPr>
          <w:rFonts w:ascii="Arial" w:cs="Arial" w:eastAsia="Arial" w:hAnsi="Arial"/>
          <w:color w:val="1A1A2E"/>
          <w:sz w:val="22"/>
          <w:szCs w:val="22"/>
        </w:rPr>
        <w:t xml:space="preserve">Pillar 04 (Ethical &amp; Inclusive AI): Mandatory HRIA and Gender Impact Assessment for HIGH RISK systems, explicit protections for vulnerable groups, bias monitoring</w:t>
      </w:r>
    </w:p>
    <w:p>
      <w:pPr>
        <w:pStyle w:val="ListParagraph"/>
        <w:numPr>
          <w:ilvl w:val="0"/>
          <w:numId w:val="2"/>
        </w:numPr>
        <w:spacing w:after="40" w:before="40"/>
      </w:pPr>
      <w:r>
        <w:rPr>
          <w:rFonts w:ascii="Arial" w:cs="Arial" w:eastAsia="Arial" w:hAnsi="Arial"/>
          <w:color w:val="1A1A2E"/>
          <w:sz w:val="22"/>
          <w:szCs w:val="22"/>
        </w:rPr>
        <w:t xml:space="preserve">Pillar 06 (Human-Centred Deployment): HITL enforcement for critical AI decisions per s3.3, citizen right to challenge AI decisions per s33 RSA Constitution</w:t>
      </w:r>
    </w:p>
    <w:p>
      <w:pPr>
        <w:pStyle w:val="ListParagraph"/>
        <w:numPr>
          <w:ilvl w:val="0"/>
          <w:numId w:val="2"/>
        </w:numPr>
        <w:spacing w:after="40" w:before="40"/>
      </w:pPr>
      <w:r>
        <w:rPr>
          <w:rFonts w:ascii="Arial" w:cs="Arial" w:eastAsia="Arial" w:hAnsi="Arial"/>
          <w:color w:val="1A1A2E"/>
          <w:sz w:val="22"/>
          <w:szCs w:val="22"/>
        </w:rPr>
        <w:t xml:space="preserve">Multi-regulator model: DCDT, SAHRC, Information Regulator, FSCA, ICASA each require domain-specific compliance evidence</w:t>
      </w:r>
    </w:p>
    <w:p>
      <w:pPr>
        <w:spacing w:after="120" w:before="60" w:line="276"/>
      </w:pPr>
      <w:r>
        <w:rPr>
          <w:rFonts w:ascii="Arial" w:cs="Arial" w:eastAsia="Arial" w:hAnsi="Arial"/>
          <w:b w:val="false"/>
          <w:bCs w:val="false"/>
          <w:i w:val="false"/>
          <w:iCs w:val="false"/>
          <w:color w:val="1A1A2E"/>
          <w:sz w:val="22"/>
          <w:szCs w:val="22"/>
        </w:rPr>
        <w:t xml:space="preserve">EVA directly operationalises these mandates at the architecture level, ensuring that compliance with GG54477 is technically embedded rather than aspirationally documented.</w:t>
      </w:r>
    </w:p>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03  THE EVA EVALUATION FRAMEWORK</w:t>
      </w:r>
    </w:p>
    <w:p>
      <w:pPr>
        <w:pStyle w:val="Heading2"/>
        <w:spacing w:after="100" w:before="280"/>
      </w:pPr>
      <w:r>
        <w:rPr>
          <w:rFonts w:ascii="Arial" w:cs="Arial" w:eastAsia="Arial" w:hAnsi="Arial"/>
          <w:b/>
          <w:bCs/>
          <w:color w:val="04091A"/>
          <w:sz w:val="26"/>
          <w:szCs w:val="26"/>
        </w:rPr>
        <w:t xml:space="preserve">3.1  Framework Philosophy</w:t>
      </w:r>
    </w:p>
    <w:p>
      <w:pPr>
        <w:spacing w:after="120" w:before="60" w:line="276"/>
      </w:pPr>
      <w:r>
        <w:rPr>
          <w:rFonts w:ascii="Arial" w:cs="Arial" w:eastAsia="Arial" w:hAnsi="Arial"/>
          <w:b w:val="false"/>
          <w:bCs w:val="false"/>
          <w:i w:val="false"/>
          <w:iCs w:val="false"/>
          <w:color w:val="1A1A2E"/>
          <w:sz w:val="22"/>
          <w:szCs w:val="22"/>
        </w:rPr>
        <w:t xml:space="preserve">EVA is built on a single foundational principle: AI governance must be technically embedded into the evaluation and decisioning infrastructure, not layered on as a compliance afterthought. This principle mirrors the UDOC platform philosophy — that data sovereignty, audit integrity, and human primacy must be architecturally guaranteed, not merely contractually promised.</w:t>
      </w:r>
    </w:p>
    <w:p>
      <w:pPr>
        <w:spacing w:after="120" w:before="60" w:line="276"/>
      </w:pPr>
      <w:r>
        <w:rPr>
          <w:rFonts w:ascii="Arial" w:cs="Arial" w:eastAsia="Arial" w:hAnsi="Arial"/>
          <w:b w:val="false"/>
          <w:bCs w:val="false"/>
          <w:i w:val="false"/>
          <w:iCs w:val="false"/>
          <w:color w:val="1A1A2E"/>
          <w:sz w:val="22"/>
          <w:szCs w:val="22"/>
        </w:rPr>
        <w:t xml:space="preserve">The EVA framework therefore operates as a mandatory governance gate. Every AI decision event submitted to the UDOC platform passes through the EVA evaluation engine before routing to a final outcome. The evaluation is synchronous for HIGH RISK systems (adding &lt;50ms governance overhead per the UDOC SLA) and asynchronous for MEDIUM and LOW risk systems where latency sensitivity demands it.</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D4" w:sz="12"/>
              <w:left w:val="single" w:color="00D4D4" w:sz="12"/>
              <w:bottom w:val="none" w:color="FFFFFF" w:sz="0"/>
              <w:right w:val="none" w:color="FFFFFF" w:sz="0"/>
            </w:tcBorders>
            <w:shd w:fill="F8F8FC" w:val="clear"/>
            <w:tcMar>
              <w:top w:type="dxa" w:w="100"/>
              <w:left w:type="dxa" w:w="160"/>
              <w:bottom w:type="dxa" w:w="100"/>
              <w:right w:type="dxa" w:w="160"/>
            </w:tcMar>
          </w:tcPr>
          <w:p>
            <w:pPr>
              <w:spacing w:after="60" w:before="0"/>
            </w:pPr>
            <w:r>
              <w:rPr>
                <w:rFonts w:ascii="Arial" w:cs="Arial" w:eastAsia="Arial" w:hAnsi="Arial"/>
                <w:b/>
                <w:bCs/>
                <w:color w:val="00D4D4"/>
                <w:sz w:val="20"/>
                <w:szCs w:val="20"/>
              </w:rPr>
              <w:t xml:space="preserve">EVA DEFINITION: EVALUATING VALIANT ALGORITHMS</w:t>
            </w:r>
          </w:p>
          <w:p>
            <w:pPr>
              <w:spacing w:after="0" w:before="0"/>
            </w:pPr>
            <w:r>
              <w:rPr>
                <w:rFonts w:ascii="Arial" w:cs="Arial" w:eastAsia="Arial" w:hAnsi="Arial"/>
                <w:color w:val="1A1A2E"/>
                <w:sz w:val="20"/>
                <w:szCs w:val="20"/>
              </w:rPr>
              <w:t xml:space="preserve">Valiant Algorithms: AI systems that claim to serve the public good, deliver operational efficiency, or advance socioeconomic objectives. EVA's role is to validate that claim — to subject every consequential AI algorithm to systematic, quantified, multi-dimensional scrutiny, and to enforce governance outcomes based on that scrutiny. Algorithms that are not valiant — that pose unacceptable risk, exhibit bias, or lack compliance — are blocked, escalated, or routed to mandatory human review.</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3.2  The Six EVA Evaluation Dimensions</w:t>
      </w:r>
    </w:p>
    <w:p>
      <w:pPr>
        <w:spacing w:after="120" w:before="60" w:line="276"/>
      </w:pPr>
      <w:r>
        <w:rPr>
          <w:rFonts w:ascii="Arial" w:cs="Arial" w:eastAsia="Arial" w:hAnsi="Arial"/>
          <w:b w:val="false"/>
          <w:bCs w:val="false"/>
          <w:i w:val="false"/>
          <w:iCs w:val="false"/>
          <w:color w:val="1A1A2E"/>
          <w:sz w:val="22"/>
          <w:szCs w:val="22"/>
        </w:rPr>
        <w:t xml:space="preserve">EVA evaluates every AI system and AI decision event across six dimensions. Each dimension is scored on a 0–10 scale. The dimensions are weighted and combined into a Composite EVA Score. Individual dimension thresholds trigger specific governance outcomes independent of the composite score.</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1200"/>
        <w:gridCol w:w="4160"/>
        <w:gridCol w:w="1000"/>
        <w:gridCol w:w="2600"/>
      </w:tblGrid>
      <w:tr>
        <w:trPr>
          <w:tblHeader/>
        </w:trPr>
        <w:tc>
          <w:tcPr>
            <w:tcW w:type="dxa" w:w="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Dim</w:t>
            </w:r>
          </w:p>
        </w:tc>
        <w:tc>
          <w:tcPr>
            <w:tcW w:type="dxa" w:w="12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Name</w:t>
            </w:r>
          </w:p>
        </w:tc>
        <w:tc>
          <w:tcPr>
            <w:tcW w:type="dxa" w:w="41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What It Measures</w:t>
            </w:r>
          </w:p>
        </w:tc>
        <w:tc>
          <w:tcPr>
            <w:tcW w:type="dxa" w:w="10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Threshold</w:t>
            </w:r>
          </w:p>
        </w:tc>
        <w:tc>
          <w:tcPr>
            <w:tcW w:type="dxa" w:w="2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Regulatory Anchor</w:t>
            </w:r>
          </w:p>
        </w:tc>
      </w:tr>
      <w:tr>
        <w:tc>
          <w:tcPr>
            <w:tcW w:type="dxa" w:w="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01</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Validity</w:t>
            </w:r>
          </w:p>
        </w:tc>
        <w:tc>
          <w:tcPr>
            <w:tcW w:type="dxa" w:w="4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Logical correctness of AI decision output. Input-output coherence verification. Model output within defined operational parameters.</w:t>
            </w:r>
          </w:p>
        </w:tc>
        <w:tc>
          <w:tcPr>
            <w:tcW w:type="dxa" w:w="1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Approve: ≥7</w:t>
            </w:r>
          </w:p>
        </w:tc>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EU AI Act Art.9 · ISO 42001 s6.1 · GG54477 Pillar 03</w:t>
            </w:r>
          </w:p>
        </w:tc>
      </w:tr>
      <w:tr>
        <w:tc>
          <w:tcPr>
            <w:tcW w:type="dxa" w:w="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02</w:t>
            </w:r>
          </w:p>
        </w:tc>
        <w:tc>
          <w:tcPr>
            <w:tcW w:type="dxa" w:w="1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Confidence</w:t>
            </w:r>
          </w:p>
        </w:tc>
        <w:tc>
          <w:tcPr>
            <w:tcW w:type="dxa" w:w="4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Model reliability and uncertainty quantification. Confidence calibration score. Epistemic vs aleatoric uncertainty decomposition.</w:t>
            </w:r>
          </w:p>
        </w:tc>
        <w:tc>
          <w:tcPr>
            <w:tcW w:type="dxa" w:w="1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Approve: ≥7</w:t>
            </w:r>
          </w:p>
        </w:tc>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NIST AI RMF ME-2 · EU AI Act Art.13 · ISO 42001 s9.1</w:t>
            </w:r>
          </w:p>
        </w:tc>
      </w:tr>
      <w:tr>
        <w:tc>
          <w:tcPr>
            <w:tcW w:type="dxa" w:w="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03</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Risk</w:t>
            </w:r>
          </w:p>
        </w:tc>
        <w:tc>
          <w:tcPr>
            <w:tcW w:type="dxa" w:w="4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Potential harm classification. Severity and probability of adverse outcome. Population impact scope. Alignment to GG54477 risk tiers.</w:t>
            </w:r>
          </w:p>
        </w:tc>
        <w:tc>
          <w:tcPr>
            <w:tcW w:type="dxa" w:w="1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Block: ≥7</w:t>
            </w:r>
          </w:p>
        </w:tc>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SA AI Policy GG54477 risk framework · EU AI Act Annex III · Constitutional Pillars I, VIII</w:t>
            </w:r>
          </w:p>
        </w:tc>
      </w:tr>
      <w:tr>
        <w:tc>
          <w:tcPr>
            <w:tcW w:type="dxa" w:w="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04</w:t>
            </w:r>
          </w:p>
        </w:tc>
        <w:tc>
          <w:tcPr>
            <w:tcW w:type="dxa" w:w="1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Compliance</w:t>
            </w:r>
          </w:p>
        </w:tc>
        <w:tc>
          <w:tcPr>
            <w:tcW w:type="dxa" w:w="4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Real-time regulatory alignment scoring across: GG54477 · POPIA · EU AI Act · NIST AI RMF · ISO 42001 · OECD · UNESCO · AU Strategy</w:t>
            </w:r>
          </w:p>
        </w:tc>
        <w:tc>
          <w:tcPr>
            <w:tcW w:type="dxa" w:w="1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Escalate: ≤4</w:t>
            </w:r>
          </w:p>
        </w:tc>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GG54477 Pillar 03 · POPIA Act 4/2013 · ISO 42001 s9.1</w:t>
            </w:r>
          </w:p>
        </w:tc>
      </w:tr>
      <w:tr>
        <w:tc>
          <w:tcPr>
            <w:tcW w:type="dxa" w:w="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05</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Stability</w:t>
            </w:r>
          </w:p>
        </w:tc>
        <w:tc>
          <w:tcPr>
            <w:tcW w:type="dxa" w:w="4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Model drift detection and consistency over time. Drift score inverse (higher stability = lower drift). Performance degradation monitoring.</w:t>
            </w:r>
          </w:p>
        </w:tc>
        <w:tc>
          <w:tcPr>
            <w:tcW w:type="dxa" w:w="1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Alert: ≤5</w:t>
            </w:r>
          </w:p>
        </w:tc>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GG54477 lifecycle governance · EU AI Act Art.9 post-market monitoring</w:t>
            </w:r>
          </w:p>
        </w:tc>
      </w:tr>
      <w:tr>
        <w:tc>
          <w:tcPr>
            <w:tcW w:type="dxa" w:w="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06</w:t>
            </w:r>
          </w:p>
        </w:tc>
        <w:tc>
          <w:tcPr>
            <w:tcW w:type="dxa" w:w="1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Impact</w:t>
            </w:r>
          </w:p>
        </w:tc>
        <w:tc>
          <w:tcPr>
            <w:tcW w:type="dxa" w:w="4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Scale and societal effect of AI decision. Population affected. Reversibility of outcome. HRIA input score. Vulnerable group exposure.</w:t>
            </w:r>
          </w:p>
        </w:tc>
        <w:tc>
          <w:tcPr>
            <w:tcW w:type="dxa" w:w="1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HRIA trigger: ≥8</w:t>
            </w:r>
          </w:p>
        </w:tc>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GG54477 Pillar 04 · HRIA mandate · Constitutional s9, s10, s27</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3.3  Composite EVA Score Calculation</w:t>
      </w:r>
    </w:p>
    <w:p>
      <w:pPr>
        <w:spacing w:after="120" w:before="60" w:line="276"/>
      </w:pPr>
      <w:r>
        <w:rPr>
          <w:rFonts w:ascii="Arial" w:cs="Arial" w:eastAsia="Arial" w:hAnsi="Arial"/>
          <w:b w:val="false"/>
          <w:bCs w:val="false"/>
          <w:i w:val="false"/>
          <w:iCs w:val="false"/>
          <w:color w:val="1A1A2E"/>
          <w:sz w:val="22"/>
          <w:szCs w:val="22"/>
        </w:rPr>
        <w:t xml:space="preserve">The Composite EVA Score is a weighted aggregate of all six dimensions. Risk and Impact dimensions are inverted (lower raw score = higher governance quality) before weighting. The formula is:</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D4" w:sz="4"/>
              <w:left w:val="none" w:color="FFFFFF" w:sz="0"/>
              <w:bottom w:val="single" w:color="00D4D4" w:sz="4"/>
              <w:right w:val="none" w:color="FFFFFF" w:sz="0"/>
            </w:tcBorders>
            <w:shd w:fill="F0FFFE" w:val="clear"/>
            <w:tcMar>
              <w:top w:type="dxa" w:w="120"/>
              <w:left w:type="dxa" w:w="200"/>
              <w:bottom w:type="dxa" w:w="120"/>
              <w:right w:type="dxa" w:w="200"/>
            </w:tcMar>
          </w:tcPr>
          <w:p>
            <w:pPr>
              <w:jc w:val="center"/>
            </w:pPr>
            <w:r>
              <w:rPr>
                <w:rFonts w:ascii="Courier New" w:cs="Courier New" w:eastAsia="Courier New" w:hAnsi="Courier New"/>
                <w:b/>
                <w:bCs/>
                <w:color w:val="1A1A2E"/>
                <w:sz w:val="22"/>
                <w:szCs w:val="22"/>
              </w:rPr>
              <w:t xml:space="preserve">Composite EVA Score = (Validity + Confidence + (10-Risk) + Compliance + Stability + (10-Impact)) / 6</w:t>
            </w:r>
          </w:p>
          <w:p>
            <w:pPr>
              <w:spacing w:before="80"/>
              <w:jc w:val="center"/>
            </w:pPr>
            <w:r>
              <w:rPr>
                <w:rFonts w:ascii="Arial" w:cs="Arial" w:eastAsia="Arial" w:hAnsi="Arial"/>
                <w:color w:val="5A5A7A"/>
                <w:sz w:val="18"/>
                <w:szCs w:val="18"/>
              </w:rPr>
              <w:t xml:space="preserve">Range: 0.0 - 10.0  |  Approve threshold: &gt;=7.0  |  Review: 5.0-6.9  |  Escalate: 3.0-4.9  |  Block: &lt;3.0 or Risk&gt;=7</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3.4  EVA Outcome Classification</w:t>
      </w:r>
    </w:p>
    <w:p>
      <w:pPr>
        <w:spacing w:after="120" w:before="60" w:line="276"/>
      </w:pPr>
      <w:r>
        <w:rPr>
          <w:rFonts w:ascii="Arial" w:cs="Arial" w:eastAsia="Arial" w:hAnsi="Arial"/>
          <w:b w:val="false"/>
          <w:bCs w:val="false"/>
          <w:i w:val="false"/>
          <w:iCs w:val="false"/>
          <w:color w:val="1A1A2E"/>
          <w:sz w:val="22"/>
          <w:szCs w:val="22"/>
        </w:rPr>
        <w:t xml:space="preserve">Every EVA evaluation produces one of four governance outcomes. Outcomes trigger specific downstream actions within the UDOC platform and generate mandatory constitutional audit records.</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2400"/>
        <w:gridCol w:w="3360"/>
        <w:gridCol w:w="2600"/>
      </w:tblGrid>
      <w:tr>
        <w:trPr>
          <w:tblHeader/>
        </w:trPr>
        <w:tc>
          <w:tcPr>
            <w:tcW w:type="dxa" w:w="10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Outcome</w:t>
            </w:r>
          </w:p>
        </w:tc>
        <w:tc>
          <w:tcPr>
            <w:tcW w:type="dxa" w:w="2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Trigger Condition</w:t>
            </w:r>
          </w:p>
        </w:tc>
        <w:tc>
          <w:tcPr>
            <w:tcW w:type="dxa" w:w="33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Downstream Action</w:t>
            </w:r>
          </w:p>
        </w:tc>
        <w:tc>
          <w:tcPr>
            <w:tcW w:type="dxa" w:w="2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Constitutional Basis</w:t>
            </w:r>
          </w:p>
        </w:tc>
      </w:tr>
      <w:tr>
        <w:tc>
          <w:tcPr>
            <w:tcW w:type="dxa" w:w="1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APPROVE</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Validity ≥7 AND Confidence ≥7 AND Risk &lt;7 AND Compliance &gt;4</w:t>
            </w:r>
          </w:p>
        </w:tc>
        <w:tc>
          <w:tcPr>
            <w:tcW w:type="dxa" w:w="33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Deployment cleared. Signed EVA certificate issued. Merkle-logged.</w:t>
            </w:r>
          </w:p>
        </w:tc>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VI Transparency — evidence of evaluation</w:t>
            </w:r>
          </w:p>
        </w:tc>
      </w:tr>
      <w:tr>
        <w:tc>
          <w:tcPr>
            <w:tcW w:type="dxa" w:w="1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REVIEW</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Default (no other rule triggered)</w:t>
            </w:r>
          </w:p>
        </w:tc>
        <w:tc>
          <w:tcPr>
            <w:tcW w:type="dxa" w:w="33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HITL queue. 48h SLA. s33 RSA plain-language explanation required.</w:t>
            </w:r>
          </w:p>
        </w:tc>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VIII Human Primacy — human in loop</w:t>
            </w:r>
          </w:p>
        </w:tc>
      </w:tr>
      <w:tr>
        <w:tc>
          <w:tcPr>
            <w:tcW w:type="dxa" w:w="1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ESCALATE</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Compliance ≤4 OR Composite Score 3.0–4.9</w:t>
            </w:r>
          </w:p>
        </w:tc>
        <w:tc>
          <w:tcPr>
            <w:tcW w:type="dxa" w:w="33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COB notification. 30-day remediation window. DCDT informed. SA Policy Pillar 03 breach declared.</w:t>
            </w:r>
          </w:p>
        </w:tc>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XI Anti-Corruption — independent oversight</w:t>
            </w:r>
          </w:p>
        </w:tc>
      </w:tr>
      <w:tr>
        <w:tc>
          <w:tcPr>
            <w:tcW w:type="dxa" w:w="1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BLOCK</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Risk ≥7 OR System classified PROHIBITED</w:t>
            </w:r>
          </w:p>
        </w:tc>
        <w:tc>
          <w:tcPr>
            <w:tcW w:type="dxa" w:w="33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Immediate suspension. SAHRC notified if bias involved. System offline pending full remediation.</w:t>
            </w:r>
          </w:p>
        </w:tc>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VIII — human primacy. Constitutional s9, s10, s12</w:t>
            </w:r>
          </w:p>
        </w:tc>
      </w:tr>
    </w:tbl>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04  EVA POLICY ENGINE</w:t>
      </w:r>
    </w:p>
    <w:p>
      <w:pPr>
        <w:pStyle w:val="Heading2"/>
        <w:spacing w:after="100" w:before="280"/>
      </w:pPr>
      <w:r>
        <w:rPr>
          <w:rFonts w:ascii="Arial" w:cs="Arial" w:eastAsia="Arial" w:hAnsi="Arial"/>
          <w:b/>
          <w:bCs/>
          <w:color w:val="04091A"/>
          <w:sz w:val="26"/>
          <w:szCs w:val="26"/>
        </w:rPr>
        <w:t xml:space="preserve">4.1  Policy-as-Code Architecture</w:t>
      </w:r>
    </w:p>
    <w:p>
      <w:pPr>
        <w:spacing w:after="120" w:before="60" w:line="276"/>
      </w:pPr>
      <w:r>
        <w:rPr>
          <w:rFonts w:ascii="Arial" w:cs="Arial" w:eastAsia="Arial" w:hAnsi="Arial"/>
          <w:b w:val="false"/>
          <w:bCs w:val="false"/>
          <w:i w:val="false"/>
          <w:iCs w:val="false"/>
          <w:color w:val="1A1A2E"/>
          <w:sz w:val="22"/>
          <w:szCs w:val="22"/>
        </w:rPr>
        <w:t xml:space="preserve">The EVA Policy Engine implements governance rules as code — not as policy documents. Rules are versioned, tested, COB-approved, and hot-reloadable with &lt;5ms evaluation time. The architecture is inspired by Open Policy Agent (OPA) and Rego patterns, adapted for the South African constitutional governance context.</w:t>
      </w:r>
    </w:p>
    <w:p>
      <w:pPr>
        <w:spacing w:after="120" w:before="60" w:line="276"/>
      </w:pPr>
      <w:r>
        <w:rPr>
          <w:rFonts w:ascii="Arial" w:cs="Arial" w:eastAsia="Arial" w:hAnsi="Arial"/>
          <w:b w:val="false"/>
          <w:bCs w:val="false"/>
          <w:i w:val="false"/>
          <w:iCs w:val="false"/>
          <w:color w:val="1A1A2E"/>
          <w:sz w:val="22"/>
          <w:szCs w:val="22"/>
        </w:rPr>
        <w:t xml:space="preserve">All policy rules are stored in the UDOC configuration database, signed by the relevant authority on creation, and replicated to the immutable audit store. No rule change can occur without generating a Constitutional audit record under Pillar VI. COB members have read access to the complete rule set and veto authority over any rule that implicates constitutional pillar obligations.</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12"/>
              <w:left w:val="single" w:color="C9A84C" w:sz="12"/>
              <w:bottom w:val="none" w:color="FFFFFF" w:sz="0"/>
              <w:right w:val="none" w:color="FFFFFF" w:sz="0"/>
            </w:tcBorders>
            <w:shd w:fill="F8F8FC" w:val="clear"/>
            <w:tcMar>
              <w:top w:type="dxa" w:w="100"/>
              <w:left w:type="dxa" w:w="160"/>
              <w:bottom w:type="dxa" w:w="100"/>
              <w:right w:type="dxa" w:w="160"/>
            </w:tcMar>
          </w:tcPr>
          <w:p>
            <w:pPr>
              <w:spacing w:after="60" w:before="0"/>
            </w:pPr>
            <w:r>
              <w:rPr>
                <w:rFonts w:ascii="Arial" w:cs="Arial" w:eastAsia="Arial" w:hAnsi="Arial"/>
                <w:b/>
                <w:bCs/>
                <w:color w:val="C9A84C"/>
                <w:sz w:val="20"/>
                <w:szCs w:val="20"/>
              </w:rPr>
              <w:t xml:space="preserve">POLICY ENGINE CONSTITUTIONAL CONSTRAINT</w:t>
            </w:r>
          </w:p>
          <w:p>
            <w:pPr>
              <w:spacing w:after="0" w:before="0"/>
            </w:pPr>
            <w:r>
              <w:rPr>
                <w:rFonts w:ascii="Arial" w:cs="Arial" w:eastAsia="Arial" w:hAnsi="Arial"/>
                <w:color w:val="1A1A2E"/>
                <w:sz w:val="20"/>
                <w:szCs w:val="20"/>
              </w:rPr>
              <w:t xml:space="preserve">The EVA Policy Engine cannot be configured to produce outcomes that bypass Constitutional Pillar VIII (Human Primacy). Specifically: no policy rule may classify a HIGH RISK system as APPROVE without evidence of a documented HITL pathway. The BLOCK threshold for Risk Score is configurable between 5–9, but the minimum enforceable threshold is 5. Risk thresholds below 5 require COB supermajority (4/5) approval and are logged as constitutional configuration events.</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4.2  Standard Policy Rule Set — GG54477 Aligned</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600"/>
        <w:gridCol w:w="2400"/>
        <w:gridCol w:w="2000"/>
        <w:gridCol w:w="1200"/>
        <w:gridCol w:w="1060"/>
      </w:tblGrid>
      <w:tr>
        <w:trPr>
          <w:tblHeader/>
        </w:trPr>
        <w:tc>
          <w:tcPr>
            <w:tcW w:type="dxa" w:w="11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Rule ID</w:t>
            </w:r>
          </w:p>
        </w:tc>
        <w:tc>
          <w:tcPr>
            <w:tcW w:type="dxa" w:w="1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Name</w:t>
            </w:r>
          </w:p>
        </w:tc>
        <w:tc>
          <w:tcPr>
            <w:tcW w:type="dxa" w:w="2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Condition</w:t>
            </w:r>
          </w:p>
        </w:tc>
        <w:tc>
          <w:tcPr>
            <w:tcW w:type="dxa" w:w="20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Action</w:t>
            </w:r>
          </w:p>
        </w:tc>
        <w:tc>
          <w:tcPr>
            <w:tcW w:type="dxa" w:w="12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GG54477 Ref</w:t>
            </w:r>
          </w:p>
        </w:tc>
        <w:tc>
          <w:tcPr>
            <w:tcW w:type="dxa" w:w="10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COB Sign-off</w:t>
            </w:r>
          </w:p>
        </w:tc>
      </w:tr>
      <w:tr>
        <w:tc>
          <w:tcPr>
            <w:tcW w:type="dxa" w:w="11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EVA-RULE-001</w:t>
            </w:r>
          </w:p>
        </w:tc>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Risk Block</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Risk Score ≥ 7</w:t>
            </w:r>
          </w:p>
        </w:tc>
        <w:tc>
          <w:tcPr>
            <w:tcW w:type="dxa" w:w="2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BLOCK — suspend system, SAHRC notify, HITL mandatory</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04 · s3.3</w:t>
            </w:r>
          </w:p>
        </w:tc>
        <w:tc>
          <w:tcPr>
            <w:tcW w:type="dxa" w:w="10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Required</w:t>
            </w:r>
          </w:p>
        </w:tc>
      </w:tr>
      <w:tr>
        <w:tc>
          <w:tcPr>
            <w:tcW w:type="dxa" w:w="11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EVA-RULE-002</w:t>
            </w:r>
          </w:p>
        </w:tc>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Compliance Escalate</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Compliance Score ≤ 4</w:t>
            </w:r>
          </w:p>
        </w:tc>
        <w:tc>
          <w:tcPr>
            <w:tcW w:type="dxa" w:w="2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ESCALATE — COB review, 30d remediation, DCDT notification</w:t>
            </w:r>
          </w:p>
        </w:tc>
        <w:tc>
          <w:tcPr>
            <w:tcW w:type="dxa" w:w="1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03 · s4.1</w:t>
            </w:r>
          </w:p>
        </w:tc>
        <w:tc>
          <w:tcPr>
            <w:tcW w:type="dxa" w:w="10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Required</w:t>
            </w:r>
          </w:p>
        </w:tc>
      </w:tr>
      <w:tr>
        <w:tc>
          <w:tcPr>
            <w:tcW w:type="dxa" w:w="11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EVA-RULE-003</w:t>
            </w:r>
          </w:p>
        </w:tc>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Approve Gate</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Validity ≥7 AND Confidence ≥7</w:t>
            </w:r>
          </w:p>
        </w:tc>
        <w:tc>
          <w:tcPr>
            <w:tcW w:type="dxa" w:w="2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APPROVE — EVA cert issued, Merkle logged, deployment cleared</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03 · s3.3</w:t>
            </w:r>
          </w:p>
        </w:tc>
        <w:tc>
          <w:tcPr>
            <w:tcW w:type="dxa" w:w="10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Required</w:t>
            </w:r>
          </w:p>
        </w:tc>
      </w:tr>
      <w:tr>
        <w:tc>
          <w:tcPr>
            <w:tcW w:type="dxa" w:w="11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EVA-RULE-004</w:t>
            </w:r>
          </w:p>
        </w:tc>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Default Review</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DEFAULT (no other rule fires)</w:t>
            </w:r>
          </w:p>
        </w:tc>
        <w:tc>
          <w:tcPr>
            <w:tcW w:type="dxa" w:w="2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REVIEW — HITL queue, 48h SLA, s33 RSA explanation</w:t>
            </w:r>
          </w:p>
        </w:tc>
        <w:tc>
          <w:tcPr>
            <w:tcW w:type="dxa" w:w="1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06 · s33 RSA</w:t>
            </w:r>
          </w:p>
        </w:tc>
        <w:tc>
          <w:tcPr>
            <w:tcW w:type="dxa" w:w="10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Required</w:t>
            </w:r>
          </w:p>
        </w:tc>
      </w:tr>
      <w:tr>
        <w:tc>
          <w:tcPr>
            <w:tcW w:type="dxa" w:w="11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EVA-RULE-005</w:t>
            </w:r>
          </w:p>
        </w:tc>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Impact + Risk Escalate</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Impact ≥8 AND Risk ≥5</w:t>
            </w:r>
          </w:p>
        </w:tc>
        <w:tc>
          <w:tcPr>
            <w:tcW w:type="dxa" w:w="2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ESCALATE + HRIA — mandatory HRIA trigger, Pillar 04 breach declared</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04 — HRIA mandate</w:t>
            </w:r>
          </w:p>
        </w:tc>
        <w:tc>
          <w:tcPr>
            <w:tcW w:type="dxa" w:w="10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COB Pending</w:t>
            </w:r>
          </w:p>
        </w:tc>
      </w:tr>
      <w:tr>
        <w:tc>
          <w:tcPr>
            <w:tcW w:type="dxa" w:w="11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EVA-RULE-006</w:t>
            </w:r>
          </w:p>
        </w:tc>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Stability Alert</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Stability Score ≤5 (Drift &gt;0.15)</w:t>
            </w:r>
          </w:p>
        </w:tc>
        <w:tc>
          <w:tcPr>
            <w:tcW w:type="dxa" w:w="2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ALERT — lifecycle review, model retrain mandate, COB notified</w:t>
            </w:r>
          </w:p>
        </w:tc>
        <w:tc>
          <w:tcPr>
            <w:tcW w:type="dxa" w:w="1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GG54477 lifecycle governance</w:t>
            </w:r>
          </w:p>
        </w:tc>
        <w:tc>
          <w:tcPr>
            <w:tcW w:type="dxa" w:w="10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Required</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4.3  EVA Certificate Architecture</w:t>
      </w:r>
    </w:p>
    <w:p>
      <w:pPr>
        <w:spacing w:after="120" w:before="60" w:line="276"/>
      </w:pPr>
      <w:r>
        <w:rPr>
          <w:rFonts w:ascii="Arial" w:cs="Arial" w:eastAsia="Arial" w:hAnsi="Arial"/>
          <w:b w:val="false"/>
          <w:bCs w:val="false"/>
          <w:i w:val="false"/>
          <w:iCs w:val="false"/>
          <w:color w:val="1A1A2E"/>
          <w:sz w:val="22"/>
          <w:szCs w:val="22"/>
        </w:rPr>
        <w:t xml:space="preserve">When the EVA engine produces an APPROVE outcome, it generates a signed EVA Certificate — a structured governance evidence object that serves as proof of systematic evaluation. The EVA Certificate is written to the UDOC Cassandra WORM audit cluster and is independently verifiable by any party with the UDOC public key.</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091A" w:sz="4"/>
              <w:left w:val="single" w:color="04091A" w:sz="4"/>
              <w:bottom w:val="single" w:color="04091A" w:sz="4"/>
              <w:right w:val="single" w:color="04091A" w:sz="4"/>
            </w:tcBorders>
            <w:shd w:fill="F8F8FC" w:val="clear"/>
            <w:tcMar>
              <w:top w:type="dxa" w:w="120"/>
              <w:left w:type="dxa" w:w="180"/>
              <w:bottom w:type="dxa" w:w="120"/>
              <w:right w:type="dxa" w:w="180"/>
            </w:tcMar>
          </w:tcPr>
          <w:p>
            <w:r>
              <w:rPr>
                <w:rFonts w:ascii="Courier New" w:cs="Courier New" w:eastAsia="Courier New" w:hAnsi="Courier New"/>
                <w:color w:val="888888"/>
                <w:sz w:val="16"/>
                <w:szCs w:val="16"/>
              </w:rPr>
              <w:t xml:space="preserve">// EVA Certificate Schema - JSON-LD</w:t>
            </w:r>
          </w:p>
          <w:p>
            <w:r>
              <w:rPr>
                <w:rFonts w:ascii="Courier New" w:cs="Courier New" w:eastAsia="Courier New" w:hAnsi="Courier New"/>
                <w:color w:val="1A1A2E"/>
                <w:sz w:val="18"/>
                <w:szCs w:val="18"/>
              </w:rPr>
              <w:t xml:space="preserve">{</w:t>
            </w:r>
          </w:p>
          <w:p>
            <w:r>
              <w:rPr>
                <w:rFonts w:ascii="Courier New" w:cs="Courier New" w:eastAsia="Courier New" w:hAnsi="Courier New"/>
                <w:color w:val="1A1A2E"/>
                <w:sz w:val="18"/>
                <w:szCs w:val="18"/>
              </w:rPr>
              <w:t xml:space="preserve">  "eva_cert_id": "EVA-CERT-20260428-SYS002-001",</w:t>
            </w:r>
          </w:p>
          <w:p>
            <w:r>
              <w:rPr>
                <w:rFonts w:ascii="Courier New" w:cs="Courier New" w:eastAsia="Courier New" w:hAnsi="Courier New"/>
                <w:color w:val="1A1A2E"/>
                <w:sz w:val="18"/>
                <w:szCs w:val="18"/>
              </w:rPr>
              <w:t xml:space="preserve">  "system_id": "SYS-002",</w:t>
            </w:r>
          </w:p>
          <w:p>
            <w:r>
              <w:rPr>
                <w:rFonts w:ascii="Courier New" w:cs="Courier New" w:eastAsia="Courier New" w:hAnsi="Courier New"/>
                <w:color w:val="1A1A2E"/>
                <w:sz w:val="18"/>
                <w:szCs w:val="18"/>
              </w:rPr>
              <w:t xml:space="preserve">  "evaluation_timestamp": "2026-04-28T09:45:00.000000Z",</w:t>
            </w:r>
          </w:p>
          <w:p>
            <w:r>
              <w:rPr>
                <w:rFonts w:ascii="Courier New" w:cs="Courier New" w:eastAsia="Courier New" w:hAnsi="Courier New"/>
                <w:color w:val="1A1A2E"/>
                <w:sz w:val="18"/>
                <w:szCs w:val="18"/>
              </w:rPr>
              <w:t xml:space="preserve">  "dimensions": {</w:t>
            </w:r>
          </w:p>
          <w:p>
            <w:r>
              <w:rPr>
                <w:rFonts w:ascii="Courier New" w:cs="Courier New" w:eastAsia="Courier New" w:hAnsi="Courier New"/>
                <w:color w:val="1A1A2E"/>
                <w:sz w:val="18"/>
                <w:szCs w:val="18"/>
              </w:rPr>
              <w:t xml:space="preserve">    "validity": 9, "confidence": 8, "risk": 3,</w:t>
            </w:r>
          </w:p>
          <w:p>
            <w:r>
              <w:rPr>
                <w:rFonts w:ascii="Courier New" w:cs="Courier New" w:eastAsia="Courier New" w:hAnsi="Courier New"/>
                <w:color w:val="1A1A2E"/>
                <w:sz w:val="18"/>
                <w:szCs w:val="18"/>
              </w:rPr>
              <w:t xml:space="preserve">    "compliance": 9, "stability": 8, "impact": 3</w:t>
            </w:r>
          </w:p>
          <w:p>
            <w:r>
              <w:rPr>
                <w:rFonts w:ascii="Courier New" w:cs="Courier New" w:eastAsia="Courier New" w:hAnsi="Courier New"/>
                <w:color w:val="1A1A2E"/>
                <w:sz w:val="18"/>
                <w:szCs w:val="18"/>
              </w:rPr>
              <w:t xml:space="preserve">  },</w:t>
            </w:r>
          </w:p>
          <w:p>
            <w:r>
              <w:rPr>
                <w:rFonts w:ascii="Courier New" w:cs="Courier New" w:eastAsia="Courier New" w:hAnsi="Courier New"/>
                <w:color w:val="1A1A2E"/>
                <w:sz w:val="18"/>
                <w:szCs w:val="18"/>
              </w:rPr>
              <w:t xml:space="preserve">  "composite_score": 8.7,</w:t>
            </w:r>
          </w:p>
          <w:p>
            <w:r>
              <w:rPr>
                <w:rFonts w:ascii="Courier New" w:cs="Courier New" w:eastAsia="Courier New" w:hAnsi="Courier New"/>
                <w:color w:val="1E8449"/>
                <w:sz w:val="18"/>
                <w:szCs w:val="18"/>
              </w:rPr>
              <w:t xml:space="preserve">  "outcome": "APPROVE",</w:t>
            </w:r>
          </w:p>
          <w:p>
            <w:r>
              <w:rPr>
                <w:rFonts w:ascii="Courier New" w:cs="Courier New" w:eastAsia="Courier New" w:hAnsi="Courier New"/>
                <w:color w:val="1A1A2E"/>
                <w:sz w:val="18"/>
                <w:szCs w:val="18"/>
              </w:rPr>
              <w:t xml:space="preserve">  "rules_applied": ["EVA-RULE-003"],</w:t>
            </w:r>
          </w:p>
          <w:p>
            <w:r>
              <w:rPr>
                <w:rFonts w:ascii="Courier New" w:cs="Courier New" w:eastAsia="Courier New" w:hAnsi="Courier New"/>
                <w:color w:val="1A1A2E"/>
                <w:sz w:val="18"/>
                <w:szCs w:val="18"/>
              </w:rPr>
              <w:t xml:space="preserve">  "policy_version": "v2.1",</w:t>
            </w:r>
          </w:p>
          <w:p>
            <w:r>
              <w:rPr>
                <w:rFonts w:ascii="Courier New" w:cs="Courier New" w:eastAsia="Courier New" w:hAnsi="Courier New"/>
                <w:color w:val="1A1A2E"/>
                <w:sz w:val="18"/>
                <w:szCs w:val="18"/>
              </w:rPr>
              <w:t xml:space="preserve">  "gg54477_aligned": true,</w:t>
            </w:r>
          </w:p>
          <w:p>
            <w:r>
              <w:rPr>
                <w:rFonts w:ascii="Courier New" w:cs="Courier New" w:eastAsia="Courier New" w:hAnsi="Courier New"/>
                <w:color w:val="1A1A2E"/>
                <w:sz w:val="18"/>
                <w:szCs w:val="18"/>
              </w:rPr>
              <w:t xml:space="preserve">  "hitl_pathway_verified": true,</w:t>
            </w:r>
          </w:p>
          <w:p>
            <w:r>
              <w:rPr>
                <w:rFonts w:ascii="Courier New" w:cs="Courier New" w:eastAsia="Courier New" w:hAnsi="Courier New"/>
                <w:color w:val="1A1A2E"/>
                <w:sz w:val="18"/>
                <w:szCs w:val="18"/>
              </w:rPr>
              <w:t xml:space="preserve">  "signature": "dilithium3:9c2a8f4b3e...",</w:t>
            </w:r>
          </w:p>
          <w:p>
            <w:r>
              <w:rPr>
                <w:rFonts w:ascii="Courier New" w:cs="Courier New" w:eastAsia="Courier New" w:hAnsi="Courier New"/>
                <w:color w:val="1A1A2E"/>
                <w:sz w:val="18"/>
                <w:szCs w:val="18"/>
              </w:rPr>
              <w:t xml:space="preserve">  "merkle_leaf": "sha3-256:f4a8e291...",</w:t>
            </w:r>
          </w:p>
          <w:p>
            <w:r>
              <w:rPr>
                <w:rFonts w:ascii="Courier New" w:cs="Courier New" w:eastAsia="Courier New" w:hAnsi="Courier New"/>
                <w:color w:val="1A1A2E"/>
                <w:sz w:val="18"/>
                <w:szCs w:val="18"/>
              </w:rPr>
              <w:t xml:space="preserve">  "issuing_authority": "UDOC EVA Engine v7.0"</w:t>
            </w:r>
          </w:p>
          <w:p>
            <w:r>
              <w:rPr>
                <w:rFonts w:ascii="Courier New" w:cs="Courier New" w:eastAsia="Courier New" w:hAnsi="Courier New"/>
                <w:color w:val="1A1A2E"/>
                <w:sz w:val="18"/>
                <w:szCs w:val="18"/>
              </w:rPr>
              <w:t xml:space="preserve">}</w:t>
            </w:r>
          </w:p>
        </w:tc>
      </w:tr>
    </w:tbl>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05  UDOC v7.0 + EVA INTEGRATION ARCHITECTURE</w:t>
      </w:r>
    </w:p>
    <w:p>
      <w:pPr>
        <w:pStyle w:val="Heading2"/>
        <w:spacing w:after="100" w:before="280"/>
      </w:pPr>
      <w:r>
        <w:rPr>
          <w:rFonts w:ascii="Arial" w:cs="Arial" w:eastAsia="Arial" w:hAnsi="Arial"/>
          <w:b/>
          <w:bCs/>
          <w:color w:val="04091A"/>
          <w:sz w:val="26"/>
          <w:szCs w:val="26"/>
        </w:rPr>
        <w:t xml:space="preserve">5.1  Integration Overview</w:t>
      </w:r>
    </w:p>
    <w:p>
      <w:pPr>
        <w:spacing w:after="120" w:before="60" w:line="276"/>
      </w:pPr>
      <w:r>
        <w:rPr>
          <w:rFonts w:ascii="Arial" w:cs="Arial" w:eastAsia="Arial" w:hAnsi="Arial"/>
          <w:b w:val="false"/>
          <w:bCs w:val="false"/>
          <w:i w:val="false"/>
          <w:iCs w:val="false"/>
          <w:color w:val="1A1A2E"/>
          <w:sz w:val="22"/>
          <w:szCs w:val="22"/>
        </w:rPr>
        <w:t xml:space="preserve">EVA is integrated into the UDOC v7.0 platform as a first-class governance module. The integration operates at five layers: the API ingestion layer (pre-decision evaluation), the governance processing core (EVA engine execution), the audit and data operations layer (certificate storage), the human oversight layer (HITL routing), and the COB notification layer (escalation and blocking).</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3000"/>
        <w:gridCol w:w="2760"/>
      </w:tblGrid>
      <w:tr>
        <w:trPr>
          <w:tblHeader/>
        </w:trPr>
        <w:tc>
          <w:tcPr>
            <w:tcW w:type="dxa" w:w="1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Layer</w:t>
            </w:r>
          </w:p>
        </w:tc>
        <w:tc>
          <w:tcPr>
            <w:tcW w:type="dxa" w:w="22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Integration Point</w:t>
            </w:r>
          </w:p>
        </w:tc>
        <w:tc>
          <w:tcPr>
            <w:tcW w:type="dxa" w:w="30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EVA Function</w:t>
            </w:r>
          </w:p>
        </w:tc>
        <w:tc>
          <w:tcPr>
            <w:tcW w:type="dxa" w:w="27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Latency Target</w:t>
            </w:r>
          </w:p>
        </w:tc>
      </w:tr>
      <w:tr>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API Ingestion</w:t>
            </w:r>
          </w:p>
        </w:tc>
        <w:tc>
          <w:tcPr>
            <w:tcW w:type="dxa" w:w="2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UDOC API Gateway — all AI decision events</w:t>
            </w:r>
          </w:p>
        </w:tc>
        <w:tc>
          <w:tcPr>
            <w:tcW w:type="dxa" w:w="3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pre-screen: risk classification, compliance check</w:t>
            </w:r>
          </w:p>
        </w:tc>
        <w:tc>
          <w:tcPr>
            <w:tcW w:type="dxa" w:w="27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&lt;10ms</w:t>
            </w:r>
          </w:p>
        </w:tc>
      </w:tr>
      <w:tr>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Governance Core</w:t>
            </w:r>
          </w:p>
        </w:tc>
        <w:tc>
          <w:tcPr>
            <w:tcW w:type="dxa" w:w="2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FastAPI EVA service — full 6-dimension evaluation</w:t>
            </w:r>
          </w:p>
        </w:tc>
        <w:tc>
          <w:tcPr>
            <w:tcW w:type="dxa" w:w="3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Complete EVA scoring, policy rule execution, outcome assignment</w:t>
            </w:r>
          </w:p>
        </w:tc>
        <w:tc>
          <w:tcPr>
            <w:tcW w:type="dxa" w:w="27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&lt;40ms</w:t>
            </w:r>
          </w:p>
        </w:tc>
      </w:tr>
      <w:tr>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Audit Store</w:t>
            </w:r>
          </w:p>
        </w:tc>
        <w:tc>
          <w:tcPr>
            <w:tcW w:type="dxa" w:w="2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Cassandra WORM cluster — immutable EVA records</w:t>
            </w:r>
          </w:p>
        </w:tc>
        <w:tc>
          <w:tcPr>
            <w:tcW w:type="dxa" w:w="3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certificate write, Merkle chain update, Dilithium signature</w:t>
            </w:r>
          </w:p>
        </w:tc>
        <w:tc>
          <w:tcPr>
            <w:tcW w:type="dxa" w:w="27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&lt;100ms async</w:t>
            </w:r>
          </w:p>
        </w:tc>
      </w:tr>
      <w:tr>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HITL Layer</w:t>
            </w:r>
          </w:p>
        </w:tc>
        <w:tc>
          <w:tcPr>
            <w:tcW w:type="dxa" w:w="2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Human oversight queue — REVIEW and ESCALATE outcomes</w:t>
            </w:r>
          </w:p>
        </w:tc>
        <w:tc>
          <w:tcPr>
            <w:tcW w:type="dxa" w:w="3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Route to designated reviewer, attach EVA output, set SLA timer</w:t>
            </w:r>
          </w:p>
        </w:tc>
        <w:tc>
          <w:tcPr>
            <w:tcW w:type="dxa" w:w="27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&lt;500ms</w:t>
            </w:r>
          </w:p>
        </w:tc>
      </w:tr>
      <w:tr>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COB Notifications</w:t>
            </w:r>
          </w:p>
        </w:tc>
        <w:tc>
          <w:tcPr>
            <w:tcW w:type="dxa" w:w="2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COB alert dispatcher — BLOCK and ESCALATE outcomes</w:t>
            </w:r>
          </w:p>
        </w:tc>
        <w:tc>
          <w:tcPr>
            <w:tcW w:type="dxa" w:w="3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Constitutional breach declaration, SAHRC notification, DCDT report</w:t>
            </w:r>
          </w:p>
        </w:tc>
        <w:tc>
          <w:tcPr>
            <w:tcW w:type="dxa" w:w="27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&lt;1s async</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5.2  EVA Data Flow</w:t>
      </w:r>
    </w:p>
    <w:p>
      <w:pPr>
        <w:spacing w:after="120" w:before="60" w:line="276"/>
      </w:pPr>
      <w:r>
        <w:rPr>
          <w:rFonts w:ascii="Arial" w:cs="Arial" w:eastAsia="Arial" w:hAnsi="Arial"/>
          <w:b w:val="false"/>
          <w:bCs w:val="false"/>
          <w:i w:val="false"/>
          <w:iCs w:val="false"/>
          <w:color w:val="1A1A2E"/>
          <w:sz w:val="22"/>
          <w:szCs w:val="22"/>
        </w:rPr>
        <w:t xml:space="preserve">The EVA data flow through UDOC v7.0 follows a deterministic processing pipeline. The pipeline is designed to add a maximum of 50ms synchronous governance overhead for HIGH RISK systems, in compliance with the UDOC SLA and SA AI Policy GG54477 Pillar 03 requirements.</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D4" w:sz="12"/>
              <w:left w:val="single" w:color="00D4D4" w:sz="12"/>
              <w:bottom w:val="none" w:color="FFFFFF" w:sz="0"/>
              <w:right w:val="none" w:color="FFFFFF" w:sz="0"/>
            </w:tcBorders>
            <w:shd w:fill="F8F8FC" w:val="clear"/>
            <w:tcMar>
              <w:top w:type="dxa" w:w="100"/>
              <w:left w:type="dxa" w:w="160"/>
              <w:bottom w:type="dxa" w:w="100"/>
              <w:right w:type="dxa" w:w="160"/>
            </w:tcMar>
          </w:tcPr>
          <w:p>
            <w:pPr>
              <w:spacing w:after="60" w:before="0"/>
            </w:pPr>
            <w:r>
              <w:rPr>
                <w:rFonts w:ascii="Arial" w:cs="Arial" w:eastAsia="Arial" w:hAnsi="Arial"/>
                <w:b/>
                <w:bCs/>
                <w:color w:val="00D4D4"/>
                <w:sz w:val="20"/>
                <w:szCs w:val="20"/>
              </w:rPr>
              <w:t xml:space="preserve">EVA PIPELINE SEQUENCE</w:t>
            </w:r>
          </w:p>
          <w:p>
            <w:pPr>
              <w:spacing w:after="0" w:before="0"/>
            </w:pPr>
            <w:r>
              <w:rPr>
                <w:rFonts w:ascii="Arial" w:cs="Arial" w:eastAsia="Arial" w:hAnsi="Arial"/>
                <w:color w:val="1A1A2E"/>
                <w:sz w:val="20"/>
                <w:szCs w:val="20"/>
              </w:rPr>
              <w:t xml:space="preserve">STEP 1: AI Decision Event submitted to UDOC API (any registered system) → STEP 2: EVA pre-screen (risk tier lookup, jurisdiction check, HITL pathway verification) → STEP 3: Full 6-dimension EVA evaluation (Validity, Confidence, Risk, Compliance, Stability, Impact) → STEP 4: Policy rule engine execution (APPROVE / REVIEW / ESCALATE / BLOCK) → STEP 5: EVA Certificate generation (Dilithium signed, JSON-LD) → STEP 6: Cassandra WORM write (Merkle chain update) → STEP 7: Outcome routing (deployment clear / HITL queue / COB escalation / system block)</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5.3  EVA API Endpoints</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1400"/>
        <w:gridCol w:w="4960"/>
      </w:tblGrid>
      <w:tr>
        <w:trPr>
          <w:tblHeader/>
        </w:trPr>
        <w:tc>
          <w:tcPr>
            <w:tcW w:type="dxa" w:w="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Method</w:t>
            </w:r>
          </w:p>
        </w:tc>
        <w:tc>
          <w:tcPr>
            <w:tcW w:type="dxa" w:w="2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Endpoint</w:t>
            </w:r>
          </w:p>
        </w:tc>
        <w:tc>
          <w:tcPr>
            <w:tcW w:type="dxa" w:w="1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Auth Required</w:t>
            </w:r>
          </w:p>
        </w:tc>
        <w:tc>
          <w:tcPr>
            <w:tcW w:type="dxa" w:w="49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Function</w:t>
            </w:r>
          </w:p>
        </w:tc>
      </w:tr>
      <w:tr>
        <w:tc>
          <w:tcPr>
            <w:tcW w:type="dxa" w:w="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POST</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/api/v1/eva/evaluate</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UDOC_OPERATOR+</w:t>
            </w:r>
          </w:p>
        </w:tc>
        <w:tc>
          <w:tcPr>
            <w:tcW w:type="dxa" w:w="4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Submit AI decision for full EVA evaluation. Returns EVA certificate.</w:t>
            </w:r>
          </w:p>
        </w:tc>
      </w:tr>
      <w:tr>
        <w:tc>
          <w:tcPr>
            <w:tcW w:type="dxa" w:w="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GET</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/api/v1/eva/evaluate/{id}</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UDOC_OPERATOR+</w:t>
            </w:r>
          </w:p>
        </w:tc>
        <w:tc>
          <w:tcPr>
            <w:tcW w:type="dxa" w:w="4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Retrieve EVA evaluation result by ID. Includes all 6 dimension scores.</w:t>
            </w:r>
          </w:p>
        </w:tc>
      </w:tr>
      <w:tr>
        <w:tc>
          <w:tcPr>
            <w:tcW w:type="dxa" w:w="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GET</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/api/v1/eva/evaluate/{id}/verify</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PUBLIC</w:t>
            </w:r>
          </w:p>
        </w:tc>
        <w:tc>
          <w:tcPr>
            <w:tcW w:type="dxa" w:w="4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Cryptographic verification of EVA certificate. Merkle proof returned.</w:t>
            </w:r>
          </w:p>
        </w:tc>
      </w:tr>
      <w:tr>
        <w:tc>
          <w:tcPr>
            <w:tcW w:type="dxa" w:w="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GET</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/api/v1/eva/systems</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UDOC_OPERATOR+</w:t>
            </w:r>
          </w:p>
        </w:tc>
        <w:tc>
          <w:tcPr>
            <w:tcW w:type="dxa" w:w="4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List all EVA-monitored systems with latest composite score.</w:t>
            </w:r>
          </w:p>
        </w:tc>
      </w:tr>
      <w:tr>
        <w:tc>
          <w:tcPr>
            <w:tcW w:type="dxa" w:w="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GET</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/api/v1/eva/systems/{id}/history</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UDOC_OPERATOR+</w:t>
            </w:r>
          </w:p>
        </w:tc>
        <w:tc>
          <w:tcPr>
            <w:tcW w:type="dxa" w:w="4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Historical EVA scores for a system. Trend analysis. Drift detection.</w:t>
            </w:r>
          </w:p>
        </w:tc>
      </w:tr>
      <w:tr>
        <w:tc>
          <w:tcPr>
            <w:tcW w:type="dxa" w:w="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POST</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/api/v1/eva/policy/rules</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UDOC_ADMIN+</w:t>
            </w:r>
          </w:p>
        </w:tc>
        <w:tc>
          <w:tcPr>
            <w:tcW w:type="dxa" w:w="4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Create new EVA policy rule. COB sign-off workflow triggered for HIGH RISK rules.</w:t>
            </w:r>
          </w:p>
        </w:tc>
      </w:tr>
      <w:tr>
        <w:tc>
          <w:tcPr>
            <w:tcW w:type="dxa" w:w="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GET</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/api/v1/eva/policy/rules</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UDOC_OPERATOR+</w:t>
            </w:r>
          </w:p>
        </w:tc>
        <w:tc>
          <w:tcPr>
            <w:tcW w:type="dxa" w:w="4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List all active EVA policy rules with version and sign-off status.</w:t>
            </w:r>
          </w:p>
        </w:tc>
      </w:tr>
      <w:tr>
        <w:tc>
          <w:tcPr>
            <w:tcW w:type="dxa" w:w="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POST</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/api/v1/eva/sweep</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UDOC_ADMIN+</w:t>
            </w:r>
          </w:p>
        </w:tc>
        <w:tc>
          <w:tcPr>
            <w:tcW w:type="dxa" w:w="4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Trigger full EVA sweep across all registered AI systems.</w:t>
            </w:r>
          </w:p>
        </w:tc>
      </w:tr>
    </w:tbl>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06  REGULATORY COMPLIANCE MAPPING</w:t>
      </w:r>
    </w:p>
    <w:p>
      <w:pPr>
        <w:pStyle w:val="Heading2"/>
        <w:spacing w:after="100" w:before="280"/>
      </w:pPr>
      <w:r>
        <w:rPr>
          <w:rFonts w:ascii="Arial" w:cs="Arial" w:eastAsia="Arial" w:hAnsi="Arial"/>
          <w:b/>
          <w:bCs/>
          <w:color w:val="04091A"/>
          <w:sz w:val="26"/>
          <w:szCs w:val="26"/>
        </w:rPr>
        <w:t xml:space="preserve">6.1  SA AI Policy GG54477 Alignment Matrix</w:t>
      </w:r>
    </w:p>
    <w:p>
      <w:pPr>
        <w:spacing w:after="120" w:before="60" w:line="276"/>
      </w:pPr>
      <w:r>
        <w:rPr>
          <w:rFonts w:ascii="Arial" w:cs="Arial" w:eastAsia="Arial" w:hAnsi="Arial"/>
          <w:b w:val="false"/>
          <w:bCs w:val="false"/>
          <w:i w:val="false"/>
          <w:iCs w:val="false"/>
          <w:color w:val="1A1A2E"/>
          <w:sz w:val="22"/>
          <w:szCs w:val="22"/>
        </w:rPr>
        <w:t xml:space="preserve">EVA is pre-aligned to all mandatory requirements of the Draft South Africa National AI Policy (GG No.54477, gazetted 10 April 2026, comment period closes 10 June 2026). The following matrix maps each GG54477 mandate to the specific EVA dimension or rule that implements it.</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400"/>
        <w:gridCol w:w="5160"/>
      </w:tblGrid>
      <w:tr>
        <w:trPr>
          <w:tblHeader/>
        </w:trPr>
        <w:tc>
          <w:tcPr>
            <w:tcW w:type="dxa" w:w="28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GG54477 Requirement</w:t>
            </w:r>
          </w:p>
        </w:tc>
        <w:tc>
          <w:tcPr>
            <w:tcW w:type="dxa" w:w="1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Section / Pillar</w:t>
            </w:r>
          </w:p>
        </w:tc>
        <w:tc>
          <w:tcPr>
            <w:tcW w:type="dxa" w:w="51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EVA Implementation</w:t>
            </w:r>
          </w:p>
        </w:tc>
      </w:tr>
      <w:tr>
        <w:tc>
          <w:tcPr>
            <w:tcW w:type="dxa" w:w="2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Mandatory HITL for critical AI decisions</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06 · s3.3</w:t>
            </w:r>
          </w:p>
        </w:tc>
        <w:tc>
          <w:tcPr>
            <w:tcW w:type="dxa" w:w="5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EVA-RULE-004 (default REVIEW) · Pillar VIII enforcement · HITL pathway verification in Validity score</w:t>
            </w:r>
          </w:p>
        </w:tc>
      </w:tr>
      <w:tr>
        <w:tc>
          <w:tcPr>
            <w:tcW w:type="dxa" w:w="2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Mandatory HRIA for HIGH RISK AI</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04</w:t>
            </w:r>
          </w:p>
        </w:tc>
        <w:tc>
          <w:tcPr>
            <w:tcW w:type="dxa" w:w="5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EVA-RULE-005 (Impact ≥8 + Risk ≥5 triggers HRIA) · Dimension 06 Impact scoring</w:t>
            </w:r>
          </w:p>
        </w:tc>
      </w:tr>
      <w:tr>
        <w:tc>
          <w:tcPr>
            <w:tcW w:type="dxa" w:w="2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AI registration before deployment</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03</w:t>
            </w:r>
          </w:p>
        </w:tc>
        <w:tc>
          <w:tcPr>
            <w:tcW w:type="dxa" w:w="5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prerequisite: system must be registered in UDOC AI Registry before EVA evaluation is permitted</w:t>
            </w:r>
          </w:p>
        </w:tc>
      </w:tr>
      <w:tr>
        <w:tc>
          <w:tcPr>
            <w:tcW w:type="dxa" w:w="2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Explainability in high-stakes domains</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03 · s3.3</w:t>
            </w:r>
          </w:p>
        </w:tc>
        <w:tc>
          <w:tcPr>
            <w:tcW w:type="dxa" w:w="5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REVIEW outcome requires s33 RSA plain-language explanation attached to EVA certificate</w:t>
            </w:r>
          </w:p>
        </w:tc>
      </w:tr>
      <w:tr>
        <w:tc>
          <w:tcPr>
            <w:tcW w:type="dxa" w:w="2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Bias mitigation and fairness monitoring</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04</w:t>
            </w:r>
          </w:p>
        </w:tc>
        <w:tc>
          <w:tcPr>
            <w:tcW w:type="dxa" w:w="5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Compliance score (Dim 04) incorporates SPD bias check results. BLOCK if SPD &gt;0.10 for HIGH RISK</w:t>
            </w:r>
          </w:p>
        </w:tc>
      </w:tr>
      <w:tr>
        <w:tc>
          <w:tcPr>
            <w:tcW w:type="dxa" w:w="2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Data sovereignty and protection</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05</w:t>
            </w:r>
          </w:p>
        </w:tc>
        <w:tc>
          <w:tcPr>
            <w:tcW w:type="dxa" w:w="5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evaluation records stored exclusively in ZA sovereign Cassandra cluster. Zero foreign transit.</w:t>
            </w:r>
          </w:p>
        </w:tc>
      </w:tr>
      <w:tr>
        <w:tc>
          <w:tcPr>
            <w:tcW w:type="dxa" w:w="2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Prohibition of unacceptable risk AI</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GG54477 risk framework</w:t>
            </w:r>
          </w:p>
        </w:tc>
        <w:tc>
          <w:tcPr>
            <w:tcW w:type="dxa" w:w="5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PROHIBITED tier systems receive EVA BLOCK outcome at registration — permanent suspension</w:t>
            </w:r>
          </w:p>
        </w:tc>
      </w:tr>
      <w:tr>
        <w:tc>
          <w:tcPr>
            <w:tcW w:type="dxa" w:w="2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Citizen right to challenge AI decisions</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06 · s33 RSA</w:t>
            </w:r>
          </w:p>
        </w:tc>
        <w:tc>
          <w:tcPr>
            <w:tcW w:type="dxa" w:w="5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REVIEW outcomes generate citizen-accessible explanation via UDOC Public Accountability Portal</w:t>
            </w:r>
          </w:p>
        </w:tc>
      </w:tr>
      <w:tr>
        <w:tc>
          <w:tcPr>
            <w:tcW w:type="dxa" w:w="2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Cryptographically verifiable audit trail</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Pillar 03</w:t>
            </w:r>
          </w:p>
        </w:tc>
        <w:tc>
          <w:tcPr>
            <w:tcW w:type="dxa" w:w="5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certificate: CRYSTALS-Dilithium signed, Merkle-linked, 10-year WORM retention, publicly verifiable</w:t>
            </w:r>
          </w:p>
        </w:tc>
      </w:tr>
      <w:tr>
        <w:tc>
          <w:tcPr>
            <w:tcW w:type="dxa" w:w="2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Vulnerable group protections</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Pillar 04</w:t>
            </w:r>
          </w:p>
        </w:tc>
        <w:tc>
          <w:tcPr>
            <w:tcW w:type="dxa" w:w="5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Impact score (Dim 06) weighted upward for decisions affecting minors, elderly, disabled, refugees</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6.2  International Framework Alignment</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6360"/>
      </w:tblGrid>
      <w:tr>
        <w:trPr>
          <w:tblHeader/>
        </w:trPr>
        <w:tc>
          <w:tcPr>
            <w:tcW w:type="dxa" w:w="1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Framework</w:t>
            </w:r>
          </w:p>
        </w:tc>
        <w:tc>
          <w:tcPr>
            <w:tcW w:type="dxa" w:w="1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Jurisdiction</w:t>
            </w:r>
          </w:p>
        </w:tc>
        <w:tc>
          <w:tcPr>
            <w:tcW w:type="dxa" w:w="63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Key EVA Alignment</w:t>
            </w:r>
          </w:p>
        </w:tc>
      </w:tr>
      <w:tr>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EU AI Act 2024</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European Union</w:t>
            </w:r>
          </w:p>
        </w:tc>
        <w:tc>
          <w:tcPr>
            <w:tcW w:type="dxa" w:w="63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Risk dimension maps directly to EU AI Act Annex III HIGH RISK categories. BLOCK outcome implements Art.5 prohibited practices. APPROVE requires Art.9 conformity evidence.</w:t>
            </w:r>
          </w:p>
        </w:tc>
      </w:tr>
      <w:tr>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ISO/IEC 42001:2023</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International</w:t>
            </w:r>
          </w:p>
        </w:tc>
        <w:tc>
          <w:tcPr>
            <w:tcW w:type="dxa" w:w="63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6-dimension scoring covers all AI management system requirements. EVA certificate serves as ISO 42001 s9.1 monitoring record.</w:t>
            </w:r>
          </w:p>
        </w:tc>
      </w:tr>
      <w:tr>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NIST AI RMF 1.0</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United States</w:t>
            </w:r>
          </w:p>
        </w:tc>
        <w:tc>
          <w:tcPr>
            <w:tcW w:type="dxa" w:w="63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implements all four RMF functions: GOVERN (policy rules), MAP (system registration), MEASURE (6 dimensions), MANAGE (APPROVE/REVIEW/ESCALATE/BLOCK).</w:t>
            </w:r>
          </w:p>
        </w:tc>
      </w:tr>
      <w:tr>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OECD AI Principles</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International</w:t>
            </w:r>
          </w:p>
        </w:tc>
        <w:tc>
          <w:tcPr>
            <w:tcW w:type="dxa" w:w="63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Validity and Confidence dimensions directly implement OECD transparency and robustness principles. Impact dimension covers inclusive growth.</w:t>
            </w:r>
          </w:p>
        </w:tc>
      </w:tr>
      <w:tr>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POPIA Act 4/2013</w:t>
            </w:r>
          </w:p>
        </w:tc>
        <w:tc>
          <w:tcPr>
            <w:tcW w:type="dxa" w:w="1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South Africa</w:t>
            </w:r>
          </w:p>
        </w:tc>
        <w:tc>
          <w:tcPr>
            <w:tcW w:type="dxa" w:w="63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Compliance dimension incorporates POPIA Section 26 (Special PI) processing checks. Systems processing biometric or criminal data receive enhanced EVA scrutiny.</w:t>
            </w:r>
          </w:p>
        </w:tc>
      </w:tr>
      <w:tr>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GDPR Art.22</w:t>
            </w:r>
          </w:p>
        </w:tc>
        <w:tc>
          <w:tcPr>
            <w:tcW w:type="dxa" w:w="1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European Union</w:t>
            </w:r>
          </w:p>
        </w:tc>
        <w:tc>
          <w:tcPr>
            <w:tcW w:type="dxa" w:w="63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REVIEW outcomes enforce right to explanation for automated decisions. Explainability Engine generates GDPR-compliant decision explanations.</w:t>
            </w:r>
          </w:p>
        </w:tc>
      </w:tr>
    </w:tbl>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07  SECURITY &amp; CRYPTOGRAPHIC ARCHITECTURE</w:t>
      </w:r>
    </w:p>
    <w:p>
      <w:pPr>
        <w:pStyle w:val="Heading2"/>
        <w:spacing w:after="100" w:before="280"/>
      </w:pPr>
      <w:r>
        <w:rPr>
          <w:rFonts w:ascii="Arial" w:cs="Arial" w:eastAsia="Arial" w:hAnsi="Arial"/>
          <w:b/>
          <w:bCs/>
          <w:color w:val="04091A"/>
          <w:sz w:val="26"/>
          <w:szCs w:val="26"/>
        </w:rPr>
        <w:t xml:space="preserve">7.1  EVA Cryptographic Chain of Custody</w:t>
      </w:r>
    </w:p>
    <w:p>
      <w:pPr>
        <w:spacing w:after="120" w:before="60" w:line="276"/>
      </w:pPr>
      <w:r>
        <w:rPr>
          <w:rFonts w:ascii="Arial" w:cs="Arial" w:eastAsia="Arial" w:hAnsi="Arial"/>
          <w:b w:val="false"/>
          <w:bCs w:val="false"/>
          <w:i w:val="false"/>
          <w:iCs w:val="false"/>
          <w:color w:val="1A1A2E"/>
          <w:sz w:val="22"/>
          <w:szCs w:val="22"/>
        </w:rPr>
        <w:t xml:space="preserve">Every EVA evaluation generates a cryptographically verifiable evidence chain. This chain provides tamper-evident proof that a specific AI system was evaluated at a specific time, with specific dimension scores, against specific policy rules, producing a specific governance outcome. The chain cannot be modified without detection.</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800"/>
        <w:gridCol w:w="3400"/>
        <w:gridCol w:w="2160"/>
      </w:tblGrid>
      <w:tr>
        <w:trPr>
          <w:tblHeader/>
        </w:trPr>
        <w:tc>
          <w:tcPr>
            <w:tcW w:type="dxa" w:w="20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Chain Element</w:t>
            </w:r>
          </w:p>
        </w:tc>
        <w:tc>
          <w:tcPr>
            <w:tcW w:type="dxa" w:w="18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Algorithm</w:t>
            </w:r>
          </w:p>
        </w:tc>
        <w:tc>
          <w:tcPr>
            <w:tcW w:type="dxa" w:w="3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Purpose</w:t>
            </w:r>
          </w:p>
        </w:tc>
        <w:tc>
          <w:tcPr>
            <w:tcW w:type="dxa" w:w="21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Phase</w:t>
            </w:r>
          </w:p>
        </w:tc>
      </w:tr>
      <w:tr>
        <w:tc>
          <w:tcPr>
            <w:tcW w:type="dxa" w:w="2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Certificate Content Hash</w:t>
            </w:r>
          </w:p>
        </w:tc>
        <w:tc>
          <w:tcPr>
            <w:tcW w:type="dxa" w:w="1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SHA-3-256</w:t>
            </w:r>
          </w:p>
        </w:tc>
        <w:tc>
          <w:tcPr>
            <w:tcW w:type="dxa" w:w="3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Tamper detection on EVA certificate content</w:t>
            </w:r>
          </w:p>
        </w:tc>
        <w:tc>
          <w:tcPr>
            <w:tcW w:type="dxa" w:w="2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Phase 1 — Current</w:t>
            </w:r>
          </w:p>
        </w:tc>
      </w:tr>
      <w:tr>
        <w:tc>
          <w:tcPr>
            <w:tcW w:type="dxa" w:w="2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Certificate Signature</w:t>
            </w:r>
          </w:p>
        </w:tc>
        <w:tc>
          <w:tcPr>
            <w:tcW w:type="dxa" w:w="1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CRYSTALS-Dilithium (FIPS 204)</w:t>
            </w:r>
          </w:p>
        </w:tc>
        <w:tc>
          <w:tcPr>
            <w:tcW w:type="dxa" w:w="3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Post-quantum digital signature on each EVA certificate</w:t>
            </w:r>
          </w:p>
        </w:tc>
        <w:tc>
          <w:tcPr>
            <w:tcW w:type="dxa" w:w="2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Phase 1 — Current</w:t>
            </w:r>
          </w:p>
        </w:tc>
      </w:tr>
      <w:tr>
        <w:tc>
          <w:tcPr>
            <w:tcW w:type="dxa" w:w="2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Merkle Tree Integration</w:t>
            </w:r>
          </w:p>
        </w:tc>
        <w:tc>
          <w:tcPr>
            <w:tcW w:type="dxa" w:w="1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SHA-3-256 + Merkle</w:t>
            </w:r>
          </w:p>
        </w:tc>
        <w:tc>
          <w:tcPr>
            <w:tcW w:type="dxa" w:w="3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certificates chained into UDOC immutable audit Merkle tree</w:t>
            </w:r>
          </w:p>
        </w:tc>
        <w:tc>
          <w:tcPr>
            <w:tcW w:type="dxa" w:w="2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Phase 1 — Current</w:t>
            </w:r>
          </w:p>
        </w:tc>
      </w:tr>
      <w:tr>
        <w:tc>
          <w:tcPr>
            <w:tcW w:type="dxa" w:w="2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Session Key Exchange</w:t>
            </w:r>
          </w:p>
        </w:tc>
        <w:tc>
          <w:tcPr>
            <w:tcW w:type="dxa" w:w="1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AES-256-GCM + CRYSTALS-Kyber (FIPS 203)</w:t>
            </w:r>
          </w:p>
        </w:tc>
        <w:tc>
          <w:tcPr>
            <w:tcW w:type="dxa" w:w="3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Hybrid TLS 1.3 for EVA API transport security</w:t>
            </w:r>
          </w:p>
        </w:tc>
        <w:tc>
          <w:tcPr>
            <w:tcW w:type="dxa" w:w="2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Phase 2 — Q3 2026</w:t>
            </w:r>
          </w:p>
        </w:tc>
      </w:tr>
      <w:tr>
        <w:tc>
          <w:tcPr>
            <w:tcW w:type="dxa" w:w="2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Archive Signing</w:t>
            </w:r>
          </w:p>
        </w:tc>
        <w:tc>
          <w:tcPr>
            <w:tcW w:type="dxa" w:w="1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SPHINCS+ (FIPS 205)</w:t>
            </w:r>
          </w:p>
        </w:tc>
        <w:tc>
          <w:tcPr>
            <w:tcW w:type="dxa" w:w="3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Long-term archive signing for 10-year EVA record retention</w:t>
            </w:r>
          </w:p>
        </w:tc>
        <w:tc>
          <w:tcPr>
            <w:tcW w:type="dxa" w:w="2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Phase 2 — Q3 2026</w:t>
            </w:r>
          </w:p>
        </w:tc>
      </w:tr>
      <w:tr>
        <w:tc>
          <w:tcPr>
            <w:tcW w:type="dxa" w:w="2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HSM Key Custody</w:t>
            </w:r>
          </w:p>
        </w:tc>
        <w:tc>
          <w:tcPr>
            <w:tcW w:type="dxa" w:w="1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FIPS 140-3 Level 3</w:t>
            </w:r>
          </w:p>
        </w:tc>
        <w:tc>
          <w:tcPr>
            <w:tcW w:type="dxa" w:w="3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Master key custody for EVA signing keys. Split 2-of-3 officers.</w:t>
            </w:r>
          </w:p>
        </w:tc>
        <w:tc>
          <w:tcPr>
            <w:tcW w:type="dxa" w:w="2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Phase 1 — Current</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7.2  EVA Data Classification</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600"/>
        <w:gridCol w:w="2600"/>
        <w:gridCol w:w="2360"/>
      </w:tblGrid>
      <w:tr>
        <w:trPr>
          <w:tblHeader/>
        </w:trPr>
        <w:tc>
          <w:tcPr>
            <w:tcW w:type="dxa" w:w="28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Data Type</w:t>
            </w:r>
          </w:p>
        </w:tc>
        <w:tc>
          <w:tcPr>
            <w:tcW w:type="dxa" w:w="1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Classification</w:t>
            </w:r>
          </w:p>
        </w:tc>
        <w:tc>
          <w:tcPr>
            <w:tcW w:type="dxa" w:w="2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Storage</w:t>
            </w:r>
          </w:p>
        </w:tc>
        <w:tc>
          <w:tcPr>
            <w:tcW w:type="dxa" w:w="23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Retention</w:t>
            </w:r>
          </w:p>
        </w:tc>
      </w:tr>
      <w:tr>
        <w:tc>
          <w:tcPr>
            <w:tcW w:type="dxa" w:w="2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evaluation inputs (decision event hashes)</w:t>
            </w:r>
          </w:p>
        </w:tc>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GOVERNANCE</w:t>
            </w:r>
          </w:p>
        </w:tc>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Cassandra WORM — ZA sovereign</w:t>
            </w:r>
          </w:p>
        </w:tc>
        <w:tc>
          <w:tcPr>
            <w:tcW w:type="dxa" w:w="23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10 years minimum</w:t>
            </w:r>
          </w:p>
        </w:tc>
      </w:tr>
      <w:tr>
        <w:tc>
          <w:tcPr>
            <w:tcW w:type="dxa" w:w="2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dimension scores</w:t>
            </w:r>
          </w:p>
        </w:tc>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GOVERNANCE</w:t>
            </w:r>
          </w:p>
        </w:tc>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Cassandra WORM — ZA sovereign</w:t>
            </w:r>
          </w:p>
        </w:tc>
        <w:tc>
          <w:tcPr>
            <w:tcW w:type="dxa" w:w="23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10 years minimum</w:t>
            </w:r>
          </w:p>
        </w:tc>
      </w:tr>
      <w:tr>
        <w:tc>
          <w:tcPr>
            <w:tcW w:type="dxa" w:w="2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certificates (signed)</w:t>
            </w:r>
          </w:p>
        </w:tc>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GOVERNANCE</w:t>
            </w:r>
          </w:p>
        </w:tc>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Cassandra + Object Archive — ZA sovereign</w:t>
            </w:r>
          </w:p>
        </w:tc>
        <w:tc>
          <w:tcPr>
            <w:tcW w:type="dxa" w:w="23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10 years minimum</w:t>
            </w:r>
          </w:p>
        </w:tc>
      </w:tr>
      <w:tr>
        <w:tc>
          <w:tcPr>
            <w:tcW w:type="dxa" w:w="2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policy rule configuration</w:t>
            </w:r>
          </w:p>
        </w:tc>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GOVERNANCE</w:t>
            </w:r>
          </w:p>
        </w:tc>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PostgreSQL HA — ZA sovereign</w:t>
            </w:r>
          </w:p>
        </w:tc>
        <w:tc>
          <w:tcPr>
            <w:tcW w:type="dxa" w:w="23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Indefinite (active config)</w:t>
            </w:r>
          </w:p>
        </w:tc>
      </w:tr>
      <w:tr>
        <w:tc>
          <w:tcPr>
            <w:tcW w:type="dxa" w:w="2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COB notifications</w:t>
            </w:r>
          </w:p>
        </w:tc>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GOVERNANCE</w:t>
            </w:r>
          </w:p>
        </w:tc>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PostgreSQL — ZA sovereign</w:t>
            </w:r>
          </w:p>
        </w:tc>
        <w:tc>
          <w:tcPr>
            <w:tcW w:type="dxa" w:w="23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7 years</w:t>
            </w:r>
          </w:p>
        </w:tc>
      </w:tr>
      <w:tr>
        <w:tc>
          <w:tcPr>
            <w:tcW w:type="dxa" w:w="2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Merkle roots</w:t>
            </w:r>
          </w:p>
        </w:tc>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PUBLIC</w:t>
            </w:r>
          </w:p>
        </w:tc>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Object Archive + Public Registry</w:t>
            </w:r>
          </w:p>
        </w:tc>
        <w:tc>
          <w:tcPr>
            <w:tcW w:type="dxa" w:w="23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10 years + indefinite</w:t>
            </w:r>
          </w:p>
        </w:tc>
      </w:tr>
    </w:tbl>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08  EVA IMPLEMENTATION ROADMAP</w:t>
      </w:r>
    </w:p>
    <w:p>
      <w:pPr>
        <w:pStyle w:val="Heading2"/>
        <w:spacing w:after="100" w:before="280"/>
      </w:pPr>
      <w:r>
        <w:rPr>
          <w:rFonts w:ascii="Arial" w:cs="Arial" w:eastAsia="Arial" w:hAnsi="Arial"/>
          <w:b/>
          <w:bCs/>
          <w:color w:val="04091A"/>
          <w:sz w:val="26"/>
          <w:szCs w:val="26"/>
        </w:rPr>
        <w:t xml:space="preserve">8.1  Phase Delivery Plan</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1200"/>
        <w:gridCol w:w="5100"/>
        <w:gridCol w:w="2160"/>
      </w:tblGrid>
      <w:tr>
        <w:trPr>
          <w:tblHeader/>
        </w:trPr>
        <w:tc>
          <w:tcPr>
            <w:tcW w:type="dxa" w:w="9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Phase</w:t>
            </w:r>
          </w:p>
        </w:tc>
        <w:tc>
          <w:tcPr>
            <w:tcW w:type="dxa" w:w="12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Timeline</w:t>
            </w:r>
          </w:p>
        </w:tc>
        <w:tc>
          <w:tcPr>
            <w:tcW w:type="dxa" w:w="51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EVA Deliverables</w:t>
            </w:r>
          </w:p>
        </w:tc>
        <w:tc>
          <w:tcPr>
            <w:tcW w:type="dxa" w:w="21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Trigger</w:t>
            </w:r>
          </w:p>
        </w:tc>
      </w:tr>
      <w:tr>
        <w:tc>
          <w:tcPr>
            <w:tcW w:type="dxa" w:w="9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Phase 1A</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Months 1–3</w:t>
            </w:r>
          </w:p>
        </w:tc>
        <w:tc>
          <w:tcPr>
            <w:tcW w:type="dxa" w:w="51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engine core: 6-dimension scoring, policy rule execution (APPROVE/REVIEW/ESCALATE/BLOCK), basic EVA certificate generation. UDOC v7.0 integration. Dilithium signing active.</w:t>
            </w:r>
          </w:p>
        </w:tc>
        <w:tc>
          <w:tcPr>
            <w:tcW w:type="dxa" w:w="2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Seed capital deployment</w:t>
            </w:r>
          </w:p>
        </w:tc>
      </w:tr>
      <w:tr>
        <w:tc>
          <w:tcPr>
            <w:tcW w:type="dxa" w:w="9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Phase 1B</w:t>
            </w:r>
          </w:p>
        </w:tc>
        <w:tc>
          <w:tcPr>
            <w:tcW w:type="dxa" w:w="1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Months 3–6</w:t>
            </w:r>
          </w:p>
        </w:tc>
        <w:tc>
          <w:tcPr>
            <w:tcW w:type="dxa" w:w="51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Policy Engine: COB sign-off workflow, hot-reload rules, version control, GG54477 alignment verification. EVA API endpoints live. First enterprise client EVA deployment.</w:t>
            </w:r>
          </w:p>
        </w:tc>
        <w:tc>
          <w:tcPr>
            <w:tcW w:type="dxa" w:w="2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Month 3 seed milestone</w:t>
            </w:r>
          </w:p>
        </w:tc>
      </w:tr>
      <w:tr>
        <w:tc>
          <w:tcPr>
            <w:tcW w:type="dxa" w:w="9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Phase 2A</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Months 6–12</w:t>
            </w:r>
          </w:p>
        </w:tc>
        <w:tc>
          <w:tcPr>
            <w:tcW w:type="dxa" w:w="51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real-time sweep: continuous 6-hourly EVA sweep across all registered systems. Trend analysis. Drift detection integration. EVA Stability dimension live scoring. Merkle root publication.</w:t>
            </w:r>
          </w:p>
        </w:tc>
        <w:tc>
          <w:tcPr>
            <w:tcW w:type="dxa" w:w="2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Series A trigger</w:t>
            </w:r>
          </w:p>
        </w:tc>
      </w:tr>
      <w:tr>
        <w:tc>
          <w:tcPr>
            <w:tcW w:type="dxa" w:w="9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Phase 2B</w:t>
            </w:r>
          </w:p>
        </w:tc>
        <w:tc>
          <w:tcPr>
            <w:tcW w:type="dxa" w:w="12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Months 12–18</w:t>
            </w:r>
          </w:p>
        </w:tc>
        <w:tc>
          <w:tcPr>
            <w:tcW w:type="dxa" w:w="51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government deployment: EVA national backbone module. Multi-ministry EVA dashboard. Parliamentary EVA reporting. DCDT integration. AI Ombudsperson EVA evidence pipeline.</w:t>
            </w:r>
          </w:p>
        </w:tc>
        <w:tc>
          <w:tcPr>
            <w:tcW w:type="dxa" w:w="21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Government contract signed</w:t>
            </w:r>
          </w:p>
        </w:tc>
      </w:tr>
      <w:tr>
        <w:tc>
          <w:tcPr>
            <w:tcW w:type="dxa" w:w="9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Phase 3</w:t>
            </w:r>
          </w:p>
        </w:tc>
        <w:tc>
          <w:tcPr>
            <w:tcW w:type="dxa" w:w="12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Months 18–36</w:t>
            </w:r>
          </w:p>
        </w:tc>
        <w:tc>
          <w:tcPr>
            <w:tcW w:type="dxa" w:w="51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PQC migration: CRYSTALS-Kyber for key encapsulation, SPHINCS+ for archive signing. EVA SADC replication. Quantum-ready EVA certificates. Multi-jurisdiction EVA governance.</w:t>
            </w:r>
          </w:p>
        </w:tc>
        <w:tc>
          <w:tcPr>
            <w:tcW w:type="dxa" w:w="21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PQC migration window Q3 2026</w:t>
            </w:r>
          </w:p>
        </w:tc>
      </w:tr>
    </w:tbl>
    <w:p>
      <w:pPr>
        <w:spacing w:after="0" w:before="0"/>
      </w:pPr>
      <w:r>
        <w:t xml:space="preserve"/>
      </w:r>
    </w:p>
    <w:p>
      <w:pPr>
        <w:pStyle w:val="Heading2"/>
        <w:spacing w:after="100" w:before="280"/>
      </w:pPr>
      <w:r>
        <w:rPr>
          <w:rFonts w:ascii="Arial" w:cs="Arial" w:eastAsia="Arial" w:hAnsi="Arial"/>
          <w:b/>
          <w:bCs/>
          <w:color w:val="04091A"/>
          <w:sz w:val="26"/>
          <w:szCs w:val="26"/>
        </w:rPr>
        <w:t xml:space="preserve">8.2  EVA Engineering Requirements</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400"/>
        <w:gridCol w:w="2400"/>
        <w:gridCol w:w="1960"/>
      </w:tblGrid>
      <w:tr>
        <w:trPr>
          <w:tblHeader/>
        </w:trPr>
        <w:tc>
          <w:tcPr>
            <w:tcW w:type="dxa" w:w="2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Component</w:t>
            </w:r>
          </w:p>
        </w:tc>
        <w:tc>
          <w:tcPr>
            <w:tcW w:type="dxa" w:w="2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Technology</w:t>
            </w:r>
          </w:p>
        </w:tc>
        <w:tc>
          <w:tcPr>
            <w:tcW w:type="dxa" w:w="24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Engineering Effort</w:t>
            </w:r>
          </w:p>
        </w:tc>
        <w:tc>
          <w:tcPr>
            <w:tcW w:type="dxa" w:w="19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Priority</w:t>
            </w:r>
          </w:p>
        </w:tc>
      </w:tr>
      <w:tr>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Core Engine (FastAPI)</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Python 3.11 / FastAPI / SQLAlchemy</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6 weeks · 1 Senior Backend Engineer</w:t>
            </w:r>
          </w:p>
        </w:tc>
        <w:tc>
          <w:tcPr>
            <w:tcW w:type="dxa" w:w="1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P1</w:t>
            </w:r>
          </w:p>
        </w:tc>
      </w:tr>
      <w:tr>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Policy Rule Engine</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Python (OPA-inspired) / PostgreSQL rule store</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4 weeks · 1 Senior Backend Engineer</w:t>
            </w:r>
          </w:p>
        </w:tc>
        <w:tc>
          <w:tcPr>
            <w:tcW w:type="dxa" w:w="1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P1</w:t>
            </w:r>
          </w:p>
        </w:tc>
      </w:tr>
      <w:tr>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Certificate Service</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Python / CRYSTALS-Dilithium / Cassandra</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3 weeks · 1 Security Engineer</w:t>
            </w:r>
          </w:p>
        </w:tc>
        <w:tc>
          <w:tcPr>
            <w:tcW w:type="dxa" w:w="1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P1</w:t>
            </w:r>
          </w:p>
        </w:tc>
      </w:tr>
      <w:tr>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UDOC Dashboard Module</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React 18 / TypeScript / Recharts</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4 weeks · 1 Senior Frontend Engineer</w:t>
            </w:r>
          </w:p>
        </w:tc>
        <w:tc>
          <w:tcPr>
            <w:tcW w:type="dxa" w:w="1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P1</w:t>
            </w:r>
          </w:p>
        </w:tc>
      </w:tr>
      <w:tr>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API Endpoints</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FastAPI routers / OpenAPI 3.1</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2 weeks · 1 Backend Engineer</w:t>
            </w:r>
          </w:p>
        </w:tc>
        <w:tc>
          <w:tcPr>
            <w:tcW w:type="dxa" w:w="1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P1</w:t>
            </w:r>
          </w:p>
        </w:tc>
      </w:tr>
      <w:tr>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Merkle Integration</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Python / SHA-3 / Cassandra</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2 weeks · 1 Backend Engineer</w:t>
            </w:r>
          </w:p>
        </w:tc>
        <w:tc>
          <w:tcPr>
            <w:tcW w:type="dxa" w:w="1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P1</w:t>
            </w:r>
          </w:p>
        </w:tc>
      </w:tr>
      <w:tr>
        <w:tc>
          <w:tcPr>
            <w:tcW w:type="dxa" w:w="2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EVA COB Notification Pipeline</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Python / Kafka / Email dispatcher</w:t>
            </w:r>
          </w:p>
        </w:tc>
        <w:tc>
          <w:tcPr>
            <w:tcW w:type="dxa" w:w="24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2 weeks · 1 Backend Engineer</w:t>
            </w:r>
          </w:p>
        </w:tc>
        <w:tc>
          <w:tcPr>
            <w:tcW w:type="dxa" w:w="1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P2</w:t>
            </w:r>
          </w:p>
        </w:tc>
      </w:tr>
      <w:tr>
        <w:tc>
          <w:tcPr>
            <w:tcW w:type="dxa" w:w="2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PQC Migration (Phase 2)</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CRYSTALS-Kyber / SPHINCS+ / HSM</w:t>
            </w:r>
          </w:p>
        </w:tc>
        <w:tc>
          <w:tcPr>
            <w:tcW w:type="dxa" w:w="24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8 weeks · Security Engineer + HSM vendor</w:t>
            </w:r>
          </w:p>
        </w:tc>
        <w:tc>
          <w:tcPr>
            <w:tcW w:type="dxa" w:w="1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P2</w:t>
            </w:r>
          </w:p>
        </w:tc>
      </w:tr>
    </w:tbl>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09  COMMERCIAL ARCHITECTURE</w:t>
      </w:r>
    </w:p>
    <w:p>
      <w:pPr>
        <w:pStyle w:val="Heading2"/>
        <w:spacing w:after="100" w:before="280"/>
      </w:pPr>
      <w:r>
        <w:rPr>
          <w:rFonts w:ascii="Arial" w:cs="Arial" w:eastAsia="Arial" w:hAnsi="Arial"/>
          <w:b/>
          <w:bCs/>
          <w:color w:val="04091A"/>
          <w:sz w:val="26"/>
          <w:szCs w:val="26"/>
        </w:rPr>
        <w:t xml:space="preserve">9.1  EVA Product Tiers</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800"/>
        <w:gridCol w:w="4000"/>
        <w:gridCol w:w="1960"/>
      </w:tblGrid>
      <w:tr>
        <w:trPr>
          <w:tblHeader/>
        </w:trPr>
        <w:tc>
          <w:tcPr>
            <w:tcW w:type="dxa" w:w="16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Tier</w:t>
            </w:r>
          </w:p>
        </w:tc>
        <w:tc>
          <w:tcPr>
            <w:tcW w:type="dxa" w:w="18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Target Client</w:t>
            </w:r>
          </w:p>
        </w:tc>
        <w:tc>
          <w:tcPr>
            <w:tcW w:type="dxa" w:w="400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EVA Features Included</w:t>
            </w:r>
          </w:p>
        </w:tc>
        <w:tc>
          <w:tcPr>
            <w:tcW w:type="dxa" w:w="1960"/>
            <w:tcBorders>
              <w:top w:val="single" w:color="E0E0E8" w:sz="1"/>
              <w:left w:val="single" w:color="E0E0E8" w:sz="1"/>
              <w:bottom w:val="single" w:color="E0E0E8" w:sz="1"/>
              <w:right w:val="single" w:color="E0E0E8" w:sz="1"/>
            </w:tcBorders>
            <w:shd w:fill="04091A" w:val="clear"/>
            <w:tcMar>
              <w:top w:type="dxa" w:w="80"/>
              <w:left w:type="dxa" w:w="100"/>
              <w:bottom w:type="dxa" w:w="80"/>
              <w:right w:type="dxa" w:w="100"/>
            </w:tcMar>
            <w:vAlign w:val="center"/>
          </w:tcPr>
          <w:p>
            <w:r>
              <w:rPr>
                <w:rFonts w:ascii="Arial" w:cs="Arial" w:eastAsia="Arial" w:hAnsi="Arial"/>
                <w:b/>
                <w:bCs/>
                <w:color w:val="FFFFFF"/>
                <w:sz w:val="18"/>
                <w:szCs w:val="18"/>
              </w:rPr>
              <w:t xml:space="preserve">Pricing</w:t>
            </w:r>
          </w:p>
        </w:tc>
      </w:tr>
      <w:tr>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UDOC Enterprise + EVA</w:t>
            </w:r>
          </w:p>
        </w:tc>
        <w:tc>
          <w:tcPr>
            <w:tcW w:type="dxa" w:w="1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Banks, insurers, large regulated corps</w:t>
            </w:r>
          </w:p>
        </w:tc>
        <w:tc>
          <w:tcPr>
            <w:tcW w:type="dxa" w:w="4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6-dimension EVA scoring · Policy Engine (5 standard rules) · EVA certificates · Merkle audit · HITL routing · GG54477 compliance report</w:t>
            </w:r>
          </w:p>
        </w:tc>
        <w:tc>
          <w:tcPr>
            <w:tcW w:type="dxa" w:w="1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R3M–R7M ACV + EVA add-on R500K–R1.5M</w:t>
            </w:r>
          </w:p>
        </w:tc>
      </w:tr>
      <w:tr>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UDOC Government + EVA</w:t>
            </w:r>
          </w:p>
        </w:tc>
        <w:tc>
          <w:tcPr>
            <w:tcW w:type="dxa" w:w="1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National and provincial government</w:t>
            </w:r>
          </w:p>
        </w:tc>
        <w:tc>
          <w:tcPr>
            <w:tcW w:type="dxa" w:w="4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Full EVA suite · Unlimited rules · National EVA dashboard · Parliamentary EVA reports · AI Ombudsperson integration · SAHRC evidence pipeline</w:t>
            </w:r>
          </w:p>
        </w:tc>
        <w:tc>
          <w:tcPr>
            <w:tcW w:type="dxa" w:w="1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R15M–R50M ACV (EVA included)</w:t>
            </w:r>
          </w:p>
        </w:tc>
      </w:tr>
      <w:tr>
        <w:tc>
          <w:tcPr>
            <w:tcW w:type="dxa" w:w="16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UDOC National Backbone + EVA</w:t>
            </w:r>
          </w:p>
        </w:tc>
        <w:tc>
          <w:tcPr>
            <w:tcW w:type="dxa" w:w="18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National government — full deployment</w:t>
            </w:r>
          </w:p>
        </w:tc>
        <w:tc>
          <w:tcPr>
            <w:tcW w:type="dxa" w:w="400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Full EVA + PQC-ready certificates · Multi-ministry EVA governance · SADC-ready · Air-gap EVA mode · On-premises EVA engine</w:t>
            </w:r>
          </w:p>
        </w:tc>
        <w:tc>
          <w:tcPr>
            <w:tcW w:type="dxa" w:w="1960"/>
            <w:tcBorders>
              <w:top w:val="single" w:color="E0E0E8" w:sz="1"/>
              <w:left w:val="single" w:color="E0E0E8" w:sz="1"/>
              <w:bottom w:val="single" w:color="E0E0E8" w:sz="1"/>
              <w:right w:val="single" w:color="E0E0E8" w:sz="1"/>
            </w:tcBorders>
            <w:shd w:fill="FFFFFF" w:val="clear"/>
            <w:tcMar>
              <w:top w:type="dxa" w:w="70"/>
              <w:left w:type="dxa" w:w="100"/>
              <w:bottom w:type="dxa" w:w="70"/>
              <w:right w:type="dxa" w:w="100"/>
            </w:tcMar>
          </w:tcPr>
          <w:p>
            <w:r>
              <w:rPr>
                <w:rFonts w:ascii="Arial" w:cs="Arial" w:eastAsia="Arial" w:hAnsi="Arial"/>
                <w:color w:val="1A1A2E"/>
                <w:sz w:val="20"/>
                <w:szCs w:val="20"/>
              </w:rPr>
              <w:t xml:space="preserve">R50M–R500M (EVA included — 5yr min)</w:t>
            </w:r>
          </w:p>
        </w:tc>
      </w:tr>
      <w:tr>
        <w:tc>
          <w:tcPr>
            <w:tcW w:type="dxa" w:w="16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API (Standalone)</w:t>
            </w:r>
          </w:p>
        </w:tc>
        <w:tc>
          <w:tcPr>
            <w:tcW w:type="dxa" w:w="18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Regulated enterprises, auditors, compliance firms</w:t>
            </w:r>
          </w:p>
        </w:tc>
        <w:tc>
          <w:tcPr>
            <w:tcW w:type="dxa" w:w="400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EVA evaluation API only · 6-dimension scoring · Standard policy rules · Basic EVA certificate</w:t>
            </w:r>
          </w:p>
        </w:tc>
        <w:tc>
          <w:tcPr>
            <w:tcW w:type="dxa" w:w="1960"/>
            <w:tcBorders>
              <w:top w:val="single" w:color="E0E0E8" w:sz="1"/>
              <w:left w:val="single" w:color="E0E0E8" w:sz="1"/>
              <w:bottom w:val="single" w:color="E0E0E8" w:sz="1"/>
              <w:right w:val="single" w:color="E0E0E8" w:sz="1"/>
            </w:tcBorders>
            <w:shd w:fill="F4F4F8" w:val="clear"/>
            <w:tcMar>
              <w:top w:type="dxa" w:w="70"/>
              <w:left w:type="dxa" w:w="100"/>
              <w:bottom w:type="dxa" w:w="70"/>
              <w:right w:type="dxa" w:w="100"/>
            </w:tcMar>
          </w:tcPr>
          <w:p>
            <w:r>
              <w:rPr>
                <w:rFonts w:ascii="Arial" w:cs="Arial" w:eastAsia="Arial" w:hAnsi="Arial"/>
                <w:color w:val="1A1A2E"/>
                <w:sz w:val="20"/>
                <w:szCs w:val="20"/>
              </w:rPr>
              <w:t xml:space="preserve">R80K–R400K/yr usage-based</w:t>
            </w:r>
          </w:p>
        </w:tc>
      </w:tr>
    </w:tbl>
    <w:p>
      <w:r>
        <w:br w:type="page"/>
      </w:r>
    </w:p>
    <w:p>
      <w:pPr>
        <w:pStyle w:val="Heading1"/>
        <w:pBdr>
          <w:bottom w:val="single" w:color="C9A84C" w:sz="4" w:space="6"/>
        </w:pBdr>
        <w:spacing w:after="120" w:before="360"/>
      </w:pPr>
      <w:r>
        <w:rPr>
          <w:rFonts w:ascii="Arial" w:cs="Arial" w:eastAsia="Arial" w:hAnsi="Arial"/>
          <w:b/>
          <w:bCs/>
          <w:color w:val="04091A"/>
          <w:sz w:val="32"/>
          <w:szCs w:val="32"/>
        </w:rPr>
        <w:t xml:space="preserve">10  CONCLUSION</w:t>
      </w:r>
    </w:p>
    <w:p>
      <w:pPr>
        <w:spacing w:after="120" w:before="60" w:line="276"/>
      </w:pPr>
      <w:r>
        <w:rPr>
          <w:rFonts w:ascii="Arial" w:cs="Arial" w:eastAsia="Arial" w:hAnsi="Arial"/>
          <w:b w:val="false"/>
          <w:bCs w:val="false"/>
          <w:i w:val="false"/>
          <w:iCs w:val="false"/>
          <w:color w:val="1A1A2E"/>
          <w:sz w:val="22"/>
          <w:szCs w:val="22"/>
        </w:rPr>
        <w:t xml:space="preserve">EVA — Evaluating Valiant Algorithms — represents the operationalisation of AI governance at the architecture level. It transforms the abstract obligations of South Africa's Draft National AI Policy (GG No.54477), the EU AI Act, and international AI governance frameworks into concrete, quantified, technically enforced evaluation outcomes.</w:t>
      </w:r>
    </w:p>
    <w:p>
      <w:pPr>
        <w:spacing w:after="120" w:before="60" w:line="276"/>
      </w:pPr>
      <w:r>
        <w:rPr>
          <w:rFonts w:ascii="Arial" w:cs="Arial" w:eastAsia="Arial" w:hAnsi="Arial"/>
          <w:b w:val="false"/>
          <w:bCs w:val="false"/>
          <w:i w:val="false"/>
          <w:iCs w:val="false"/>
          <w:color w:val="1A1A2E"/>
          <w:sz w:val="22"/>
          <w:szCs w:val="22"/>
        </w:rPr>
        <w:t xml:space="preserve">For government, EVA provides the evidence infrastructure that Parliament, the DCDT, the SAHRC, and the Information Regulator will require as AI deployment in public services scales. For enterprise, EVA provides the systematic evaluation framework that boards, risk committees, and regulators will demand as AI-assisted decision-making becomes standard practice.</w:t>
      </w:r>
    </w:p>
    <w:p>
      <w:pPr>
        <w:spacing w:after="120" w:before="60" w:line="276"/>
      </w:pPr>
      <w:r>
        <w:rPr>
          <w:rFonts w:ascii="Arial" w:cs="Arial" w:eastAsia="Arial" w:hAnsi="Arial"/>
          <w:b w:val="false"/>
          <w:bCs w:val="false"/>
          <w:i w:val="false"/>
          <w:iCs w:val="false"/>
          <w:color w:val="1A1A2E"/>
          <w:sz w:val="22"/>
          <w:szCs w:val="22"/>
        </w:rPr>
        <w:t xml:space="preserve">For citizens, EVA is the unseen but essential guarantee: that every consequential algorithmic decision made about their welfare, their credit, their health, their right to work — has been evaluated, scored, governed, and made accountable before it affects their lives.</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D4" w:sz="12"/>
              <w:left w:val="single" w:color="00D4D4" w:sz="12"/>
              <w:bottom w:val="none" w:color="FFFFFF" w:sz="0"/>
              <w:right w:val="none" w:color="FFFFFF" w:sz="0"/>
            </w:tcBorders>
            <w:shd w:fill="F8F8FC" w:val="clear"/>
            <w:tcMar>
              <w:top w:type="dxa" w:w="100"/>
              <w:left w:type="dxa" w:w="160"/>
              <w:bottom w:type="dxa" w:w="100"/>
              <w:right w:type="dxa" w:w="160"/>
            </w:tcMar>
          </w:tcPr>
          <w:p>
            <w:pPr>
              <w:spacing w:after="60" w:before="0"/>
            </w:pPr>
            <w:r>
              <w:rPr>
                <w:rFonts w:ascii="Arial" w:cs="Arial" w:eastAsia="Arial" w:hAnsi="Arial"/>
                <w:b/>
                <w:bCs/>
                <w:color w:val="00D4D4"/>
                <w:sz w:val="20"/>
                <w:szCs w:val="20"/>
              </w:rPr>
              <w:t xml:space="preserve">EVA OPERATING PRINCIPLE</w:t>
            </w:r>
          </w:p>
          <w:p>
            <w:pPr>
              <w:spacing w:after="0" w:before="0"/>
            </w:pPr>
            <w:r>
              <w:rPr>
                <w:rFonts w:ascii="Arial" w:cs="Arial" w:eastAsia="Arial" w:hAnsi="Arial"/>
                <w:color w:val="1A1A2E"/>
                <w:sz w:val="20"/>
                <w:szCs w:val="20"/>
              </w:rPr>
              <w:t xml:space="preserve">Algorithms that claim to be valiant must prove it. EVA enforces that proof. Every score. Every decision. Every time. Tamper-evident. Independently verifiable. Constitutionally anchored.</w:t>
            </w:r>
          </w:p>
        </w:tc>
      </w:tr>
    </w:tbl>
    <w:p>
      <w:pPr>
        <w:spacing w:after="0" w:before="0"/>
      </w:pPr>
      <w:r>
        <w:t xml:space="preserve"/>
      </w:r>
    </w:p>
    <w:p>
      <w:pPr>
        <w:spacing w:after="0" w:before="0"/>
      </w:pPr>
      <w:r>
        <w:t xml:space="preserve"/>
      </w:r>
    </w:p>
    <w:p>
      <w:pPr>
        <w:spacing w:after="0" w:before="0"/>
      </w:pPr>
      <w:r>
        <w:t xml:space="preserve"/>
      </w:r>
    </w:p>
    <w:p>
      <w:pPr>
        <w:pBdr>
          <w:top w:val="single" w:color="C9A84C" w:sz="4" w:space="12"/>
        </w:pBdr>
        <w:spacing w:before="240"/>
        <w:jc w:val="center"/>
      </w:pPr>
      <w:r>
        <w:rPr>
          <w:rFonts w:ascii="Arial" w:cs="Arial" w:eastAsia="Arial" w:hAnsi="Arial"/>
          <w:color w:val="5A5A7A"/>
          <w:sz w:val="18"/>
          <w:szCs w:val="18"/>
        </w:rPr>
        <w:t xml:space="preserve">G.O.D.S Holdings (Pty) Ltd  ·  Johannesburg, South Africa</w:t>
      </w:r>
    </w:p>
    <w:p>
      <w:pPr>
        <w:jc w:val="center"/>
      </w:pPr>
      <w:r>
        <w:rPr>
          <w:rFonts w:ascii="Arial" w:cs="Arial" w:eastAsia="Arial" w:hAnsi="Arial"/>
          <w:color w:val="5A5A7A"/>
          <w:sz w:val="16"/>
          <w:szCs w:val="16"/>
        </w:rPr>
        <w:t xml:space="preserve">EVA Technical Whitepaper v1.0  ·  April 2026  ·  Sashin J. Singh — Founder &amp; Systems Architect</w:t>
      </w:r>
    </w:p>
    <w:p>
      <w:pPr>
        <w:jc w:val="center"/>
      </w:pPr>
      <w:r>
        <w:rPr>
          <w:rFonts w:ascii="Arial" w:cs="Arial" w:eastAsia="Arial" w:hAnsi="Arial"/>
          <w:b/>
          <w:bCs/>
          <w:color w:val="C9A84C"/>
          <w:sz w:val="16"/>
          <w:szCs w:val="16"/>
        </w:rPr>
        <w:t xml:space="preserve">CONFIDENTIAL — INSTITUTIONAL &amp; SOVEREIGN DISTRIBUTION ONLY</w:t>
      </w:r>
    </w:p>
    <w:p>
      <w:pPr>
        <w:jc w:val="center"/>
      </w:pPr>
      <w:r>
        <w:rPr>
          <w:rFonts w:ascii="Arial" w:cs="Arial" w:eastAsia="Arial" w:hAnsi="Arial"/>
          <w:color w:val="5A5A7A"/>
          <w:sz w:val="16"/>
          <w:szCs w:val="16"/>
        </w:rPr>
        <w:t xml:space="preserve">info@gods.systems  ·  www.gods.systems</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space="4"/>
      </w:pBdr>
      <w:tabs>
        <w:tab w:val="right" w:pos="9026"/>
      </w:tabs>
      <w:spacing w:before="80"/>
    </w:pPr>
    <w:r>
      <w:rPr>
        <w:rFonts w:ascii="Arial" w:cs="Arial" w:eastAsia="Arial" w:hAnsi="Arial"/>
        <w:color w:val="5A5A7A"/>
        <w:sz w:val="16"/>
        <w:szCs w:val="16"/>
      </w:rPr>
      <w:t xml:space="preserve">Technical Whitepaper v1.0  ·  April 2026  ·  SA AI Policy GG54477 Aligned</w:t>
    </w:r>
    <w:r>
      <w:rPr>
        <w:rFonts w:ascii="Arial" w:cs="Arial" w:eastAsia="Arial" w:hAnsi="Arial"/>
        <w:sz w:val="16"/>
        <w:szCs w:val="16"/>
      </w:rPr>
      <w:t xml:space="preserve">	</w:t>
    </w:r>
    <w:r>
      <w:rPr>
        <w:rFonts w:ascii="Arial" w:cs="Arial" w:eastAsia="Arial" w:hAnsi="Arial"/>
        <w:color w:val="5A5A7A"/>
        <w:sz w:val="16"/>
        <w:szCs w:val="16"/>
      </w:rPr>
      <w:t xml:space="preserve">Page </w:t>
    </w:r>
    <w:r>
      <w:rPr>
        <w:rFonts w:ascii="Arial" w:cs="Arial" w:hAnsi="Arial"/>
        <w:color w:val="5A5A7A"/>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4"/>
      </w:pBdr>
      <w:tabs>
        <w:tab w:val="right" w:pos="9026"/>
      </w:tabs>
      <w:spacing w:after="80"/>
    </w:pPr>
    <w:r>
      <w:rPr>
        <w:rFonts w:ascii="Arial" w:cs="Arial" w:eastAsia="Arial" w:hAnsi="Arial"/>
        <w:b/>
        <w:bCs/>
        <w:color w:val="04091A"/>
        <w:sz w:val="16"/>
        <w:szCs w:val="16"/>
      </w:rPr>
      <w:t xml:space="preserve">UDOC + EVA — Evaluating Valiant Algorithms</w:t>
    </w:r>
    <w:r>
      <w:rPr>
        <w:rFonts w:ascii="Arial" w:cs="Arial" w:eastAsia="Arial" w:hAnsi="Arial"/>
        <w:sz w:val="16"/>
        <w:szCs w:val="16"/>
      </w:rPr>
      <w:t xml:space="preserve">	</w:t>
    </w:r>
    <w:r>
      <w:rPr>
        <w:rFonts w:ascii="Arial" w:cs="Arial" w:eastAsia="Arial" w:hAnsi="Arial"/>
        <w:color w:val="5A5A7A"/>
        <w:sz w:val="16"/>
        <w:szCs w:val="16"/>
      </w:rPr>
      <w:t xml:space="preserve">G.O.D.S Holdings (Pty) Ltd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4091A"/>
      <w:sz w:val="32"/>
      <w:szCs w:val="32"/>
    </w:rPr>
  </w:style>
  <w:style w:type="paragraph" w:styleId="Heading2">
    <w:name w:val="Heading 2"/>
    <w:basedOn w:val="Normal"/>
    <w:next w:val="Normal"/>
    <w:qFormat/>
    <w:pPr>
      <w:spacing w:after="100" w:before="280"/>
      <w:outlineLvl w:val="1"/>
    </w:pPr>
    <w:rPr>
      <w:rFonts w:ascii="Arial" w:cs="Arial" w:eastAsia="Arial" w:hAnsi="Arial"/>
      <w:b/>
      <w:bCs/>
      <w:color w:val="04091A"/>
      <w:sz w:val="26"/>
      <w:szCs w:val="26"/>
    </w:rPr>
  </w:style>
  <w:style w:type="paragraph" w:styleId="Heading3">
    <w:name w:val="Heading 3"/>
    <w:basedOn w:val="Normal"/>
    <w:next w:val="Normal"/>
    <w:qFormat/>
    <w:pPr>
      <w:spacing w:after="80" w:before="200"/>
      <w:outlineLvl w:val="2"/>
    </w:pPr>
    <w:rPr>
      <w:rFonts w:ascii="Arial" w:cs="Arial" w:eastAsia="Arial" w:hAnsi="Arial"/>
      <w:b/>
      <w:bCs/>
      <w:color w:val="5A5A7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2026-04-29T04:59:00.006Z</dcterms:created>
  <dcterms:modified xsi:type="dcterms:W3CDTF">2026-04-29T04:59:00.007Z</dcterms:modified>
</cp:coreProperties>
</file>

<file path=docProps/custom.xml><?xml version="1.0" encoding="utf-8"?>
<Properties xmlns="http://schemas.openxmlformats.org/officeDocument/2006/custom-properties" xmlns:vt="http://schemas.openxmlformats.org/officeDocument/2006/docPropsVTypes"/>
</file>