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B8944A"/>
          <w:sz w:val="32"/>
        </w:rPr>
        <w:t>UDOC</w:t>
      </w:r>
    </w:p>
    <w:p>
      <w:pPr>
        <w:pStyle w:val="Title"/>
        <w:jc w:val="center"/>
      </w:pPr>
      <w:r>
        <w:t>Full Hardware Specification</w:t>
      </w:r>
    </w:p>
    <w:p>
      <w:pPr>
        <w:pStyle w:val="Subtitle"/>
        <w:jc w:val="center"/>
      </w:pPr>
      <w:r>
        <w:t>Deployment System Architecture and Data Operations Core for the Sovereign AI Oversight System</w:t>
      </w:r>
    </w:p>
    <w:p>
      <w:pPr>
        <w:jc w:val="center"/>
      </w:pPr>
      <w:r>
        <w:t>Prepared for G.O.D.S Holdings (Pty) Ltd</w:t>
        <w:br/>
        <w:t>Sashin J. Singh — Founder &amp; Systems Architect</w:t>
        <w:br/>
        <w:t>Draft engineering package · Version 1.0 · 24 March 2026</w:t>
      </w:r>
    </w:p>
    <w:p/>
    <w:tbl>
      <w:tblPr>
        <w:tblStyle w:val="TableGrid"/>
        <w:tblW w:type="auto" w:w="0"/>
        <w:jc w:val="center"/>
        <w:tblLook w:firstColumn="1" w:firstRow="1" w:lastColumn="0" w:lastRow="0" w:noHBand="0" w:noVBand="1" w:val="04A0"/>
      </w:tblPr>
      <w:tblGrid>
        <w:gridCol w:w="4986"/>
        <w:gridCol w:w="4986"/>
      </w:tblGrid>
      <w:tr>
        <w:tc>
          <w:tcPr>
            <w:tcW w:type="dxa" w:w="4986"/>
            <w:vAlign w:val="center"/>
            <w:shd w:fill="E5ECF3"/>
          </w:tcPr>
          <w:p>
            <w:pPr>
              <w:jc w:val="left"/>
            </w:pPr>
            <w:r/>
            <w:r>
              <w:rPr>
                <w:rFonts w:ascii="DejaVu Sans" w:hAnsi="DejaVu Sans"/>
                <w:b/>
                <w:color w:val="102A43"/>
                <w:sz w:val="20"/>
              </w:rPr>
              <w:t>Purpose</w:t>
            </w:r>
          </w:p>
        </w:tc>
        <w:tc>
          <w:tcPr>
            <w:tcW w:type="dxa" w:w="4986"/>
            <w:vAlign w:val="center"/>
          </w:tcPr>
          <w:p>
            <w:pPr>
              <w:jc w:val="left"/>
            </w:pPr>
            <w:r/>
            <w:r>
              <w:rPr>
                <w:rFonts w:ascii="DejaVu Sans" w:hAnsi="DejaVu Sans"/>
                <w:b w:val="0"/>
                <w:color w:val="000000"/>
                <w:sz w:val="20"/>
              </w:rPr>
              <w:t>Vendor-neutral hardware and facility specification for an AI oversight platform that embeds governance controls into AI infrastructure, applications, and decision pipelines.</w:t>
            </w:r>
          </w:p>
        </w:tc>
      </w:tr>
      <w:tr>
        <w:tc>
          <w:tcPr>
            <w:tcW w:type="dxa" w:w="4986"/>
            <w:vAlign w:val="center"/>
            <w:shd w:fill="E5ECF3"/>
          </w:tcPr>
          <w:p>
            <w:pPr>
              <w:jc w:val="left"/>
            </w:pPr>
            <w:r/>
            <w:r>
              <w:rPr>
                <w:rFonts w:ascii="DejaVu Sans" w:hAnsi="DejaVu Sans"/>
                <w:b/>
                <w:color w:val="102A43"/>
                <w:sz w:val="20"/>
              </w:rPr>
              <w:t>Reference intent</w:t>
            </w:r>
          </w:p>
        </w:tc>
        <w:tc>
          <w:tcPr>
            <w:tcW w:type="dxa" w:w="4986"/>
            <w:vAlign w:val="center"/>
          </w:tcPr>
          <w:p>
            <w:pPr>
              <w:jc w:val="left"/>
            </w:pPr>
            <w:r/>
            <w:r>
              <w:rPr>
                <w:rFonts w:ascii="DejaVu Sans" w:hAnsi="DejaVu Sans"/>
                <w:b w:val="0"/>
                <w:color w:val="000000"/>
                <w:sz w:val="20"/>
              </w:rPr>
              <w:t>National backbone, sovereign cloud, private enterprise, and air-gapped deployments.</w:t>
            </w:r>
          </w:p>
        </w:tc>
      </w:tr>
      <w:tr>
        <w:tc>
          <w:tcPr>
            <w:tcW w:type="dxa" w:w="4986"/>
            <w:vAlign w:val="center"/>
            <w:shd w:fill="E5ECF3"/>
          </w:tcPr>
          <w:p>
            <w:pPr>
              <w:jc w:val="left"/>
            </w:pPr>
            <w:r/>
            <w:r>
              <w:rPr>
                <w:rFonts w:ascii="DejaVu Sans" w:hAnsi="DejaVu Sans"/>
                <w:b/>
                <w:color w:val="102A43"/>
                <w:sz w:val="20"/>
              </w:rPr>
              <w:t>Design anchors</w:t>
            </w:r>
          </w:p>
        </w:tc>
        <w:tc>
          <w:tcPr>
            <w:tcW w:type="dxa" w:w="4986"/>
            <w:vAlign w:val="center"/>
          </w:tcPr>
          <w:p>
            <w:pPr>
              <w:jc w:val="left"/>
            </w:pPr>
            <w:r/>
            <w:r>
              <w:rPr>
                <w:rFonts w:ascii="DejaVu Sans" w:hAnsi="DejaVu Sans"/>
                <w:b w:val="0"/>
                <w:color w:val="000000"/>
                <w:sz w:val="20"/>
              </w:rPr>
              <w:t>Sovereignty first; audit by default; zero trust; quantum-ready; interoperable.</w:t>
            </w:r>
          </w:p>
        </w:tc>
      </w:tr>
      <w:tr>
        <w:tc>
          <w:tcPr>
            <w:tcW w:type="dxa" w:w="4986"/>
            <w:vAlign w:val="center"/>
            <w:shd w:fill="E5ECF3"/>
          </w:tcPr>
          <w:p>
            <w:pPr>
              <w:jc w:val="left"/>
            </w:pPr>
            <w:r/>
            <w:r>
              <w:rPr>
                <w:rFonts w:ascii="DejaVu Sans" w:hAnsi="DejaVu Sans"/>
                <w:b/>
                <w:color w:val="102A43"/>
                <w:sz w:val="20"/>
              </w:rPr>
              <w:t>Engineering stance</w:t>
            </w:r>
          </w:p>
        </w:tc>
        <w:tc>
          <w:tcPr>
            <w:tcW w:type="dxa" w:w="4986"/>
            <w:vAlign w:val="center"/>
          </w:tcPr>
          <w:p>
            <w:pPr>
              <w:jc w:val="left"/>
            </w:pPr>
            <w:r/>
            <w:r>
              <w:rPr>
                <w:rFonts w:ascii="DejaVu Sans" w:hAnsi="DejaVu Sans"/>
                <w:b w:val="0"/>
                <w:color w:val="000000"/>
                <w:sz w:val="20"/>
              </w:rPr>
              <w:t>Detailed enough to procure against, but still adaptable to local supplier availability and client jurisdiction.</w:t>
            </w:r>
          </w:p>
        </w:tc>
      </w:tr>
    </w:tbl>
    <w:p>
      <w:r>
        <w:br w:type="page"/>
      </w:r>
    </w:p>
    <w:p>
      <w:pPr>
        <w:pStyle w:val="Heading1"/>
      </w:pPr>
      <w:r>
        <w:t>Contents</w:t>
      </w:r>
    </w:p>
    <w:p>
      <w:pPr>
        <w:pStyle w:val="ListNumber"/>
      </w:pPr>
      <w:r>
        <w:t>1. Executive design brief</w:t>
      </w:r>
    </w:p>
    <w:p>
      <w:pPr>
        <w:pStyle w:val="ListNumber"/>
      </w:pPr>
      <w:r>
        <w:t>2. Non-negotiable technical constraints</w:t>
      </w:r>
    </w:p>
    <w:p>
      <w:pPr>
        <w:pStyle w:val="ListNumber"/>
      </w:pPr>
      <w:r>
        <w:t>3. Reference deployment models</w:t>
      </w:r>
    </w:p>
    <w:p>
      <w:pPr>
        <w:pStyle w:val="ListNumber"/>
      </w:pPr>
      <w:r>
        <w:t>4. Hardware architecture overview</w:t>
      </w:r>
    </w:p>
    <w:p>
      <w:pPr>
        <w:pStyle w:val="ListNumber"/>
      </w:pPr>
      <w:r>
        <w:t>5. Detailed node classes and minimum bill of materials</w:t>
      </w:r>
    </w:p>
    <w:p>
      <w:pPr>
        <w:pStyle w:val="ListNumber"/>
      </w:pPr>
      <w:r>
        <w:t>6. Data operations core</w:t>
      </w:r>
    </w:p>
    <w:p>
      <w:pPr>
        <w:pStyle w:val="ListNumber"/>
      </w:pPr>
      <w:r>
        <w:t>7. Embedded governance fabric for all AI infrastructure</w:t>
      </w:r>
    </w:p>
    <w:p>
      <w:pPr>
        <w:pStyle w:val="ListNumber"/>
      </w:pPr>
      <w:r>
        <w:t>8. Network, security, and sovereign key architecture</w:t>
      </w:r>
    </w:p>
    <w:p>
      <w:pPr>
        <w:pStyle w:val="ListNumber"/>
      </w:pPr>
      <w:r>
        <w:t>9. Storage, backup, archive, and retention architecture</w:t>
      </w:r>
    </w:p>
    <w:p>
      <w:pPr>
        <w:pStyle w:val="ListNumber"/>
      </w:pPr>
      <w:r>
        <w:t>10. Facility, power, cooling, and physical security</w:t>
      </w:r>
    </w:p>
    <w:p>
      <w:pPr>
        <w:pStyle w:val="ListNumber"/>
      </w:pPr>
      <w:r>
        <w:t>11. Availability, disaster recovery, and operational targets</w:t>
      </w:r>
    </w:p>
    <w:p>
      <w:pPr>
        <w:pStyle w:val="ListNumber"/>
      </w:pPr>
      <w:r>
        <w:t>12. Reference site build: primary, secondary, and secure build enclave</w:t>
      </w:r>
    </w:p>
    <w:p>
      <w:pPr>
        <w:pStyle w:val="ListNumber"/>
      </w:pPr>
      <w:r>
        <w:t>13. Capacity tiers and phased rollout</w:t>
      </w:r>
    </w:p>
    <w:p>
      <w:pPr>
        <w:pStyle w:val="ListNumber"/>
      </w:pPr>
      <w:r>
        <w:t>14. Acceptance criteria and operational readiness checklist</w:t>
      </w:r>
    </w:p>
    <w:p>
      <w:pPr>
        <w:pStyle w:val="ListNumber"/>
      </w:pPr>
      <w:r>
        <w:t>Appendix A. Sample rack layout</w:t>
      </w:r>
    </w:p>
    <w:p>
      <w:pPr>
        <w:pStyle w:val="ListNumber"/>
      </w:pPr>
      <w:r>
        <w:t>Appendix B. Data classification to hardware treatment map</w:t>
      </w:r>
    </w:p>
    <w:p>
      <w:pPr>
        <w:pStyle w:val="ListNumber"/>
      </w:pPr>
      <w:r>
        <w:t>Appendix C. Procurement notes and local adaptation guidance</w:t>
      </w:r>
    </w:p>
    <w:p>
      <w:r>
        <w:br w:type="page"/>
      </w:r>
    </w:p>
    <w:p>
      <w:pPr>
        <w:pStyle w:val="Heading1"/>
      </w:pPr>
      <w:r>
        <w:t>1. Executive design brief</w:t>
      </w:r>
    </w:p>
    <w:p>
      <w:pPr/>
      <w:r>
        <w:t>This specification translates the UDOC whitepaper and the G.O.D.S systems package into a concrete deployment architecture for the AI oversight system. The design assumes that every consequential AI workload must be observable, classifiable, explainable, reviewable by humans where required, and cryptographically auditable without relying on foreign cloud operators for sovereign workloads.</w:t>
      </w:r>
    </w:p>
    <w:p>
      <w:pPr/>
      <w:r>
        <w:t>The result is not a single application server. It is a layered sovereign platform made of an embedded governance fabric, an ingestion and policy plane, an immutable data operations core, a post-quantum-capable security plane, and an operator environment for compliance, oversight, and incident response.</w:t>
      </w:r>
    </w:p>
    <w:p>
      <w:pPr/>
      <w:r>
        <w:t>This hardware specification is written to support four deployment forms: a national backbone, a sovereign in-country cloud deployment, a private enterprise deployment, and a compact edge deployment for ministries, agencies, or regulated organisations that need local enforcement near the AI system itself.</w:t>
      </w:r>
    </w:p>
    <w:p>
      <w:pPr/>
      <w:r>
        <w:t>The key objective is to make AI governance impossible to bypass by policy alone. It must be technically embedded into the infrastructure stack and the software delivery path.</w:t>
      </w:r>
    </w:p>
    <w:p>
      <w:pPr>
        <w:pStyle w:val="Heading1"/>
      </w:pPr>
      <w:r>
        <w:t>2. Non-negotiable technical constraints</w:t>
      </w:r>
    </w:p>
    <w:p>
      <w:pPr>
        <w:pStyle w:val="ListBullet"/>
        <w:ind w:left="0"/>
      </w:pPr>
      <w:r>
        <w:t>Sovereign-critical data must be processable in a fully air-gapped mode, with no dependency on public cloud infrastructure.</w:t>
      </w:r>
    </w:p>
    <w:p>
      <w:pPr>
        <w:pStyle w:val="ListBullet"/>
        <w:ind w:left="0"/>
      </w:pPr>
      <w:r>
        <w:t>Every significant AI event must generate an immutable, cryptographically verifiable audit record and a lineage record.</w:t>
      </w:r>
    </w:p>
    <w:p>
      <w:pPr>
        <w:pStyle w:val="ListBullet"/>
        <w:ind w:left="0"/>
      </w:pPr>
      <w:r>
        <w:t>High-risk and critical AI systems must be capable of mandatory human oversight enforcement, suspension, and override logging.</w:t>
      </w:r>
    </w:p>
    <w:p>
      <w:pPr>
        <w:pStyle w:val="ListBullet"/>
        <w:ind w:left="0"/>
      </w:pPr>
      <w:r>
        <w:t>The governance path must add minimal latency to production decisioning; synchronous enforcement paths should target a sub-50 ms governance overhead where required.</w:t>
      </w:r>
    </w:p>
    <w:p>
      <w:pPr>
        <w:pStyle w:val="ListBullet"/>
        <w:ind w:left="0"/>
      </w:pPr>
      <w:r>
        <w:t>Primary key material must remain in client-controlled hardware security modules; support access must be temporary, authorised, and fully logged.</w:t>
      </w:r>
    </w:p>
    <w:p>
      <w:pPr>
        <w:pStyle w:val="ListBullet"/>
        <w:ind w:left="0"/>
      </w:pPr>
      <w:r>
        <w:t>Architecture must support at least 99.9% uptime for enterprise deployments and 99.95% for government backbone deployments through multi-zone or multi-site redundancy.</w:t>
      </w:r>
    </w:p>
    <w:p>
      <w:pPr>
        <w:pStyle w:val="ListBullet"/>
        <w:ind w:left="0"/>
      </w:pPr>
      <w:r>
        <w:t>The software estate must be updateable through signed, offline-capable release pipelines for air-gapped environments.</w:t>
      </w:r>
    </w:p>
    <w:p>
      <w:pPr>
        <w:pStyle w:val="Heading1"/>
      </w:pPr>
      <w:r>
        <w:t>3. Reference deployment models</w:t>
      </w:r>
    </w:p>
    <w:p>
      <w:pPr>
        <w:pStyle w:val="Heading3"/>
      </w:pPr>
      <w:r>
        <w:t>Deployment models</w:t>
      </w:r>
    </w:p>
    <w:tbl>
      <w:tblPr>
        <w:tblStyle w:val="TableGrid"/>
        <w:tblW w:type="auto" w:w="0"/>
        <w:jc w:val="center"/>
        <w:tblLook w:firstColumn="1" w:firstRow="1" w:lastColumn="0" w:lastRow="0" w:noHBand="0" w:noVBand="1" w:val="04A0"/>
      </w:tblPr>
      <w:tblGrid>
        <w:gridCol w:w="1994"/>
        <w:gridCol w:w="1994"/>
        <w:gridCol w:w="1994"/>
        <w:gridCol w:w="1994"/>
        <w:gridCol w:w="1994"/>
      </w:tblGrid>
      <w:tr>
        <w:tc>
          <w:tcPr>
            <w:tcW w:type="dxa" w:w="1994"/>
            <w:vAlign w:val="center"/>
            <w:shd w:fill="102A43"/>
          </w:tcPr>
          <w:p>
            <w:pPr>
              <w:jc w:val="left"/>
            </w:pPr>
            <w:r/>
            <w:r>
              <w:rPr>
                <w:rFonts w:ascii="DejaVu Sans" w:hAnsi="DejaVu Sans"/>
                <w:b/>
                <w:color w:val="FFFFFF"/>
                <w:sz w:val="19"/>
              </w:rPr>
              <w:t>Model</w:t>
            </w:r>
          </w:p>
        </w:tc>
        <w:tc>
          <w:tcPr>
            <w:tcW w:type="dxa" w:w="1994"/>
            <w:vAlign w:val="center"/>
            <w:shd w:fill="102A43"/>
          </w:tcPr>
          <w:p>
            <w:pPr>
              <w:jc w:val="left"/>
            </w:pPr>
            <w:r/>
            <w:r>
              <w:rPr>
                <w:rFonts w:ascii="DejaVu Sans" w:hAnsi="DejaVu Sans"/>
                <w:b/>
                <w:color w:val="FFFFFF"/>
                <w:sz w:val="19"/>
              </w:rPr>
              <w:t>Primary use</w:t>
            </w:r>
          </w:p>
        </w:tc>
        <w:tc>
          <w:tcPr>
            <w:tcW w:type="dxa" w:w="1994"/>
            <w:vAlign w:val="center"/>
            <w:shd w:fill="102A43"/>
          </w:tcPr>
          <w:p>
            <w:pPr>
              <w:jc w:val="left"/>
            </w:pPr>
            <w:r/>
            <w:r>
              <w:rPr>
                <w:rFonts w:ascii="DejaVu Sans" w:hAnsi="DejaVu Sans"/>
                <w:b/>
                <w:color w:val="FFFFFF"/>
                <w:sz w:val="19"/>
              </w:rPr>
              <w:t>Sovereignty level</w:t>
            </w:r>
          </w:p>
        </w:tc>
        <w:tc>
          <w:tcPr>
            <w:tcW w:type="dxa" w:w="1994"/>
            <w:vAlign w:val="center"/>
            <w:shd w:fill="102A43"/>
          </w:tcPr>
          <w:p>
            <w:pPr>
              <w:jc w:val="left"/>
            </w:pPr>
            <w:r/>
            <w:r>
              <w:rPr>
                <w:rFonts w:ascii="DejaVu Sans" w:hAnsi="DejaVu Sans"/>
                <w:b/>
                <w:color w:val="FFFFFF"/>
                <w:sz w:val="19"/>
              </w:rPr>
              <w:t>Minimum footprint</w:t>
            </w:r>
          </w:p>
        </w:tc>
        <w:tc>
          <w:tcPr>
            <w:tcW w:type="dxa" w:w="1994"/>
            <w:vAlign w:val="center"/>
            <w:shd w:fill="102A43"/>
          </w:tcPr>
          <w:p>
            <w:pPr>
              <w:jc w:val="left"/>
            </w:pPr>
            <w:r/>
            <w:r>
              <w:rPr>
                <w:rFonts w:ascii="DejaVu Sans" w:hAnsi="DejaVu Sans"/>
                <w:b/>
                <w:color w:val="FFFFFF"/>
                <w:sz w:val="19"/>
              </w:rPr>
              <w:t>Notes</w:t>
            </w:r>
          </w:p>
        </w:tc>
      </w:tr>
      <w:tr>
        <w:tc>
          <w:tcPr>
            <w:tcW w:type="dxa" w:w="1994"/>
            <w:vAlign w:val="center"/>
          </w:tcPr>
          <w:p>
            <w:pPr>
              <w:jc w:val="left"/>
            </w:pPr>
            <w:r/>
            <w:r>
              <w:rPr>
                <w:rFonts w:ascii="DejaVu Sans" w:hAnsi="DejaVu Sans"/>
                <w:b w:val="0"/>
                <w:color w:val="1E293B"/>
                <w:sz w:val="18"/>
              </w:rPr>
              <w:t>National backbone</w:t>
            </w:r>
          </w:p>
        </w:tc>
        <w:tc>
          <w:tcPr>
            <w:tcW w:type="dxa" w:w="1994"/>
            <w:vAlign w:val="center"/>
          </w:tcPr>
          <w:p>
            <w:pPr>
              <w:jc w:val="left"/>
            </w:pPr>
            <w:r/>
            <w:r>
              <w:rPr>
                <w:rFonts w:ascii="DejaVu Sans" w:hAnsi="DejaVu Sans"/>
                <w:b w:val="0"/>
                <w:color w:val="1E293B"/>
                <w:sz w:val="18"/>
              </w:rPr>
              <w:t>Government-wide AI oversight, identity, welfare, border, justice, regulated state AI</w:t>
            </w:r>
          </w:p>
        </w:tc>
        <w:tc>
          <w:tcPr>
            <w:tcW w:type="dxa" w:w="1994"/>
            <w:vAlign w:val="center"/>
          </w:tcPr>
          <w:p>
            <w:pPr>
              <w:jc w:val="left"/>
            </w:pPr>
            <w:r/>
            <w:r>
              <w:rPr>
                <w:rFonts w:ascii="DejaVu Sans" w:hAnsi="DejaVu Sans"/>
                <w:b w:val="0"/>
                <w:color w:val="1E293B"/>
                <w:sz w:val="18"/>
              </w:rPr>
              <w:t>Maximum</w:t>
            </w:r>
          </w:p>
        </w:tc>
        <w:tc>
          <w:tcPr>
            <w:tcW w:type="dxa" w:w="1994"/>
            <w:vAlign w:val="center"/>
          </w:tcPr>
          <w:p>
            <w:pPr>
              <w:jc w:val="left"/>
            </w:pPr>
            <w:r/>
            <w:r>
              <w:rPr>
                <w:rFonts w:ascii="DejaVu Sans" w:hAnsi="DejaVu Sans"/>
                <w:b w:val="0"/>
                <w:color w:val="1E293B"/>
                <w:sz w:val="18"/>
              </w:rPr>
              <w:t>Two sites + secure build/signing enclave</w:t>
            </w:r>
          </w:p>
        </w:tc>
        <w:tc>
          <w:tcPr>
            <w:tcW w:type="dxa" w:w="1994"/>
            <w:vAlign w:val="center"/>
          </w:tcPr>
          <w:p>
            <w:pPr>
              <w:jc w:val="left"/>
            </w:pPr>
            <w:r/>
            <w:r>
              <w:rPr>
                <w:rFonts w:ascii="DejaVu Sans" w:hAnsi="DejaVu Sans"/>
                <w:b w:val="0"/>
                <w:color w:val="1E293B"/>
                <w:sz w:val="18"/>
              </w:rPr>
              <w:t>Supports full air-gap, dual HSM, dual-site data replication, central compliance authority.</w:t>
            </w:r>
          </w:p>
        </w:tc>
      </w:tr>
      <w:tr>
        <w:tc>
          <w:tcPr>
            <w:tcW w:type="dxa" w:w="1994"/>
            <w:vAlign w:val="center"/>
          </w:tcPr>
          <w:p>
            <w:pPr>
              <w:jc w:val="left"/>
            </w:pPr>
            <w:r/>
            <w:r>
              <w:rPr>
                <w:rFonts w:ascii="DejaVu Sans" w:hAnsi="DejaVu Sans"/>
                <w:b w:val="0"/>
                <w:color w:val="1E293B"/>
                <w:sz w:val="18"/>
              </w:rPr>
              <w:t>Sovereign cloud</w:t>
            </w:r>
          </w:p>
        </w:tc>
        <w:tc>
          <w:tcPr>
            <w:tcW w:type="dxa" w:w="1994"/>
            <w:vAlign w:val="center"/>
          </w:tcPr>
          <w:p>
            <w:pPr>
              <w:jc w:val="left"/>
            </w:pPr>
            <w:r/>
            <w:r>
              <w:rPr>
                <w:rFonts w:ascii="DejaVu Sans" w:hAnsi="DejaVu Sans"/>
                <w:b w:val="0"/>
                <w:color w:val="1E293B"/>
                <w:sz w:val="18"/>
              </w:rPr>
              <w:t>Regulated industries, parastatals, provincial programmes</w:t>
            </w:r>
          </w:p>
        </w:tc>
        <w:tc>
          <w:tcPr>
            <w:tcW w:type="dxa" w:w="1994"/>
            <w:vAlign w:val="center"/>
          </w:tcPr>
          <w:p>
            <w:pPr>
              <w:jc w:val="left"/>
            </w:pPr>
            <w:r/>
            <w:r>
              <w:rPr>
                <w:rFonts w:ascii="DejaVu Sans" w:hAnsi="DejaVu Sans"/>
                <w:b w:val="0"/>
                <w:color w:val="1E293B"/>
                <w:sz w:val="18"/>
              </w:rPr>
              <w:t>High</w:t>
            </w:r>
          </w:p>
        </w:tc>
        <w:tc>
          <w:tcPr>
            <w:tcW w:type="dxa" w:w="1994"/>
            <w:vAlign w:val="center"/>
          </w:tcPr>
          <w:p>
            <w:pPr>
              <w:jc w:val="left"/>
            </w:pPr>
            <w:r/>
            <w:r>
              <w:rPr>
                <w:rFonts w:ascii="DejaVu Sans" w:hAnsi="DejaVu Sans"/>
                <w:b w:val="0"/>
                <w:color w:val="1E293B"/>
                <w:sz w:val="18"/>
              </w:rPr>
              <w:t>One primary site + one DR site</w:t>
            </w:r>
          </w:p>
        </w:tc>
        <w:tc>
          <w:tcPr>
            <w:tcW w:type="dxa" w:w="1994"/>
            <w:vAlign w:val="center"/>
          </w:tcPr>
          <w:p>
            <w:pPr>
              <w:jc w:val="left"/>
            </w:pPr>
            <w:r/>
            <w:r>
              <w:rPr>
                <w:rFonts w:ascii="DejaVu Sans" w:hAnsi="DejaVu Sans"/>
                <w:b w:val="0"/>
                <w:color w:val="1E293B"/>
                <w:sz w:val="18"/>
              </w:rPr>
              <w:t>Client-approved in-country operator. No foreign hyperscaler dependency for sensitive classes.</w:t>
            </w:r>
          </w:p>
        </w:tc>
      </w:tr>
      <w:tr>
        <w:tc>
          <w:tcPr>
            <w:tcW w:type="dxa" w:w="1994"/>
            <w:vAlign w:val="center"/>
          </w:tcPr>
          <w:p>
            <w:pPr>
              <w:jc w:val="left"/>
            </w:pPr>
            <w:r/>
            <w:r>
              <w:rPr>
                <w:rFonts w:ascii="DejaVu Sans" w:hAnsi="DejaVu Sans"/>
                <w:b w:val="0"/>
                <w:color w:val="1E293B"/>
                <w:sz w:val="18"/>
              </w:rPr>
              <w:t>Private enterprise</w:t>
            </w:r>
          </w:p>
        </w:tc>
        <w:tc>
          <w:tcPr>
            <w:tcW w:type="dxa" w:w="1994"/>
            <w:vAlign w:val="center"/>
          </w:tcPr>
          <w:p>
            <w:pPr>
              <w:jc w:val="left"/>
            </w:pPr>
            <w:r/>
            <w:r>
              <w:rPr>
                <w:rFonts w:ascii="DejaVu Sans" w:hAnsi="DejaVu Sans"/>
                <w:b w:val="0"/>
                <w:color w:val="1E293B"/>
                <w:sz w:val="18"/>
              </w:rPr>
              <w:t>Banks, insurers, hospitals, utilities, large enterprises</w:t>
            </w:r>
          </w:p>
        </w:tc>
        <w:tc>
          <w:tcPr>
            <w:tcW w:type="dxa" w:w="1994"/>
            <w:vAlign w:val="center"/>
          </w:tcPr>
          <w:p>
            <w:pPr>
              <w:jc w:val="left"/>
            </w:pPr>
            <w:r/>
            <w:r>
              <w:rPr>
                <w:rFonts w:ascii="DejaVu Sans" w:hAnsi="DejaVu Sans"/>
                <w:b w:val="0"/>
                <w:color w:val="1E293B"/>
                <w:sz w:val="18"/>
              </w:rPr>
              <w:t>High</w:t>
            </w:r>
          </w:p>
        </w:tc>
        <w:tc>
          <w:tcPr>
            <w:tcW w:type="dxa" w:w="1994"/>
            <w:vAlign w:val="center"/>
          </w:tcPr>
          <w:p>
            <w:pPr>
              <w:jc w:val="left"/>
            </w:pPr>
            <w:r/>
            <w:r>
              <w:rPr>
                <w:rFonts w:ascii="DejaVu Sans" w:hAnsi="DejaVu Sans"/>
                <w:b w:val="0"/>
                <w:color w:val="1E293B"/>
                <w:sz w:val="18"/>
              </w:rPr>
              <w:t>One primary cluster + backup target</w:t>
            </w:r>
          </w:p>
        </w:tc>
        <w:tc>
          <w:tcPr>
            <w:tcW w:type="dxa" w:w="1994"/>
            <w:vAlign w:val="center"/>
          </w:tcPr>
          <w:p>
            <w:pPr>
              <w:jc w:val="left"/>
            </w:pPr>
            <w:r/>
            <w:r>
              <w:rPr>
                <w:rFonts w:ascii="DejaVu Sans" w:hAnsi="DejaVu Sans"/>
                <w:b w:val="0"/>
                <w:color w:val="1E293B"/>
                <w:sz w:val="18"/>
              </w:rPr>
              <w:t>Client-owned or contracted infrastructure. Same control model, reduced site count.</w:t>
            </w:r>
          </w:p>
        </w:tc>
      </w:tr>
      <w:tr>
        <w:tc>
          <w:tcPr>
            <w:tcW w:type="dxa" w:w="1994"/>
            <w:vAlign w:val="center"/>
          </w:tcPr>
          <w:p>
            <w:pPr>
              <w:jc w:val="left"/>
            </w:pPr>
            <w:r/>
            <w:r>
              <w:rPr>
                <w:rFonts w:ascii="DejaVu Sans" w:hAnsi="DejaVu Sans"/>
                <w:b w:val="0"/>
                <w:color w:val="1E293B"/>
                <w:sz w:val="18"/>
              </w:rPr>
              <w:t>Edge governance node</w:t>
            </w:r>
          </w:p>
        </w:tc>
        <w:tc>
          <w:tcPr>
            <w:tcW w:type="dxa" w:w="1994"/>
            <w:vAlign w:val="center"/>
          </w:tcPr>
          <w:p>
            <w:pPr>
              <w:jc w:val="left"/>
            </w:pPr>
            <w:r/>
            <w:r>
              <w:rPr>
                <w:rFonts w:ascii="DejaVu Sans" w:hAnsi="DejaVu Sans"/>
                <w:b w:val="0"/>
                <w:color w:val="1E293B"/>
                <w:sz w:val="18"/>
              </w:rPr>
              <w:t>Agency, ministry, OT/edge, branch site, disconnected field system</w:t>
            </w:r>
          </w:p>
        </w:tc>
        <w:tc>
          <w:tcPr>
            <w:tcW w:type="dxa" w:w="1994"/>
            <w:vAlign w:val="center"/>
          </w:tcPr>
          <w:p>
            <w:pPr>
              <w:jc w:val="left"/>
            </w:pPr>
            <w:r/>
            <w:r>
              <w:rPr>
                <w:rFonts w:ascii="DejaVu Sans" w:hAnsi="DejaVu Sans"/>
                <w:b w:val="0"/>
                <w:color w:val="1E293B"/>
                <w:sz w:val="18"/>
              </w:rPr>
              <w:t>Targeted local sovereignty</w:t>
            </w:r>
          </w:p>
        </w:tc>
        <w:tc>
          <w:tcPr>
            <w:tcW w:type="dxa" w:w="1994"/>
            <w:vAlign w:val="center"/>
          </w:tcPr>
          <w:p>
            <w:pPr>
              <w:jc w:val="left"/>
            </w:pPr>
            <w:r/>
            <w:r>
              <w:rPr>
                <w:rFonts w:ascii="DejaVu Sans" w:hAnsi="DejaVu Sans"/>
                <w:b w:val="0"/>
                <w:color w:val="1E293B"/>
                <w:sz w:val="18"/>
              </w:rPr>
              <w:t>1–3 appliances per site</w:t>
            </w:r>
          </w:p>
        </w:tc>
        <w:tc>
          <w:tcPr>
            <w:tcW w:type="dxa" w:w="1994"/>
            <w:vAlign w:val="center"/>
          </w:tcPr>
          <w:p>
            <w:pPr>
              <w:jc w:val="left"/>
            </w:pPr>
            <w:r/>
            <w:r>
              <w:rPr>
                <w:rFonts w:ascii="DejaVu Sans" w:hAnsi="DejaVu Sans"/>
                <w:b w:val="0"/>
                <w:color w:val="1E293B"/>
                <w:sz w:val="18"/>
              </w:rPr>
              <w:t>Embeds governance capture, local caching, signed export, and store-and-forward to core.</w:t>
            </w:r>
          </w:p>
        </w:tc>
      </w:tr>
    </w:tbl>
    <w:p/>
    <w:p>
      <w:pPr>
        <w:pStyle w:val="Heading1"/>
      </w:pPr>
      <w:r>
        <w:t>4. Hardware architecture overview</w:t>
      </w:r>
    </w:p>
    <w:p>
      <w:r>
        <w:drawing>
          <wp:inline xmlns:a="http://schemas.openxmlformats.org/drawingml/2006/main" xmlns:pic="http://schemas.openxmlformats.org/drawingml/2006/picture">
            <wp:extent cx="6217920" cy="3497580"/>
            <wp:docPr id="1" name="Picture 1"/>
            <wp:cNvGraphicFramePr>
              <a:graphicFrameLocks noChangeAspect="1"/>
            </wp:cNvGraphicFramePr>
            <a:graphic>
              <a:graphicData uri="http://schemas.openxmlformats.org/drawingml/2006/picture">
                <pic:pic>
                  <pic:nvPicPr>
                    <pic:cNvPr id="0" name="udoc_reference_architecture.png"/>
                    <pic:cNvPicPr/>
                  </pic:nvPicPr>
                  <pic:blipFill>
                    <a:blip r:embed="rId9"/>
                    <a:stretch>
                      <a:fillRect/>
                    </a:stretch>
                  </pic:blipFill>
                  <pic:spPr>
                    <a:xfrm>
                      <a:off x="0" y="0"/>
                      <a:ext cx="6217920" cy="3497580"/>
                    </a:xfrm>
                    <a:prstGeom prst="rect"/>
                  </pic:spPr>
                </pic:pic>
              </a:graphicData>
            </a:graphic>
          </wp:inline>
        </w:drawing>
      </w:r>
    </w:p>
    <w:p>
      <w:pPr>
        <w:jc w:val="center"/>
      </w:pPr>
      <w:r>
        <w:t>Figure 1. Reference layered architecture for the UDOC AI oversight deployment.</w:t>
      </w:r>
    </w:p>
    <w:p>
      <w:pPr/>
      <w:r>
        <w:t>The hardware estate is divided into five planes. Each plane has different performance, storage, and failure-domain requirements.</w:t>
      </w:r>
    </w:p>
    <w:p>
      <w:pPr>
        <w:pStyle w:val="Heading3"/>
      </w:pPr>
      <w:r>
        <w:t>Hardware planes</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vAlign w:val="center"/>
            <w:shd w:fill="102A43"/>
          </w:tcPr>
          <w:p>
            <w:pPr>
              <w:jc w:val="left"/>
            </w:pPr>
            <w:r/>
            <w:r>
              <w:rPr>
                <w:rFonts w:ascii="DejaVu Sans" w:hAnsi="DejaVu Sans"/>
                <w:b/>
                <w:color w:val="FFFFFF"/>
                <w:sz w:val="19"/>
              </w:rPr>
              <w:t>Plane</w:t>
            </w:r>
          </w:p>
        </w:tc>
        <w:tc>
          <w:tcPr>
            <w:tcW w:type="dxa" w:w="2493"/>
            <w:vAlign w:val="center"/>
            <w:shd w:fill="102A43"/>
          </w:tcPr>
          <w:p>
            <w:pPr>
              <w:jc w:val="left"/>
            </w:pPr>
            <w:r/>
            <w:r>
              <w:rPr>
                <w:rFonts w:ascii="DejaVu Sans" w:hAnsi="DejaVu Sans"/>
                <w:b/>
                <w:color w:val="FFFFFF"/>
                <w:sz w:val="19"/>
              </w:rPr>
              <w:t>Primary functions</w:t>
            </w:r>
          </w:p>
        </w:tc>
        <w:tc>
          <w:tcPr>
            <w:tcW w:type="dxa" w:w="2493"/>
            <w:vAlign w:val="center"/>
            <w:shd w:fill="102A43"/>
          </w:tcPr>
          <w:p>
            <w:pPr>
              <w:jc w:val="left"/>
            </w:pPr>
            <w:r/>
            <w:r>
              <w:rPr>
                <w:rFonts w:ascii="DejaVu Sans" w:hAnsi="DejaVu Sans"/>
                <w:b/>
                <w:color w:val="FFFFFF"/>
                <w:sz w:val="19"/>
              </w:rPr>
              <w:t>Hardware emphasis</w:t>
            </w:r>
          </w:p>
        </w:tc>
        <w:tc>
          <w:tcPr>
            <w:tcW w:type="dxa" w:w="2493"/>
            <w:vAlign w:val="center"/>
            <w:shd w:fill="102A43"/>
          </w:tcPr>
          <w:p>
            <w:pPr>
              <w:jc w:val="left"/>
            </w:pPr>
            <w:r/>
            <w:r>
              <w:rPr>
                <w:rFonts w:ascii="DejaVu Sans" w:hAnsi="DejaVu Sans"/>
                <w:b/>
                <w:color w:val="FFFFFF"/>
                <w:sz w:val="19"/>
              </w:rPr>
              <w:t>Failure priority</w:t>
            </w:r>
          </w:p>
        </w:tc>
      </w:tr>
      <w:tr>
        <w:tc>
          <w:tcPr>
            <w:tcW w:type="dxa" w:w="2493"/>
            <w:vAlign w:val="center"/>
          </w:tcPr>
          <w:p>
            <w:pPr>
              <w:jc w:val="left"/>
            </w:pPr>
            <w:r/>
            <w:r>
              <w:rPr>
                <w:rFonts w:ascii="DejaVu Sans" w:hAnsi="DejaVu Sans"/>
                <w:b w:val="0"/>
                <w:color w:val="1E293B"/>
                <w:sz w:val="18"/>
              </w:rPr>
              <w:t>Embedded governance fabric</w:t>
            </w:r>
          </w:p>
        </w:tc>
        <w:tc>
          <w:tcPr>
            <w:tcW w:type="dxa" w:w="2493"/>
            <w:vAlign w:val="center"/>
          </w:tcPr>
          <w:p>
            <w:pPr>
              <w:jc w:val="left"/>
            </w:pPr>
            <w:r/>
            <w:r>
              <w:rPr>
                <w:rFonts w:ascii="DejaVu Sans" w:hAnsi="DejaVu Sans"/>
                <w:b w:val="0"/>
                <w:color w:val="1E293B"/>
                <w:sz w:val="18"/>
              </w:rPr>
              <w:t>SDK gateways, sidecars, host agents, branch appliances, model registration hooks</w:t>
            </w:r>
          </w:p>
        </w:tc>
        <w:tc>
          <w:tcPr>
            <w:tcW w:type="dxa" w:w="2493"/>
            <w:vAlign w:val="center"/>
          </w:tcPr>
          <w:p>
            <w:pPr>
              <w:jc w:val="left"/>
            </w:pPr>
            <w:r/>
            <w:r>
              <w:rPr>
                <w:rFonts w:ascii="DejaVu Sans" w:hAnsi="DejaVu Sans"/>
                <w:b w:val="0"/>
                <w:color w:val="1E293B"/>
                <w:sz w:val="18"/>
              </w:rPr>
              <w:t>Low-latency compute, strong local buffering, trusted identity</w:t>
            </w:r>
          </w:p>
        </w:tc>
        <w:tc>
          <w:tcPr>
            <w:tcW w:type="dxa" w:w="2493"/>
            <w:vAlign w:val="center"/>
          </w:tcPr>
          <w:p>
            <w:pPr>
              <w:jc w:val="center"/>
            </w:pPr>
            <w:r/>
            <w:r>
              <w:rPr>
                <w:rFonts w:ascii="DejaVu Sans" w:hAnsi="DejaVu Sans"/>
                <w:b w:val="0"/>
                <w:color w:val="1E293B"/>
                <w:sz w:val="18"/>
              </w:rPr>
              <w:t>High</w:t>
            </w:r>
          </w:p>
        </w:tc>
      </w:tr>
      <w:tr>
        <w:tc>
          <w:tcPr>
            <w:tcW w:type="dxa" w:w="2493"/>
            <w:vAlign w:val="center"/>
          </w:tcPr>
          <w:p>
            <w:pPr>
              <w:jc w:val="left"/>
            </w:pPr>
            <w:r/>
            <w:r>
              <w:rPr>
                <w:rFonts w:ascii="DejaVu Sans" w:hAnsi="DejaVu Sans"/>
                <w:b w:val="0"/>
                <w:color w:val="1E293B"/>
                <w:sz w:val="18"/>
              </w:rPr>
              <w:t>Ingestion and control plane</w:t>
            </w:r>
          </w:p>
        </w:tc>
        <w:tc>
          <w:tcPr>
            <w:tcW w:type="dxa" w:w="2493"/>
            <w:vAlign w:val="center"/>
          </w:tcPr>
          <w:p>
            <w:pPr>
              <w:jc w:val="left"/>
            </w:pPr>
            <w:r/>
            <w:r>
              <w:rPr>
                <w:rFonts w:ascii="DejaVu Sans" w:hAnsi="DejaVu Sans"/>
                <w:b w:val="0"/>
                <w:color w:val="1E293B"/>
                <w:sz w:val="18"/>
              </w:rPr>
              <w:t>API ingress, mTLS termination, Kafka brokers, schema registry, admission control</w:t>
            </w:r>
          </w:p>
        </w:tc>
        <w:tc>
          <w:tcPr>
            <w:tcW w:type="dxa" w:w="2493"/>
            <w:vAlign w:val="center"/>
          </w:tcPr>
          <w:p>
            <w:pPr>
              <w:jc w:val="left"/>
            </w:pPr>
            <w:r/>
            <w:r>
              <w:rPr>
                <w:rFonts w:ascii="DejaVu Sans" w:hAnsi="DejaVu Sans"/>
                <w:b w:val="0"/>
                <w:color w:val="1E293B"/>
                <w:sz w:val="18"/>
              </w:rPr>
              <w:t>Fast NVMe, 25/100GbE, predictable write latency</w:t>
            </w:r>
          </w:p>
        </w:tc>
        <w:tc>
          <w:tcPr>
            <w:tcW w:type="dxa" w:w="2493"/>
            <w:vAlign w:val="center"/>
          </w:tcPr>
          <w:p>
            <w:pPr>
              <w:jc w:val="center"/>
            </w:pPr>
            <w:r/>
            <w:r>
              <w:rPr>
                <w:rFonts w:ascii="DejaVu Sans" w:hAnsi="DejaVu Sans"/>
                <w:b w:val="0"/>
                <w:color w:val="1E293B"/>
                <w:sz w:val="18"/>
              </w:rPr>
              <w:t>Critical</w:t>
            </w:r>
          </w:p>
        </w:tc>
      </w:tr>
      <w:tr>
        <w:tc>
          <w:tcPr>
            <w:tcW w:type="dxa" w:w="2493"/>
            <w:vAlign w:val="center"/>
          </w:tcPr>
          <w:p>
            <w:pPr>
              <w:jc w:val="left"/>
            </w:pPr>
            <w:r/>
            <w:r>
              <w:rPr>
                <w:rFonts w:ascii="DejaVu Sans" w:hAnsi="DejaVu Sans"/>
                <w:b w:val="0"/>
                <w:color w:val="1E293B"/>
                <w:sz w:val="18"/>
              </w:rPr>
              <w:t>Governance and processing core</w:t>
            </w:r>
          </w:p>
        </w:tc>
        <w:tc>
          <w:tcPr>
            <w:tcW w:type="dxa" w:w="2493"/>
            <w:vAlign w:val="center"/>
          </w:tcPr>
          <w:p>
            <w:pPr>
              <w:jc w:val="left"/>
            </w:pPr>
            <w:r/>
            <w:r>
              <w:rPr>
                <w:rFonts w:ascii="DejaVu Sans" w:hAnsi="DejaVu Sans"/>
                <w:b w:val="0"/>
                <w:color w:val="1E293B"/>
                <w:sz w:val="18"/>
              </w:rPr>
              <w:t>FastAPI services, policy engine, explainability, bias engine, workflow, oversight queue</w:t>
            </w:r>
          </w:p>
        </w:tc>
        <w:tc>
          <w:tcPr>
            <w:tcW w:type="dxa" w:w="2493"/>
            <w:vAlign w:val="center"/>
          </w:tcPr>
          <w:p>
            <w:pPr>
              <w:jc w:val="left"/>
            </w:pPr>
            <w:r/>
            <w:r>
              <w:rPr>
                <w:rFonts w:ascii="DejaVu Sans" w:hAnsi="DejaVu Sans"/>
                <w:b w:val="0"/>
                <w:color w:val="1E293B"/>
                <w:sz w:val="18"/>
              </w:rPr>
              <w:t>Balanced CPU/RAM, optional GPU for advanced analytics</w:t>
            </w:r>
          </w:p>
        </w:tc>
        <w:tc>
          <w:tcPr>
            <w:tcW w:type="dxa" w:w="2493"/>
            <w:vAlign w:val="center"/>
          </w:tcPr>
          <w:p>
            <w:pPr>
              <w:jc w:val="center"/>
            </w:pPr>
            <w:r/>
            <w:r>
              <w:rPr>
                <w:rFonts w:ascii="DejaVu Sans" w:hAnsi="DejaVu Sans"/>
                <w:b w:val="0"/>
                <w:color w:val="1E293B"/>
                <w:sz w:val="18"/>
              </w:rPr>
              <w:t>Critical</w:t>
            </w:r>
          </w:p>
        </w:tc>
      </w:tr>
      <w:tr>
        <w:tc>
          <w:tcPr>
            <w:tcW w:type="dxa" w:w="2493"/>
            <w:vAlign w:val="center"/>
          </w:tcPr>
          <w:p>
            <w:pPr>
              <w:jc w:val="left"/>
            </w:pPr>
            <w:r/>
            <w:r>
              <w:rPr>
                <w:rFonts w:ascii="DejaVu Sans" w:hAnsi="DejaVu Sans"/>
                <w:b w:val="0"/>
                <w:color w:val="1E293B"/>
                <w:sz w:val="18"/>
              </w:rPr>
              <w:t>Immutable data operations core</w:t>
            </w:r>
          </w:p>
        </w:tc>
        <w:tc>
          <w:tcPr>
            <w:tcW w:type="dxa" w:w="2493"/>
            <w:vAlign w:val="center"/>
          </w:tcPr>
          <w:p>
            <w:pPr>
              <w:jc w:val="left"/>
            </w:pPr>
            <w:r/>
            <w:r>
              <w:rPr>
                <w:rFonts w:ascii="DejaVu Sans" w:hAnsi="DejaVu Sans"/>
                <w:b w:val="0"/>
                <w:color w:val="1E293B"/>
                <w:sz w:val="18"/>
              </w:rPr>
              <w:t>PostgreSQL, Cassandra/WORM, Redis, OpenSearch, object archive</w:t>
            </w:r>
          </w:p>
        </w:tc>
        <w:tc>
          <w:tcPr>
            <w:tcW w:type="dxa" w:w="2493"/>
            <w:vAlign w:val="center"/>
          </w:tcPr>
          <w:p>
            <w:pPr>
              <w:jc w:val="left"/>
            </w:pPr>
            <w:r/>
            <w:r>
              <w:rPr>
                <w:rFonts w:ascii="DejaVu Sans" w:hAnsi="DejaVu Sans"/>
                <w:b w:val="0"/>
                <w:color w:val="1E293B"/>
                <w:sz w:val="18"/>
              </w:rPr>
              <w:t>Storage endurance, replication, consistent IO, retention management</w:t>
            </w:r>
          </w:p>
        </w:tc>
        <w:tc>
          <w:tcPr>
            <w:tcW w:type="dxa" w:w="2493"/>
            <w:vAlign w:val="center"/>
          </w:tcPr>
          <w:p>
            <w:pPr>
              <w:jc w:val="center"/>
            </w:pPr>
            <w:r/>
            <w:r>
              <w:rPr>
                <w:rFonts w:ascii="DejaVu Sans" w:hAnsi="DejaVu Sans"/>
                <w:b w:val="0"/>
                <w:color w:val="1E293B"/>
                <w:sz w:val="18"/>
              </w:rPr>
              <w:t>Critical</w:t>
            </w:r>
          </w:p>
        </w:tc>
      </w:tr>
      <w:tr>
        <w:tc>
          <w:tcPr>
            <w:tcW w:type="dxa" w:w="2493"/>
            <w:vAlign w:val="center"/>
          </w:tcPr>
          <w:p>
            <w:pPr>
              <w:jc w:val="left"/>
            </w:pPr>
            <w:r/>
            <w:r>
              <w:rPr>
                <w:rFonts w:ascii="DejaVu Sans" w:hAnsi="DejaVu Sans"/>
                <w:b w:val="0"/>
                <w:color w:val="1E293B"/>
                <w:sz w:val="18"/>
              </w:rPr>
              <w:t>Security and operations plane</w:t>
            </w:r>
          </w:p>
        </w:tc>
        <w:tc>
          <w:tcPr>
            <w:tcW w:type="dxa" w:w="2493"/>
            <w:vAlign w:val="center"/>
          </w:tcPr>
          <w:p>
            <w:pPr>
              <w:jc w:val="left"/>
            </w:pPr>
            <w:r/>
            <w:r>
              <w:rPr>
                <w:rFonts w:ascii="DejaVu Sans" w:hAnsi="DejaVu Sans"/>
                <w:b w:val="0"/>
                <w:color w:val="1E293B"/>
                <w:sz w:val="18"/>
              </w:rPr>
              <w:t>HSM, vault, bastion, SIEM, Prometheus/Grafana, secure update vault</w:t>
            </w:r>
          </w:p>
        </w:tc>
        <w:tc>
          <w:tcPr>
            <w:tcW w:type="dxa" w:w="2493"/>
            <w:vAlign w:val="center"/>
          </w:tcPr>
          <w:p>
            <w:pPr>
              <w:jc w:val="left"/>
            </w:pPr>
            <w:r/>
            <w:r>
              <w:rPr>
                <w:rFonts w:ascii="DejaVu Sans" w:hAnsi="DejaVu Sans"/>
                <w:b w:val="0"/>
                <w:color w:val="1E293B"/>
                <w:sz w:val="18"/>
              </w:rPr>
              <w:t>Trust isolation, management network, tamper-evident ops</w:t>
            </w:r>
          </w:p>
        </w:tc>
        <w:tc>
          <w:tcPr>
            <w:tcW w:type="dxa" w:w="2493"/>
            <w:vAlign w:val="center"/>
          </w:tcPr>
          <w:p>
            <w:pPr>
              <w:jc w:val="center"/>
            </w:pPr>
            <w:r/>
            <w:r>
              <w:rPr>
                <w:rFonts w:ascii="DejaVu Sans" w:hAnsi="DejaVu Sans"/>
                <w:b w:val="0"/>
                <w:color w:val="1E293B"/>
                <w:sz w:val="18"/>
              </w:rPr>
              <w:t>Critical</w:t>
            </w:r>
          </w:p>
        </w:tc>
      </w:tr>
    </w:tbl>
    <w:p/>
    <w:p>
      <w:pPr>
        <w:pStyle w:val="Heading1"/>
      </w:pPr>
      <w:r>
        <w:t>5. Detailed node classes and minimum bill of materials</w:t>
      </w:r>
    </w:p>
    <w:p>
      <w:pPr/>
      <w:r>
        <w:t>All server specifications below are vendor-neutral class definitions. Equivalent Dell, HPE, Lenovo, Supermicro, Fujitsu, or local sovereign OEM systems may be used provided the class requirements are met. For government backbone deployments, use enterprise hardware with 5-year next-business-day or 24x7x4 support, redundant power, remote management, TPM 2.0, and signed firmware.</w:t>
      </w:r>
    </w:p>
    <w:p>
      <w:pPr>
        <w:pStyle w:val="Heading3"/>
      </w:pPr>
      <w:r>
        <w:t>Node classes</w:t>
      </w:r>
    </w:p>
    <w:tbl>
      <w:tblPr>
        <w:tblStyle w:val="TableGrid"/>
        <w:tblW w:type="auto" w:w="0"/>
        <w:jc w:val="center"/>
        <w:tblLook w:firstColumn="1" w:firstRow="1" w:lastColumn="0" w:lastRow="0" w:noHBand="0" w:noVBand="1" w:val="04A0"/>
      </w:tblPr>
      <w:tblGrid>
        <w:gridCol w:w="1246"/>
        <w:gridCol w:w="1246"/>
        <w:gridCol w:w="1246"/>
        <w:gridCol w:w="1246"/>
        <w:gridCol w:w="1246"/>
        <w:gridCol w:w="1246"/>
        <w:gridCol w:w="1246"/>
        <w:gridCol w:w="1246"/>
      </w:tblGrid>
      <w:tr>
        <w:tc>
          <w:tcPr>
            <w:tcW w:type="dxa" w:w="1246"/>
            <w:vAlign w:val="center"/>
            <w:shd w:fill="102A43"/>
          </w:tcPr>
          <w:p>
            <w:pPr>
              <w:jc w:val="left"/>
            </w:pPr>
            <w:r/>
            <w:r>
              <w:rPr>
                <w:rFonts w:ascii="DejaVu Sans" w:hAnsi="DejaVu Sans"/>
                <w:b/>
                <w:color w:val="FFFFFF"/>
                <w:sz w:val="19"/>
              </w:rPr>
              <w:t>Node class</w:t>
            </w:r>
          </w:p>
        </w:tc>
        <w:tc>
          <w:tcPr>
            <w:tcW w:type="dxa" w:w="1246"/>
            <w:vAlign w:val="center"/>
            <w:shd w:fill="102A43"/>
          </w:tcPr>
          <w:p>
            <w:pPr>
              <w:jc w:val="left"/>
            </w:pPr>
            <w:r/>
            <w:r>
              <w:rPr>
                <w:rFonts w:ascii="DejaVu Sans" w:hAnsi="DejaVu Sans"/>
                <w:b/>
                <w:color w:val="FFFFFF"/>
                <w:sz w:val="19"/>
              </w:rPr>
              <w:t>Qty</w:t>
            </w:r>
          </w:p>
        </w:tc>
        <w:tc>
          <w:tcPr>
            <w:tcW w:type="dxa" w:w="1246"/>
            <w:vAlign w:val="center"/>
            <w:shd w:fill="102A43"/>
          </w:tcPr>
          <w:p>
            <w:pPr>
              <w:jc w:val="left"/>
            </w:pPr>
            <w:r/>
            <w:r>
              <w:rPr>
                <w:rFonts w:ascii="DejaVu Sans" w:hAnsi="DejaVu Sans"/>
                <w:b/>
                <w:color w:val="FFFFFF"/>
                <w:sz w:val="19"/>
              </w:rPr>
              <w:t>Chassis</w:t>
            </w:r>
          </w:p>
        </w:tc>
        <w:tc>
          <w:tcPr>
            <w:tcW w:type="dxa" w:w="1246"/>
            <w:vAlign w:val="center"/>
            <w:shd w:fill="102A43"/>
          </w:tcPr>
          <w:p>
            <w:pPr>
              <w:jc w:val="left"/>
            </w:pPr>
            <w:r/>
            <w:r>
              <w:rPr>
                <w:rFonts w:ascii="DejaVu Sans" w:hAnsi="DejaVu Sans"/>
                <w:b/>
                <w:color w:val="FFFFFF"/>
                <w:sz w:val="19"/>
              </w:rPr>
              <w:t>CPU</w:t>
            </w:r>
          </w:p>
        </w:tc>
        <w:tc>
          <w:tcPr>
            <w:tcW w:type="dxa" w:w="1246"/>
            <w:vAlign w:val="center"/>
            <w:shd w:fill="102A43"/>
          </w:tcPr>
          <w:p>
            <w:pPr>
              <w:jc w:val="left"/>
            </w:pPr>
            <w:r/>
            <w:r>
              <w:rPr>
                <w:rFonts w:ascii="DejaVu Sans" w:hAnsi="DejaVu Sans"/>
                <w:b/>
                <w:color w:val="FFFFFF"/>
                <w:sz w:val="19"/>
              </w:rPr>
              <w:t>RAM</w:t>
            </w:r>
          </w:p>
        </w:tc>
        <w:tc>
          <w:tcPr>
            <w:tcW w:type="dxa" w:w="1246"/>
            <w:vAlign w:val="center"/>
            <w:shd w:fill="102A43"/>
          </w:tcPr>
          <w:p>
            <w:pPr>
              <w:jc w:val="left"/>
            </w:pPr>
            <w:r/>
            <w:r>
              <w:rPr>
                <w:rFonts w:ascii="DejaVu Sans" w:hAnsi="DejaVu Sans"/>
                <w:b/>
                <w:color w:val="FFFFFF"/>
                <w:sz w:val="19"/>
              </w:rPr>
              <w:t>Storage</w:t>
            </w:r>
          </w:p>
        </w:tc>
        <w:tc>
          <w:tcPr>
            <w:tcW w:type="dxa" w:w="1246"/>
            <w:vAlign w:val="center"/>
            <w:shd w:fill="102A43"/>
          </w:tcPr>
          <w:p>
            <w:pPr>
              <w:jc w:val="left"/>
            </w:pPr>
            <w:r/>
            <w:r>
              <w:rPr>
                <w:rFonts w:ascii="DejaVu Sans" w:hAnsi="DejaVu Sans"/>
                <w:b/>
                <w:color w:val="FFFFFF"/>
                <w:sz w:val="19"/>
              </w:rPr>
              <w:t>Network</w:t>
            </w:r>
          </w:p>
        </w:tc>
        <w:tc>
          <w:tcPr>
            <w:tcW w:type="dxa" w:w="1246"/>
            <w:vAlign w:val="center"/>
            <w:shd w:fill="102A43"/>
          </w:tcPr>
          <w:p>
            <w:pPr>
              <w:jc w:val="left"/>
            </w:pPr>
            <w:r/>
            <w:r>
              <w:rPr>
                <w:rFonts w:ascii="DejaVu Sans" w:hAnsi="DejaVu Sans"/>
                <w:b/>
                <w:color w:val="FFFFFF"/>
                <w:sz w:val="19"/>
              </w:rPr>
              <w:t>Primary role</w:t>
            </w:r>
          </w:p>
        </w:tc>
      </w:tr>
      <w:tr>
        <w:tc>
          <w:tcPr>
            <w:tcW w:type="dxa" w:w="1246"/>
            <w:vAlign w:val="center"/>
          </w:tcPr>
          <w:p>
            <w:pPr>
              <w:jc w:val="left"/>
            </w:pPr>
            <w:r/>
            <w:r>
              <w:rPr>
                <w:rFonts w:ascii="DejaVu Sans" w:hAnsi="DejaVu Sans"/>
                <w:b w:val="0"/>
                <w:color w:val="1E293B"/>
                <w:sz w:val="18"/>
              </w:rPr>
              <w:t>Kubernetes control plane</w:t>
            </w:r>
          </w:p>
        </w:tc>
        <w:tc>
          <w:tcPr>
            <w:tcW w:type="dxa" w:w="1246"/>
            <w:vAlign w:val="center"/>
          </w:tcPr>
          <w:p>
            <w:pPr>
              <w:jc w:val="left"/>
            </w:pPr>
            <w:r/>
            <w:r>
              <w:rPr>
                <w:rFonts w:ascii="DejaVu Sans" w:hAnsi="DejaVu Sans"/>
                <w:b w:val="0"/>
                <w:color w:val="1E293B"/>
                <w:sz w:val="18"/>
              </w:rPr>
              <w:t>3 per site</w:t>
            </w:r>
          </w:p>
        </w:tc>
        <w:tc>
          <w:tcPr>
            <w:tcW w:type="dxa" w:w="1246"/>
            <w:vAlign w:val="center"/>
          </w:tcPr>
          <w:p>
            <w:pPr>
              <w:jc w:val="left"/>
            </w:pPr>
            <w:r/>
            <w:r>
              <w:rPr>
                <w:rFonts w:ascii="DejaVu Sans" w:hAnsi="DejaVu Sans"/>
                <w:b w:val="0"/>
                <w:color w:val="1E293B"/>
                <w:sz w:val="18"/>
              </w:rPr>
              <w:t>1U or 2U</w:t>
            </w:r>
          </w:p>
        </w:tc>
        <w:tc>
          <w:tcPr>
            <w:tcW w:type="dxa" w:w="1246"/>
            <w:vAlign w:val="center"/>
          </w:tcPr>
          <w:p>
            <w:pPr>
              <w:jc w:val="left"/>
            </w:pPr>
            <w:r/>
            <w:r>
              <w:rPr>
                <w:rFonts w:ascii="DejaVu Sans" w:hAnsi="DejaVu Sans"/>
                <w:b w:val="0"/>
                <w:color w:val="1E293B"/>
                <w:sz w:val="18"/>
              </w:rPr>
              <w:t>16–24 physical cores</w:t>
            </w:r>
          </w:p>
        </w:tc>
        <w:tc>
          <w:tcPr>
            <w:tcW w:type="dxa" w:w="1246"/>
            <w:vAlign w:val="center"/>
          </w:tcPr>
          <w:p>
            <w:pPr>
              <w:jc w:val="left"/>
            </w:pPr>
            <w:r/>
            <w:r>
              <w:rPr>
                <w:rFonts w:ascii="DejaVu Sans" w:hAnsi="DejaVu Sans"/>
                <w:b w:val="0"/>
                <w:color w:val="1E293B"/>
                <w:sz w:val="18"/>
              </w:rPr>
              <w:t>128–192 GB</w:t>
            </w:r>
          </w:p>
        </w:tc>
        <w:tc>
          <w:tcPr>
            <w:tcW w:type="dxa" w:w="1246"/>
            <w:vAlign w:val="center"/>
          </w:tcPr>
          <w:p>
            <w:pPr>
              <w:jc w:val="left"/>
            </w:pPr>
            <w:r/>
            <w:r>
              <w:rPr>
                <w:rFonts w:ascii="DejaVu Sans" w:hAnsi="DejaVu Sans"/>
                <w:b w:val="0"/>
                <w:color w:val="1E293B"/>
                <w:sz w:val="18"/>
              </w:rPr>
              <w:t>2 × 960 GB SSD (RAID1)</w:t>
            </w:r>
          </w:p>
        </w:tc>
        <w:tc>
          <w:tcPr>
            <w:tcW w:type="dxa" w:w="1246"/>
            <w:vAlign w:val="center"/>
          </w:tcPr>
          <w:p>
            <w:pPr>
              <w:jc w:val="left"/>
            </w:pPr>
            <w:r/>
            <w:r>
              <w:rPr>
                <w:rFonts w:ascii="DejaVu Sans" w:hAnsi="DejaVu Sans"/>
                <w:b w:val="0"/>
                <w:color w:val="1E293B"/>
                <w:sz w:val="18"/>
              </w:rPr>
              <w:t>Dual 10/25GbE + 1GbE OOB</w:t>
            </w:r>
          </w:p>
        </w:tc>
        <w:tc>
          <w:tcPr>
            <w:tcW w:type="dxa" w:w="1246"/>
            <w:vAlign w:val="center"/>
          </w:tcPr>
          <w:p>
            <w:pPr>
              <w:jc w:val="left"/>
            </w:pPr>
            <w:r/>
            <w:r>
              <w:rPr>
                <w:rFonts w:ascii="DejaVu Sans" w:hAnsi="DejaVu Sans"/>
                <w:b w:val="0"/>
                <w:color w:val="1E293B"/>
                <w:sz w:val="18"/>
              </w:rPr>
              <w:t>etcd, API server, schedulers, cluster control</w:t>
            </w:r>
          </w:p>
        </w:tc>
      </w:tr>
      <w:tr>
        <w:tc>
          <w:tcPr>
            <w:tcW w:type="dxa" w:w="1246"/>
            <w:vAlign w:val="center"/>
          </w:tcPr>
          <w:p>
            <w:pPr>
              <w:jc w:val="left"/>
            </w:pPr>
            <w:r/>
            <w:r>
              <w:rPr>
                <w:rFonts w:ascii="DejaVu Sans" w:hAnsi="DejaVu Sans"/>
                <w:b w:val="0"/>
                <w:color w:val="1E293B"/>
                <w:sz w:val="18"/>
              </w:rPr>
              <w:t>Ingress/API nodes</w:t>
            </w:r>
          </w:p>
        </w:tc>
        <w:tc>
          <w:tcPr>
            <w:tcW w:type="dxa" w:w="1246"/>
            <w:vAlign w:val="center"/>
          </w:tcPr>
          <w:p>
            <w:pPr>
              <w:jc w:val="left"/>
            </w:pPr>
            <w:r/>
            <w:r>
              <w:rPr>
                <w:rFonts w:ascii="DejaVu Sans" w:hAnsi="DejaVu Sans"/>
                <w:b w:val="0"/>
                <w:color w:val="1E293B"/>
                <w:sz w:val="18"/>
              </w:rPr>
              <w:t>2–4 per site</w:t>
            </w:r>
          </w:p>
        </w:tc>
        <w:tc>
          <w:tcPr>
            <w:tcW w:type="dxa" w:w="1246"/>
            <w:vAlign w:val="center"/>
          </w:tcPr>
          <w:p>
            <w:pPr>
              <w:jc w:val="left"/>
            </w:pPr>
            <w:r/>
            <w:r>
              <w:rPr>
                <w:rFonts w:ascii="DejaVu Sans" w:hAnsi="DejaVu Sans"/>
                <w:b w:val="0"/>
                <w:color w:val="1E293B"/>
                <w:sz w:val="18"/>
              </w:rPr>
              <w:t>1U</w:t>
            </w:r>
          </w:p>
        </w:tc>
        <w:tc>
          <w:tcPr>
            <w:tcW w:type="dxa" w:w="1246"/>
            <w:vAlign w:val="center"/>
          </w:tcPr>
          <w:p>
            <w:pPr>
              <w:jc w:val="left"/>
            </w:pPr>
            <w:r/>
            <w:r>
              <w:rPr>
                <w:rFonts w:ascii="DejaVu Sans" w:hAnsi="DejaVu Sans"/>
                <w:b w:val="0"/>
                <w:color w:val="1E293B"/>
                <w:sz w:val="18"/>
              </w:rPr>
              <w:t>24–32 cores</w:t>
            </w:r>
          </w:p>
        </w:tc>
        <w:tc>
          <w:tcPr>
            <w:tcW w:type="dxa" w:w="1246"/>
            <w:vAlign w:val="center"/>
          </w:tcPr>
          <w:p>
            <w:pPr>
              <w:jc w:val="left"/>
            </w:pPr>
            <w:r/>
            <w:r>
              <w:rPr>
                <w:rFonts w:ascii="DejaVu Sans" w:hAnsi="DejaVu Sans"/>
                <w:b w:val="0"/>
                <w:color w:val="1E293B"/>
                <w:sz w:val="18"/>
              </w:rPr>
              <w:t>128 GB</w:t>
            </w:r>
          </w:p>
        </w:tc>
        <w:tc>
          <w:tcPr>
            <w:tcW w:type="dxa" w:w="1246"/>
            <w:vAlign w:val="center"/>
          </w:tcPr>
          <w:p>
            <w:pPr>
              <w:jc w:val="left"/>
            </w:pPr>
            <w:r/>
            <w:r>
              <w:rPr>
                <w:rFonts w:ascii="DejaVu Sans" w:hAnsi="DejaVu Sans"/>
                <w:b w:val="0"/>
                <w:color w:val="1E293B"/>
                <w:sz w:val="18"/>
              </w:rPr>
              <w:t>2 × 1.92 TB NVMe</w:t>
            </w:r>
          </w:p>
        </w:tc>
        <w:tc>
          <w:tcPr>
            <w:tcW w:type="dxa" w:w="1246"/>
            <w:vAlign w:val="center"/>
          </w:tcPr>
          <w:p>
            <w:pPr>
              <w:jc w:val="left"/>
            </w:pPr>
            <w:r/>
            <w:r>
              <w:rPr>
                <w:rFonts w:ascii="DejaVu Sans" w:hAnsi="DejaVu Sans"/>
                <w:b w:val="0"/>
                <w:color w:val="1E293B"/>
                <w:sz w:val="18"/>
              </w:rPr>
              <w:t>Dual 25GbE</w:t>
            </w:r>
          </w:p>
        </w:tc>
        <w:tc>
          <w:tcPr>
            <w:tcW w:type="dxa" w:w="1246"/>
            <w:vAlign w:val="center"/>
          </w:tcPr>
          <w:p>
            <w:pPr>
              <w:jc w:val="left"/>
            </w:pPr>
            <w:r/>
            <w:r>
              <w:rPr>
                <w:rFonts w:ascii="DejaVu Sans" w:hAnsi="DejaVu Sans"/>
                <w:b w:val="0"/>
                <w:color w:val="1E293B"/>
                <w:sz w:val="18"/>
              </w:rPr>
              <w:t>HAProxy/Envoy, API gateway, auth edge, admission policies</w:t>
            </w:r>
          </w:p>
        </w:tc>
      </w:tr>
      <w:tr>
        <w:tc>
          <w:tcPr>
            <w:tcW w:type="dxa" w:w="1246"/>
            <w:vAlign w:val="center"/>
          </w:tcPr>
          <w:p>
            <w:pPr>
              <w:jc w:val="left"/>
            </w:pPr>
            <w:r/>
            <w:r>
              <w:rPr>
                <w:rFonts w:ascii="DejaVu Sans" w:hAnsi="DejaVu Sans"/>
                <w:b w:val="0"/>
                <w:color w:val="1E293B"/>
                <w:sz w:val="18"/>
              </w:rPr>
              <w:t>Governance worker nodes</w:t>
            </w:r>
          </w:p>
        </w:tc>
        <w:tc>
          <w:tcPr>
            <w:tcW w:type="dxa" w:w="1246"/>
            <w:vAlign w:val="center"/>
          </w:tcPr>
          <w:p>
            <w:pPr>
              <w:jc w:val="left"/>
            </w:pPr>
            <w:r/>
            <w:r>
              <w:rPr>
                <w:rFonts w:ascii="DejaVu Sans" w:hAnsi="DejaVu Sans"/>
                <w:b w:val="0"/>
                <w:color w:val="1E293B"/>
                <w:sz w:val="18"/>
              </w:rPr>
              <w:t>4–8 per site</w:t>
            </w:r>
          </w:p>
        </w:tc>
        <w:tc>
          <w:tcPr>
            <w:tcW w:type="dxa" w:w="1246"/>
            <w:vAlign w:val="center"/>
          </w:tcPr>
          <w:p>
            <w:pPr>
              <w:jc w:val="left"/>
            </w:pPr>
            <w:r/>
            <w:r>
              <w:rPr>
                <w:rFonts w:ascii="DejaVu Sans" w:hAnsi="DejaVu Sans"/>
                <w:b w:val="0"/>
                <w:color w:val="1E293B"/>
                <w:sz w:val="18"/>
              </w:rPr>
              <w:t>2U</w:t>
            </w:r>
          </w:p>
        </w:tc>
        <w:tc>
          <w:tcPr>
            <w:tcW w:type="dxa" w:w="1246"/>
            <w:vAlign w:val="center"/>
          </w:tcPr>
          <w:p>
            <w:pPr>
              <w:jc w:val="left"/>
            </w:pPr>
            <w:r/>
            <w:r>
              <w:rPr>
                <w:rFonts w:ascii="DejaVu Sans" w:hAnsi="DejaVu Sans"/>
                <w:b w:val="0"/>
                <w:color w:val="1E293B"/>
                <w:sz w:val="18"/>
              </w:rPr>
              <w:t>32–64 cores</w:t>
            </w:r>
          </w:p>
        </w:tc>
        <w:tc>
          <w:tcPr>
            <w:tcW w:type="dxa" w:w="1246"/>
            <w:vAlign w:val="center"/>
          </w:tcPr>
          <w:p>
            <w:pPr>
              <w:jc w:val="left"/>
            </w:pPr>
            <w:r/>
            <w:r>
              <w:rPr>
                <w:rFonts w:ascii="DejaVu Sans" w:hAnsi="DejaVu Sans"/>
                <w:b w:val="0"/>
                <w:color w:val="1E293B"/>
                <w:sz w:val="18"/>
              </w:rPr>
              <w:t>256–512 GB</w:t>
            </w:r>
          </w:p>
        </w:tc>
        <w:tc>
          <w:tcPr>
            <w:tcW w:type="dxa" w:w="1246"/>
            <w:vAlign w:val="center"/>
          </w:tcPr>
          <w:p>
            <w:pPr>
              <w:jc w:val="left"/>
            </w:pPr>
            <w:r/>
            <w:r>
              <w:rPr>
                <w:rFonts w:ascii="DejaVu Sans" w:hAnsi="DejaVu Sans"/>
                <w:b w:val="0"/>
                <w:color w:val="1E293B"/>
                <w:sz w:val="18"/>
              </w:rPr>
              <w:t>4 × 3.84 TB NVMe</w:t>
            </w:r>
          </w:p>
        </w:tc>
        <w:tc>
          <w:tcPr>
            <w:tcW w:type="dxa" w:w="1246"/>
            <w:vAlign w:val="center"/>
          </w:tcPr>
          <w:p>
            <w:pPr>
              <w:jc w:val="left"/>
            </w:pPr>
            <w:r/>
            <w:r>
              <w:rPr>
                <w:rFonts w:ascii="DejaVu Sans" w:hAnsi="DejaVu Sans"/>
                <w:b w:val="0"/>
                <w:color w:val="1E293B"/>
                <w:sz w:val="18"/>
              </w:rPr>
              <w:t>Dual 25/100GbE</w:t>
            </w:r>
          </w:p>
        </w:tc>
        <w:tc>
          <w:tcPr>
            <w:tcW w:type="dxa" w:w="1246"/>
            <w:vAlign w:val="center"/>
          </w:tcPr>
          <w:p>
            <w:pPr>
              <w:jc w:val="left"/>
            </w:pPr>
            <w:r/>
            <w:r>
              <w:rPr>
                <w:rFonts w:ascii="DejaVu Sans" w:hAnsi="DejaVu Sans"/>
                <w:b w:val="0"/>
                <w:color w:val="1E293B"/>
                <w:sz w:val="18"/>
              </w:rPr>
              <w:t>FastAPI services, policy engine, explainability, workflow, scanning</w:t>
            </w:r>
          </w:p>
        </w:tc>
      </w:tr>
      <w:tr>
        <w:tc>
          <w:tcPr>
            <w:tcW w:type="dxa" w:w="1246"/>
            <w:vAlign w:val="center"/>
          </w:tcPr>
          <w:p>
            <w:pPr>
              <w:jc w:val="left"/>
            </w:pPr>
            <w:r/>
            <w:r>
              <w:rPr>
                <w:rFonts w:ascii="DejaVu Sans" w:hAnsi="DejaVu Sans"/>
                <w:b w:val="0"/>
                <w:color w:val="1E293B"/>
                <w:sz w:val="18"/>
              </w:rPr>
              <w:t>Analytics/GPU nodes</w:t>
            </w:r>
          </w:p>
        </w:tc>
        <w:tc>
          <w:tcPr>
            <w:tcW w:type="dxa" w:w="1246"/>
            <w:vAlign w:val="center"/>
          </w:tcPr>
          <w:p>
            <w:pPr>
              <w:jc w:val="left"/>
            </w:pPr>
            <w:r/>
            <w:r>
              <w:rPr>
                <w:rFonts w:ascii="DejaVu Sans" w:hAnsi="DejaVu Sans"/>
                <w:b w:val="0"/>
                <w:color w:val="1E293B"/>
                <w:sz w:val="18"/>
              </w:rPr>
              <w:t>0–2 per site</w:t>
            </w:r>
          </w:p>
        </w:tc>
        <w:tc>
          <w:tcPr>
            <w:tcW w:type="dxa" w:w="1246"/>
            <w:vAlign w:val="center"/>
          </w:tcPr>
          <w:p>
            <w:pPr>
              <w:jc w:val="left"/>
            </w:pPr>
            <w:r/>
            <w:r>
              <w:rPr>
                <w:rFonts w:ascii="DejaVu Sans" w:hAnsi="DejaVu Sans"/>
                <w:b w:val="0"/>
                <w:color w:val="1E293B"/>
                <w:sz w:val="18"/>
              </w:rPr>
              <w:t>2U</w:t>
            </w:r>
          </w:p>
        </w:tc>
        <w:tc>
          <w:tcPr>
            <w:tcW w:type="dxa" w:w="1246"/>
            <w:vAlign w:val="center"/>
          </w:tcPr>
          <w:p>
            <w:pPr>
              <w:jc w:val="left"/>
            </w:pPr>
            <w:r/>
            <w:r>
              <w:rPr>
                <w:rFonts w:ascii="DejaVu Sans" w:hAnsi="DejaVu Sans"/>
                <w:b w:val="0"/>
                <w:color w:val="1E293B"/>
                <w:sz w:val="18"/>
              </w:rPr>
              <w:t>32–64 cores</w:t>
            </w:r>
          </w:p>
        </w:tc>
        <w:tc>
          <w:tcPr>
            <w:tcW w:type="dxa" w:w="1246"/>
            <w:vAlign w:val="center"/>
          </w:tcPr>
          <w:p>
            <w:pPr>
              <w:jc w:val="left"/>
            </w:pPr>
            <w:r/>
            <w:r>
              <w:rPr>
                <w:rFonts w:ascii="DejaVu Sans" w:hAnsi="DejaVu Sans"/>
                <w:b w:val="0"/>
                <w:color w:val="1E293B"/>
                <w:sz w:val="18"/>
              </w:rPr>
              <w:t>512 GB</w:t>
            </w:r>
          </w:p>
        </w:tc>
        <w:tc>
          <w:tcPr>
            <w:tcW w:type="dxa" w:w="1246"/>
            <w:vAlign w:val="center"/>
          </w:tcPr>
          <w:p>
            <w:pPr>
              <w:jc w:val="left"/>
            </w:pPr>
            <w:r/>
            <w:r>
              <w:rPr>
                <w:rFonts w:ascii="DejaVu Sans" w:hAnsi="DejaVu Sans"/>
                <w:b w:val="0"/>
                <w:color w:val="1E293B"/>
                <w:sz w:val="18"/>
              </w:rPr>
              <w:t>2 × 3.84 TB NVMe</w:t>
            </w:r>
          </w:p>
        </w:tc>
        <w:tc>
          <w:tcPr>
            <w:tcW w:type="dxa" w:w="1246"/>
            <w:vAlign w:val="center"/>
          </w:tcPr>
          <w:p>
            <w:pPr>
              <w:jc w:val="left"/>
            </w:pPr>
            <w:r/>
            <w:r>
              <w:rPr>
                <w:rFonts w:ascii="DejaVu Sans" w:hAnsi="DejaVu Sans"/>
                <w:b w:val="0"/>
                <w:color w:val="1E293B"/>
                <w:sz w:val="18"/>
              </w:rPr>
              <w:t>Dual 100GbE</w:t>
            </w:r>
          </w:p>
        </w:tc>
        <w:tc>
          <w:tcPr>
            <w:tcW w:type="dxa" w:w="1246"/>
            <w:vAlign w:val="center"/>
          </w:tcPr>
          <w:p>
            <w:pPr>
              <w:jc w:val="left"/>
            </w:pPr>
            <w:r/>
            <w:r>
              <w:rPr>
                <w:rFonts w:ascii="DejaVu Sans" w:hAnsi="DejaVu Sans"/>
                <w:b w:val="0"/>
                <w:color w:val="1E293B"/>
                <w:sz w:val="18"/>
              </w:rPr>
              <w:t>1–2 data-centre GPUs with 48–80 GB VRAM each for heavy explainability, embeddings, or model forensics</w:t>
            </w:r>
          </w:p>
        </w:tc>
      </w:tr>
      <w:tr>
        <w:tc>
          <w:tcPr>
            <w:tcW w:type="dxa" w:w="1246"/>
            <w:vAlign w:val="center"/>
          </w:tcPr>
          <w:p>
            <w:pPr>
              <w:jc w:val="left"/>
            </w:pPr>
            <w:r/>
            <w:r>
              <w:rPr>
                <w:rFonts w:ascii="DejaVu Sans" w:hAnsi="DejaVu Sans"/>
                <w:b w:val="0"/>
                <w:color w:val="1E293B"/>
                <w:sz w:val="18"/>
              </w:rPr>
              <w:t>PostgreSQL HA nodes</w:t>
            </w:r>
          </w:p>
        </w:tc>
        <w:tc>
          <w:tcPr>
            <w:tcW w:type="dxa" w:w="1246"/>
            <w:vAlign w:val="center"/>
          </w:tcPr>
          <w:p>
            <w:pPr>
              <w:jc w:val="left"/>
            </w:pPr>
            <w:r/>
            <w:r>
              <w:rPr>
                <w:rFonts w:ascii="DejaVu Sans" w:hAnsi="DejaVu Sans"/>
                <w:b w:val="0"/>
                <w:color w:val="1E293B"/>
                <w:sz w:val="18"/>
              </w:rPr>
              <w:t>3 per site</w:t>
            </w:r>
          </w:p>
        </w:tc>
        <w:tc>
          <w:tcPr>
            <w:tcW w:type="dxa" w:w="1246"/>
            <w:vAlign w:val="center"/>
          </w:tcPr>
          <w:p>
            <w:pPr>
              <w:jc w:val="left"/>
            </w:pPr>
            <w:r/>
            <w:r>
              <w:rPr>
                <w:rFonts w:ascii="DejaVu Sans" w:hAnsi="DejaVu Sans"/>
                <w:b w:val="0"/>
                <w:color w:val="1E293B"/>
                <w:sz w:val="18"/>
              </w:rPr>
              <w:t>2U</w:t>
            </w:r>
          </w:p>
        </w:tc>
        <w:tc>
          <w:tcPr>
            <w:tcW w:type="dxa" w:w="1246"/>
            <w:vAlign w:val="center"/>
          </w:tcPr>
          <w:p>
            <w:pPr>
              <w:jc w:val="left"/>
            </w:pPr>
            <w:r/>
            <w:r>
              <w:rPr>
                <w:rFonts w:ascii="DejaVu Sans" w:hAnsi="DejaVu Sans"/>
                <w:b w:val="0"/>
                <w:color w:val="1E293B"/>
                <w:sz w:val="18"/>
              </w:rPr>
              <w:t>32–64 cores</w:t>
            </w:r>
          </w:p>
        </w:tc>
        <w:tc>
          <w:tcPr>
            <w:tcW w:type="dxa" w:w="1246"/>
            <w:vAlign w:val="center"/>
          </w:tcPr>
          <w:p>
            <w:pPr>
              <w:jc w:val="left"/>
            </w:pPr>
            <w:r/>
            <w:r>
              <w:rPr>
                <w:rFonts w:ascii="DejaVu Sans" w:hAnsi="DejaVu Sans"/>
                <w:b w:val="0"/>
                <w:color w:val="1E293B"/>
                <w:sz w:val="18"/>
              </w:rPr>
              <w:t>512 GB</w:t>
            </w:r>
          </w:p>
        </w:tc>
        <w:tc>
          <w:tcPr>
            <w:tcW w:type="dxa" w:w="1246"/>
            <w:vAlign w:val="center"/>
          </w:tcPr>
          <w:p>
            <w:pPr>
              <w:jc w:val="left"/>
            </w:pPr>
            <w:r/>
            <w:r>
              <w:rPr>
                <w:rFonts w:ascii="DejaVu Sans" w:hAnsi="DejaVu Sans"/>
                <w:b w:val="0"/>
                <w:color w:val="1E293B"/>
                <w:sz w:val="18"/>
              </w:rPr>
              <w:t>8 × 3.84 TB NVMe (RAID10) + mirrored boot</w:t>
            </w:r>
          </w:p>
        </w:tc>
        <w:tc>
          <w:tcPr>
            <w:tcW w:type="dxa" w:w="1246"/>
            <w:vAlign w:val="center"/>
          </w:tcPr>
          <w:p>
            <w:pPr>
              <w:jc w:val="left"/>
            </w:pPr>
            <w:r/>
            <w:r>
              <w:rPr>
                <w:rFonts w:ascii="DejaVu Sans" w:hAnsi="DejaVu Sans"/>
                <w:b w:val="0"/>
                <w:color w:val="1E293B"/>
                <w:sz w:val="18"/>
              </w:rPr>
              <w:t>Dual 25GbE</w:t>
            </w:r>
          </w:p>
        </w:tc>
        <w:tc>
          <w:tcPr>
            <w:tcW w:type="dxa" w:w="1246"/>
            <w:vAlign w:val="center"/>
          </w:tcPr>
          <w:p>
            <w:pPr>
              <w:jc w:val="left"/>
            </w:pPr>
            <w:r/>
            <w:r>
              <w:rPr>
                <w:rFonts w:ascii="DejaVu Sans" w:hAnsi="DejaVu Sans"/>
                <w:b w:val="0"/>
                <w:color w:val="1E293B"/>
                <w:sz w:val="18"/>
              </w:rPr>
              <w:t>Registry, workflow, config, metadata, transactional state</w:t>
            </w:r>
          </w:p>
        </w:tc>
      </w:tr>
      <w:tr>
        <w:tc>
          <w:tcPr>
            <w:tcW w:type="dxa" w:w="1246"/>
            <w:vAlign w:val="center"/>
          </w:tcPr>
          <w:p>
            <w:pPr>
              <w:jc w:val="left"/>
            </w:pPr>
            <w:r/>
            <w:r>
              <w:rPr>
                <w:rFonts w:ascii="DejaVu Sans" w:hAnsi="DejaVu Sans"/>
                <w:b w:val="0"/>
                <w:color w:val="1E293B"/>
                <w:sz w:val="18"/>
              </w:rPr>
              <w:t>Kafka broker nodes</w:t>
            </w:r>
          </w:p>
        </w:tc>
        <w:tc>
          <w:tcPr>
            <w:tcW w:type="dxa" w:w="1246"/>
            <w:vAlign w:val="center"/>
          </w:tcPr>
          <w:p>
            <w:pPr>
              <w:jc w:val="left"/>
            </w:pPr>
            <w:r/>
            <w:r>
              <w:rPr>
                <w:rFonts w:ascii="DejaVu Sans" w:hAnsi="DejaVu Sans"/>
                <w:b w:val="0"/>
                <w:color w:val="1E293B"/>
                <w:sz w:val="18"/>
              </w:rPr>
              <w:t>5 per site</w:t>
            </w:r>
          </w:p>
        </w:tc>
        <w:tc>
          <w:tcPr>
            <w:tcW w:type="dxa" w:w="1246"/>
            <w:vAlign w:val="center"/>
          </w:tcPr>
          <w:p>
            <w:pPr>
              <w:jc w:val="left"/>
            </w:pPr>
            <w:r/>
            <w:r>
              <w:rPr>
                <w:rFonts w:ascii="DejaVu Sans" w:hAnsi="DejaVu Sans"/>
                <w:b w:val="0"/>
                <w:color w:val="1E293B"/>
                <w:sz w:val="18"/>
              </w:rPr>
              <w:t>1U/2U</w:t>
            </w:r>
          </w:p>
        </w:tc>
        <w:tc>
          <w:tcPr>
            <w:tcW w:type="dxa" w:w="1246"/>
            <w:vAlign w:val="center"/>
          </w:tcPr>
          <w:p>
            <w:pPr>
              <w:jc w:val="left"/>
            </w:pPr>
            <w:r/>
            <w:r>
              <w:rPr>
                <w:rFonts w:ascii="DejaVu Sans" w:hAnsi="DejaVu Sans"/>
                <w:b w:val="0"/>
                <w:color w:val="1E293B"/>
                <w:sz w:val="18"/>
              </w:rPr>
              <w:t>24–32 cores</w:t>
            </w:r>
          </w:p>
        </w:tc>
        <w:tc>
          <w:tcPr>
            <w:tcW w:type="dxa" w:w="1246"/>
            <w:vAlign w:val="center"/>
          </w:tcPr>
          <w:p>
            <w:pPr>
              <w:jc w:val="left"/>
            </w:pPr>
            <w:r/>
            <w:r>
              <w:rPr>
                <w:rFonts w:ascii="DejaVu Sans" w:hAnsi="DejaVu Sans"/>
                <w:b w:val="0"/>
                <w:color w:val="1E293B"/>
                <w:sz w:val="18"/>
              </w:rPr>
              <w:t>128–256 GB</w:t>
            </w:r>
          </w:p>
        </w:tc>
        <w:tc>
          <w:tcPr>
            <w:tcW w:type="dxa" w:w="1246"/>
            <w:vAlign w:val="center"/>
          </w:tcPr>
          <w:p>
            <w:pPr>
              <w:jc w:val="left"/>
            </w:pPr>
            <w:r/>
            <w:r>
              <w:rPr>
                <w:rFonts w:ascii="DejaVu Sans" w:hAnsi="DejaVu Sans"/>
                <w:b w:val="0"/>
                <w:color w:val="1E293B"/>
                <w:sz w:val="18"/>
              </w:rPr>
              <w:t>6 × 3.84 TB NVMe</w:t>
            </w:r>
          </w:p>
        </w:tc>
        <w:tc>
          <w:tcPr>
            <w:tcW w:type="dxa" w:w="1246"/>
            <w:vAlign w:val="center"/>
          </w:tcPr>
          <w:p>
            <w:pPr>
              <w:jc w:val="left"/>
            </w:pPr>
            <w:r/>
            <w:r>
              <w:rPr>
                <w:rFonts w:ascii="DejaVu Sans" w:hAnsi="DejaVu Sans"/>
                <w:b w:val="0"/>
                <w:color w:val="1E293B"/>
                <w:sz w:val="18"/>
              </w:rPr>
              <w:t>Dual 25GbE</w:t>
            </w:r>
          </w:p>
        </w:tc>
        <w:tc>
          <w:tcPr>
            <w:tcW w:type="dxa" w:w="1246"/>
            <w:vAlign w:val="center"/>
          </w:tcPr>
          <w:p>
            <w:pPr>
              <w:jc w:val="left"/>
            </w:pPr>
            <w:r/>
            <w:r>
              <w:rPr>
                <w:rFonts w:ascii="DejaVu Sans" w:hAnsi="DejaVu Sans"/>
                <w:b w:val="0"/>
                <w:color w:val="1E293B"/>
                <w:sz w:val="18"/>
              </w:rPr>
              <w:t>Event stream, replay, compliance trail, fan-out</w:t>
            </w:r>
          </w:p>
        </w:tc>
      </w:tr>
      <w:tr>
        <w:tc>
          <w:tcPr>
            <w:tcW w:type="dxa" w:w="1246"/>
            <w:vAlign w:val="center"/>
          </w:tcPr>
          <w:p>
            <w:pPr>
              <w:jc w:val="left"/>
            </w:pPr>
            <w:r/>
            <w:r>
              <w:rPr>
                <w:rFonts w:ascii="DejaVu Sans" w:hAnsi="DejaVu Sans"/>
                <w:b w:val="0"/>
                <w:color w:val="1E293B"/>
                <w:sz w:val="18"/>
              </w:rPr>
              <w:t>Cassandra audit nodes</w:t>
            </w:r>
          </w:p>
        </w:tc>
        <w:tc>
          <w:tcPr>
            <w:tcW w:type="dxa" w:w="1246"/>
            <w:vAlign w:val="center"/>
          </w:tcPr>
          <w:p>
            <w:pPr>
              <w:jc w:val="left"/>
            </w:pPr>
            <w:r/>
            <w:r>
              <w:rPr>
                <w:rFonts w:ascii="DejaVu Sans" w:hAnsi="DejaVu Sans"/>
                <w:b w:val="0"/>
                <w:color w:val="1E293B"/>
                <w:sz w:val="18"/>
              </w:rPr>
              <w:t>6 per site</w:t>
            </w:r>
          </w:p>
        </w:tc>
        <w:tc>
          <w:tcPr>
            <w:tcW w:type="dxa" w:w="1246"/>
            <w:vAlign w:val="center"/>
          </w:tcPr>
          <w:p>
            <w:pPr>
              <w:jc w:val="left"/>
            </w:pPr>
            <w:r/>
            <w:r>
              <w:rPr>
                <w:rFonts w:ascii="DejaVu Sans" w:hAnsi="DejaVu Sans"/>
                <w:b w:val="0"/>
                <w:color w:val="1E293B"/>
                <w:sz w:val="18"/>
              </w:rPr>
              <w:t>2U</w:t>
            </w:r>
          </w:p>
        </w:tc>
        <w:tc>
          <w:tcPr>
            <w:tcW w:type="dxa" w:w="1246"/>
            <w:vAlign w:val="center"/>
          </w:tcPr>
          <w:p>
            <w:pPr>
              <w:jc w:val="left"/>
            </w:pPr>
            <w:r/>
            <w:r>
              <w:rPr>
                <w:rFonts w:ascii="DejaVu Sans" w:hAnsi="DejaVu Sans"/>
                <w:b w:val="0"/>
                <w:color w:val="1E293B"/>
                <w:sz w:val="18"/>
              </w:rPr>
              <w:t>24–32 cores</w:t>
            </w:r>
          </w:p>
        </w:tc>
        <w:tc>
          <w:tcPr>
            <w:tcW w:type="dxa" w:w="1246"/>
            <w:vAlign w:val="center"/>
          </w:tcPr>
          <w:p>
            <w:pPr>
              <w:jc w:val="left"/>
            </w:pPr>
            <w:r/>
            <w:r>
              <w:rPr>
                <w:rFonts w:ascii="DejaVu Sans" w:hAnsi="DejaVu Sans"/>
                <w:b w:val="0"/>
                <w:color w:val="1E293B"/>
                <w:sz w:val="18"/>
              </w:rPr>
              <w:t>256 GB</w:t>
            </w:r>
          </w:p>
        </w:tc>
        <w:tc>
          <w:tcPr>
            <w:tcW w:type="dxa" w:w="1246"/>
            <w:vAlign w:val="center"/>
          </w:tcPr>
          <w:p>
            <w:pPr>
              <w:jc w:val="left"/>
            </w:pPr>
            <w:r/>
            <w:r>
              <w:rPr>
                <w:rFonts w:ascii="DejaVu Sans" w:hAnsi="DejaVu Sans"/>
                <w:b w:val="0"/>
                <w:color w:val="1E293B"/>
                <w:sz w:val="18"/>
              </w:rPr>
              <w:t>8 × 7.68 TB NVMe + boot mirror</w:t>
            </w:r>
          </w:p>
        </w:tc>
        <w:tc>
          <w:tcPr>
            <w:tcW w:type="dxa" w:w="1246"/>
            <w:vAlign w:val="center"/>
          </w:tcPr>
          <w:p>
            <w:pPr>
              <w:jc w:val="left"/>
            </w:pPr>
            <w:r/>
            <w:r>
              <w:rPr>
                <w:rFonts w:ascii="DejaVu Sans" w:hAnsi="DejaVu Sans"/>
                <w:b w:val="0"/>
                <w:color w:val="1E293B"/>
                <w:sz w:val="18"/>
              </w:rPr>
              <w:t>Dual 25GbE</w:t>
            </w:r>
          </w:p>
        </w:tc>
        <w:tc>
          <w:tcPr>
            <w:tcW w:type="dxa" w:w="1246"/>
            <w:vAlign w:val="center"/>
          </w:tcPr>
          <w:p>
            <w:pPr>
              <w:jc w:val="left"/>
            </w:pPr>
            <w:r/>
            <w:r>
              <w:rPr>
                <w:rFonts w:ascii="DejaVu Sans" w:hAnsi="DejaVu Sans"/>
                <w:b w:val="0"/>
                <w:color w:val="1E293B"/>
                <w:sz w:val="18"/>
              </w:rPr>
              <w:t>Append-only audit log, Merkle-linked storage, 10-year retention</w:t>
            </w:r>
          </w:p>
        </w:tc>
      </w:tr>
      <w:tr>
        <w:tc>
          <w:tcPr>
            <w:tcW w:type="dxa" w:w="1246"/>
            <w:vAlign w:val="center"/>
          </w:tcPr>
          <w:p>
            <w:pPr>
              <w:jc w:val="left"/>
            </w:pPr>
            <w:r/>
            <w:r>
              <w:rPr>
                <w:rFonts w:ascii="DejaVu Sans" w:hAnsi="DejaVu Sans"/>
                <w:b w:val="0"/>
                <w:color w:val="1E293B"/>
                <w:sz w:val="18"/>
              </w:rPr>
              <w:t>Redis nodes</w:t>
            </w:r>
          </w:p>
        </w:tc>
        <w:tc>
          <w:tcPr>
            <w:tcW w:type="dxa" w:w="1246"/>
            <w:vAlign w:val="center"/>
          </w:tcPr>
          <w:p>
            <w:pPr>
              <w:jc w:val="left"/>
            </w:pPr>
            <w:r/>
            <w:r>
              <w:rPr>
                <w:rFonts w:ascii="DejaVu Sans" w:hAnsi="DejaVu Sans"/>
                <w:b w:val="0"/>
                <w:color w:val="1E293B"/>
                <w:sz w:val="18"/>
              </w:rPr>
              <w:t>3 per site</w:t>
            </w:r>
          </w:p>
        </w:tc>
        <w:tc>
          <w:tcPr>
            <w:tcW w:type="dxa" w:w="1246"/>
            <w:vAlign w:val="center"/>
          </w:tcPr>
          <w:p>
            <w:pPr>
              <w:jc w:val="left"/>
            </w:pPr>
            <w:r/>
            <w:r>
              <w:rPr>
                <w:rFonts w:ascii="DejaVu Sans" w:hAnsi="DejaVu Sans"/>
                <w:b w:val="0"/>
                <w:color w:val="1E293B"/>
                <w:sz w:val="18"/>
              </w:rPr>
              <w:t>1U</w:t>
            </w:r>
          </w:p>
        </w:tc>
        <w:tc>
          <w:tcPr>
            <w:tcW w:type="dxa" w:w="1246"/>
            <w:vAlign w:val="center"/>
          </w:tcPr>
          <w:p>
            <w:pPr>
              <w:jc w:val="left"/>
            </w:pPr>
            <w:r/>
            <w:r>
              <w:rPr>
                <w:rFonts w:ascii="DejaVu Sans" w:hAnsi="DejaVu Sans"/>
                <w:b w:val="0"/>
                <w:color w:val="1E293B"/>
                <w:sz w:val="18"/>
              </w:rPr>
              <w:t>16–24 cores</w:t>
            </w:r>
          </w:p>
        </w:tc>
        <w:tc>
          <w:tcPr>
            <w:tcW w:type="dxa" w:w="1246"/>
            <w:vAlign w:val="center"/>
          </w:tcPr>
          <w:p>
            <w:pPr>
              <w:jc w:val="left"/>
            </w:pPr>
            <w:r/>
            <w:r>
              <w:rPr>
                <w:rFonts w:ascii="DejaVu Sans" w:hAnsi="DejaVu Sans"/>
                <w:b w:val="0"/>
                <w:color w:val="1E293B"/>
                <w:sz w:val="18"/>
              </w:rPr>
              <w:t>128 GB</w:t>
            </w:r>
          </w:p>
        </w:tc>
        <w:tc>
          <w:tcPr>
            <w:tcW w:type="dxa" w:w="1246"/>
            <w:vAlign w:val="center"/>
          </w:tcPr>
          <w:p>
            <w:pPr>
              <w:jc w:val="left"/>
            </w:pPr>
            <w:r/>
            <w:r>
              <w:rPr>
                <w:rFonts w:ascii="DejaVu Sans" w:hAnsi="DejaVu Sans"/>
                <w:b w:val="0"/>
                <w:color w:val="1E293B"/>
                <w:sz w:val="18"/>
              </w:rPr>
              <w:t>2 × 1.92 TB SSD</w:t>
            </w:r>
          </w:p>
        </w:tc>
        <w:tc>
          <w:tcPr>
            <w:tcW w:type="dxa" w:w="1246"/>
            <w:vAlign w:val="center"/>
          </w:tcPr>
          <w:p>
            <w:pPr>
              <w:jc w:val="left"/>
            </w:pPr>
            <w:r/>
            <w:r>
              <w:rPr>
                <w:rFonts w:ascii="DejaVu Sans" w:hAnsi="DejaVu Sans"/>
                <w:b w:val="0"/>
                <w:color w:val="1E293B"/>
                <w:sz w:val="18"/>
              </w:rPr>
              <w:t>Dual 10/25GbE</w:t>
            </w:r>
          </w:p>
        </w:tc>
        <w:tc>
          <w:tcPr>
            <w:tcW w:type="dxa" w:w="1246"/>
            <w:vAlign w:val="center"/>
          </w:tcPr>
          <w:p>
            <w:pPr>
              <w:jc w:val="left"/>
            </w:pPr>
            <w:r/>
            <w:r>
              <w:rPr>
                <w:rFonts w:ascii="DejaVu Sans" w:hAnsi="DejaVu Sans"/>
                <w:b w:val="0"/>
                <w:color w:val="1E293B"/>
                <w:sz w:val="18"/>
              </w:rPr>
              <w:t>Session, rate limits, queues, short-lived state</w:t>
            </w:r>
          </w:p>
        </w:tc>
      </w:tr>
      <w:tr>
        <w:tc>
          <w:tcPr>
            <w:tcW w:type="dxa" w:w="1246"/>
            <w:vAlign w:val="center"/>
          </w:tcPr>
          <w:p>
            <w:pPr>
              <w:jc w:val="left"/>
            </w:pPr>
            <w:r/>
            <w:r>
              <w:rPr>
                <w:rFonts w:ascii="DejaVu Sans" w:hAnsi="DejaVu Sans"/>
                <w:b w:val="0"/>
                <w:color w:val="1E293B"/>
                <w:sz w:val="18"/>
              </w:rPr>
              <w:t>OpenSearch data nodes</w:t>
            </w:r>
          </w:p>
        </w:tc>
        <w:tc>
          <w:tcPr>
            <w:tcW w:type="dxa" w:w="1246"/>
            <w:vAlign w:val="center"/>
          </w:tcPr>
          <w:p>
            <w:pPr>
              <w:jc w:val="left"/>
            </w:pPr>
            <w:r/>
            <w:r>
              <w:rPr>
                <w:rFonts w:ascii="DejaVu Sans" w:hAnsi="DejaVu Sans"/>
                <w:b w:val="0"/>
                <w:color w:val="1E293B"/>
                <w:sz w:val="18"/>
              </w:rPr>
              <w:t>3–5 per site</w:t>
            </w:r>
          </w:p>
        </w:tc>
        <w:tc>
          <w:tcPr>
            <w:tcW w:type="dxa" w:w="1246"/>
            <w:vAlign w:val="center"/>
          </w:tcPr>
          <w:p>
            <w:pPr>
              <w:jc w:val="left"/>
            </w:pPr>
            <w:r/>
            <w:r>
              <w:rPr>
                <w:rFonts w:ascii="DejaVu Sans" w:hAnsi="DejaVu Sans"/>
                <w:b w:val="0"/>
                <w:color w:val="1E293B"/>
                <w:sz w:val="18"/>
              </w:rPr>
              <w:t>2U</w:t>
            </w:r>
          </w:p>
        </w:tc>
        <w:tc>
          <w:tcPr>
            <w:tcW w:type="dxa" w:w="1246"/>
            <w:vAlign w:val="center"/>
          </w:tcPr>
          <w:p>
            <w:pPr>
              <w:jc w:val="left"/>
            </w:pPr>
            <w:r/>
            <w:r>
              <w:rPr>
                <w:rFonts w:ascii="DejaVu Sans" w:hAnsi="DejaVu Sans"/>
                <w:b w:val="0"/>
                <w:color w:val="1E293B"/>
                <w:sz w:val="18"/>
              </w:rPr>
              <w:t>24–32 cores</w:t>
            </w:r>
          </w:p>
        </w:tc>
        <w:tc>
          <w:tcPr>
            <w:tcW w:type="dxa" w:w="1246"/>
            <w:vAlign w:val="center"/>
          </w:tcPr>
          <w:p>
            <w:pPr>
              <w:jc w:val="left"/>
            </w:pPr>
            <w:r/>
            <w:r>
              <w:rPr>
                <w:rFonts w:ascii="DejaVu Sans" w:hAnsi="DejaVu Sans"/>
                <w:b w:val="0"/>
                <w:color w:val="1E293B"/>
                <w:sz w:val="18"/>
              </w:rPr>
              <w:t>256 GB</w:t>
            </w:r>
          </w:p>
        </w:tc>
        <w:tc>
          <w:tcPr>
            <w:tcW w:type="dxa" w:w="1246"/>
            <w:vAlign w:val="center"/>
          </w:tcPr>
          <w:p>
            <w:pPr>
              <w:jc w:val="left"/>
            </w:pPr>
            <w:r/>
            <w:r>
              <w:rPr>
                <w:rFonts w:ascii="DejaVu Sans" w:hAnsi="DejaVu Sans"/>
                <w:b w:val="0"/>
                <w:color w:val="1E293B"/>
                <w:sz w:val="18"/>
              </w:rPr>
              <w:t>8 × 3.84 TB NVMe</w:t>
            </w:r>
          </w:p>
        </w:tc>
        <w:tc>
          <w:tcPr>
            <w:tcW w:type="dxa" w:w="1246"/>
            <w:vAlign w:val="center"/>
          </w:tcPr>
          <w:p>
            <w:pPr>
              <w:jc w:val="left"/>
            </w:pPr>
            <w:r/>
            <w:r>
              <w:rPr>
                <w:rFonts w:ascii="DejaVu Sans" w:hAnsi="DejaVu Sans"/>
                <w:b w:val="0"/>
                <w:color w:val="1E293B"/>
                <w:sz w:val="18"/>
              </w:rPr>
              <w:t>Dual 25GbE</w:t>
            </w:r>
          </w:p>
        </w:tc>
        <w:tc>
          <w:tcPr>
            <w:tcW w:type="dxa" w:w="1246"/>
            <w:vAlign w:val="center"/>
          </w:tcPr>
          <w:p>
            <w:pPr>
              <w:jc w:val="left"/>
            </w:pPr>
            <w:r/>
            <w:r>
              <w:rPr>
                <w:rFonts w:ascii="DejaVu Sans" w:hAnsi="DejaVu Sans"/>
                <w:b w:val="0"/>
                <w:color w:val="1E293B"/>
                <w:sz w:val="18"/>
              </w:rPr>
              <w:t>Full-text audit search, dashboards, alerting</w:t>
            </w:r>
          </w:p>
        </w:tc>
      </w:tr>
      <w:tr>
        <w:tc>
          <w:tcPr>
            <w:tcW w:type="dxa" w:w="1246"/>
            <w:vAlign w:val="center"/>
          </w:tcPr>
          <w:p>
            <w:pPr>
              <w:jc w:val="left"/>
            </w:pPr>
            <w:r/>
            <w:r>
              <w:rPr>
                <w:rFonts w:ascii="DejaVu Sans" w:hAnsi="DejaVu Sans"/>
                <w:b w:val="0"/>
                <w:color w:val="1E293B"/>
                <w:sz w:val="18"/>
              </w:rPr>
              <w:t>Object archive nodes</w:t>
            </w:r>
          </w:p>
        </w:tc>
        <w:tc>
          <w:tcPr>
            <w:tcW w:type="dxa" w:w="1246"/>
            <w:vAlign w:val="center"/>
          </w:tcPr>
          <w:p>
            <w:pPr>
              <w:jc w:val="left"/>
            </w:pPr>
            <w:r/>
            <w:r>
              <w:rPr>
                <w:rFonts w:ascii="DejaVu Sans" w:hAnsi="DejaVu Sans"/>
                <w:b w:val="0"/>
                <w:color w:val="1E293B"/>
                <w:sz w:val="18"/>
              </w:rPr>
              <w:t>4 per site</w:t>
            </w:r>
          </w:p>
        </w:tc>
        <w:tc>
          <w:tcPr>
            <w:tcW w:type="dxa" w:w="1246"/>
            <w:vAlign w:val="center"/>
          </w:tcPr>
          <w:p>
            <w:pPr>
              <w:jc w:val="left"/>
            </w:pPr>
            <w:r/>
            <w:r>
              <w:rPr>
                <w:rFonts w:ascii="DejaVu Sans" w:hAnsi="DejaVu Sans"/>
                <w:b w:val="0"/>
                <w:color w:val="1E293B"/>
                <w:sz w:val="18"/>
              </w:rPr>
              <w:t>4U</w:t>
            </w:r>
          </w:p>
        </w:tc>
        <w:tc>
          <w:tcPr>
            <w:tcW w:type="dxa" w:w="1246"/>
            <w:vAlign w:val="center"/>
          </w:tcPr>
          <w:p>
            <w:pPr>
              <w:jc w:val="left"/>
            </w:pPr>
            <w:r/>
            <w:r>
              <w:rPr>
                <w:rFonts w:ascii="DejaVu Sans" w:hAnsi="DejaVu Sans"/>
                <w:b w:val="0"/>
                <w:color w:val="1E293B"/>
                <w:sz w:val="18"/>
              </w:rPr>
              <w:t>16–24 cores</w:t>
            </w:r>
          </w:p>
        </w:tc>
        <w:tc>
          <w:tcPr>
            <w:tcW w:type="dxa" w:w="1246"/>
            <w:vAlign w:val="center"/>
          </w:tcPr>
          <w:p>
            <w:pPr>
              <w:jc w:val="left"/>
            </w:pPr>
            <w:r/>
            <w:r>
              <w:rPr>
                <w:rFonts w:ascii="DejaVu Sans" w:hAnsi="DejaVu Sans"/>
                <w:b w:val="0"/>
                <w:color w:val="1E293B"/>
                <w:sz w:val="18"/>
              </w:rPr>
              <w:t>128 GB</w:t>
            </w:r>
          </w:p>
        </w:tc>
        <w:tc>
          <w:tcPr>
            <w:tcW w:type="dxa" w:w="1246"/>
            <w:vAlign w:val="center"/>
          </w:tcPr>
          <w:p>
            <w:pPr>
              <w:jc w:val="left"/>
            </w:pPr>
            <w:r/>
            <w:r>
              <w:rPr>
                <w:rFonts w:ascii="DejaVu Sans" w:hAnsi="DejaVu Sans"/>
                <w:b w:val="0"/>
                <w:color w:val="1E293B"/>
                <w:sz w:val="18"/>
              </w:rPr>
              <w:t>12 × 16–20 TB NL-SAS + SSD cache</w:t>
            </w:r>
          </w:p>
        </w:tc>
        <w:tc>
          <w:tcPr>
            <w:tcW w:type="dxa" w:w="1246"/>
            <w:vAlign w:val="center"/>
          </w:tcPr>
          <w:p>
            <w:pPr>
              <w:jc w:val="left"/>
            </w:pPr>
            <w:r/>
            <w:r>
              <w:rPr>
                <w:rFonts w:ascii="DejaVu Sans" w:hAnsi="DejaVu Sans"/>
                <w:b w:val="0"/>
                <w:color w:val="1E293B"/>
                <w:sz w:val="18"/>
              </w:rPr>
              <w:t>Dual 25GbE</w:t>
            </w:r>
          </w:p>
        </w:tc>
        <w:tc>
          <w:tcPr>
            <w:tcW w:type="dxa" w:w="1246"/>
            <w:vAlign w:val="center"/>
          </w:tcPr>
          <w:p>
            <w:pPr>
              <w:jc w:val="left"/>
            </w:pPr>
            <w:r/>
            <w:r>
              <w:rPr>
                <w:rFonts w:ascii="DejaVu Sans" w:hAnsi="DejaVu Sans"/>
                <w:b w:val="0"/>
                <w:color w:val="1E293B"/>
                <w:sz w:val="18"/>
              </w:rPr>
              <w:t>Immutable object storage, signed report exports, snapshots, long-term archive</w:t>
            </w:r>
          </w:p>
        </w:tc>
      </w:tr>
      <w:tr>
        <w:tc>
          <w:tcPr>
            <w:tcW w:type="dxa" w:w="1246"/>
            <w:vAlign w:val="center"/>
          </w:tcPr>
          <w:p>
            <w:pPr>
              <w:jc w:val="left"/>
            </w:pPr>
            <w:r/>
            <w:r>
              <w:rPr>
                <w:rFonts w:ascii="DejaVu Sans" w:hAnsi="DejaVu Sans"/>
                <w:b w:val="0"/>
                <w:color w:val="1E293B"/>
                <w:sz w:val="18"/>
              </w:rPr>
              <w:t>Prom/SIEM/ops nodes</w:t>
            </w:r>
          </w:p>
        </w:tc>
        <w:tc>
          <w:tcPr>
            <w:tcW w:type="dxa" w:w="1246"/>
            <w:vAlign w:val="center"/>
          </w:tcPr>
          <w:p>
            <w:pPr>
              <w:jc w:val="left"/>
            </w:pPr>
            <w:r/>
            <w:r>
              <w:rPr>
                <w:rFonts w:ascii="DejaVu Sans" w:hAnsi="DejaVu Sans"/>
                <w:b w:val="0"/>
                <w:color w:val="1E293B"/>
                <w:sz w:val="18"/>
              </w:rPr>
              <w:t>2–3 per site</w:t>
            </w:r>
          </w:p>
        </w:tc>
        <w:tc>
          <w:tcPr>
            <w:tcW w:type="dxa" w:w="1246"/>
            <w:vAlign w:val="center"/>
          </w:tcPr>
          <w:p>
            <w:pPr>
              <w:jc w:val="left"/>
            </w:pPr>
            <w:r/>
            <w:r>
              <w:rPr>
                <w:rFonts w:ascii="DejaVu Sans" w:hAnsi="DejaVu Sans"/>
                <w:b w:val="0"/>
                <w:color w:val="1E293B"/>
                <w:sz w:val="18"/>
              </w:rPr>
              <w:t>1U/2U</w:t>
            </w:r>
          </w:p>
        </w:tc>
        <w:tc>
          <w:tcPr>
            <w:tcW w:type="dxa" w:w="1246"/>
            <w:vAlign w:val="center"/>
          </w:tcPr>
          <w:p>
            <w:pPr>
              <w:jc w:val="left"/>
            </w:pPr>
            <w:r/>
            <w:r>
              <w:rPr>
                <w:rFonts w:ascii="DejaVu Sans" w:hAnsi="DejaVu Sans"/>
                <w:b w:val="0"/>
                <w:color w:val="1E293B"/>
                <w:sz w:val="18"/>
              </w:rPr>
              <w:t>16–24 cores</w:t>
            </w:r>
          </w:p>
        </w:tc>
        <w:tc>
          <w:tcPr>
            <w:tcW w:type="dxa" w:w="1246"/>
            <w:vAlign w:val="center"/>
          </w:tcPr>
          <w:p>
            <w:pPr>
              <w:jc w:val="left"/>
            </w:pPr>
            <w:r/>
            <w:r>
              <w:rPr>
                <w:rFonts w:ascii="DejaVu Sans" w:hAnsi="DejaVu Sans"/>
                <w:b w:val="0"/>
                <w:color w:val="1E293B"/>
                <w:sz w:val="18"/>
              </w:rPr>
              <w:t>128–256 GB</w:t>
            </w:r>
          </w:p>
        </w:tc>
        <w:tc>
          <w:tcPr>
            <w:tcW w:type="dxa" w:w="1246"/>
            <w:vAlign w:val="center"/>
          </w:tcPr>
          <w:p>
            <w:pPr>
              <w:jc w:val="left"/>
            </w:pPr>
            <w:r/>
            <w:r>
              <w:rPr>
                <w:rFonts w:ascii="DejaVu Sans" w:hAnsi="DejaVu Sans"/>
                <w:b w:val="0"/>
                <w:color w:val="1E293B"/>
                <w:sz w:val="18"/>
              </w:rPr>
              <w:t>4 × 1.92 TB SSD</w:t>
            </w:r>
          </w:p>
        </w:tc>
        <w:tc>
          <w:tcPr>
            <w:tcW w:type="dxa" w:w="1246"/>
            <w:vAlign w:val="center"/>
          </w:tcPr>
          <w:p>
            <w:pPr>
              <w:jc w:val="left"/>
            </w:pPr>
            <w:r/>
            <w:r>
              <w:rPr>
                <w:rFonts w:ascii="DejaVu Sans" w:hAnsi="DejaVu Sans"/>
                <w:b w:val="0"/>
                <w:color w:val="1E293B"/>
                <w:sz w:val="18"/>
              </w:rPr>
              <w:t>Dual 10/25GbE</w:t>
            </w:r>
          </w:p>
        </w:tc>
        <w:tc>
          <w:tcPr>
            <w:tcW w:type="dxa" w:w="1246"/>
            <w:vAlign w:val="center"/>
          </w:tcPr>
          <w:p>
            <w:pPr>
              <w:jc w:val="left"/>
            </w:pPr>
            <w:r/>
            <w:r>
              <w:rPr>
                <w:rFonts w:ascii="DejaVu Sans" w:hAnsi="DejaVu Sans"/>
                <w:b w:val="0"/>
                <w:color w:val="1E293B"/>
                <w:sz w:val="18"/>
              </w:rPr>
              <w:t>Observability, alerting, log aggregation, SOC tooling</w:t>
            </w:r>
          </w:p>
        </w:tc>
      </w:tr>
      <w:tr>
        <w:tc>
          <w:tcPr>
            <w:tcW w:type="dxa" w:w="1246"/>
            <w:vAlign w:val="center"/>
          </w:tcPr>
          <w:p>
            <w:pPr>
              <w:jc w:val="left"/>
            </w:pPr>
            <w:r/>
            <w:r>
              <w:rPr>
                <w:rFonts w:ascii="DejaVu Sans" w:hAnsi="DejaVu Sans"/>
                <w:b w:val="0"/>
                <w:color w:val="1E293B"/>
                <w:sz w:val="18"/>
              </w:rPr>
              <w:t>Bastion/admin nodes</w:t>
            </w:r>
          </w:p>
        </w:tc>
        <w:tc>
          <w:tcPr>
            <w:tcW w:type="dxa" w:w="1246"/>
            <w:vAlign w:val="center"/>
          </w:tcPr>
          <w:p>
            <w:pPr>
              <w:jc w:val="left"/>
            </w:pPr>
            <w:r/>
            <w:r>
              <w:rPr>
                <w:rFonts w:ascii="DejaVu Sans" w:hAnsi="DejaVu Sans"/>
                <w:b w:val="0"/>
                <w:color w:val="1E293B"/>
                <w:sz w:val="18"/>
              </w:rPr>
              <w:t>2 per site</w:t>
            </w:r>
          </w:p>
        </w:tc>
        <w:tc>
          <w:tcPr>
            <w:tcW w:type="dxa" w:w="1246"/>
            <w:vAlign w:val="center"/>
          </w:tcPr>
          <w:p>
            <w:pPr>
              <w:jc w:val="left"/>
            </w:pPr>
            <w:r/>
            <w:r>
              <w:rPr>
                <w:rFonts w:ascii="DejaVu Sans" w:hAnsi="DejaVu Sans"/>
                <w:b w:val="0"/>
                <w:color w:val="1E293B"/>
                <w:sz w:val="18"/>
              </w:rPr>
              <w:t>1U</w:t>
            </w:r>
          </w:p>
        </w:tc>
        <w:tc>
          <w:tcPr>
            <w:tcW w:type="dxa" w:w="1246"/>
            <w:vAlign w:val="center"/>
          </w:tcPr>
          <w:p>
            <w:pPr>
              <w:jc w:val="left"/>
            </w:pPr>
            <w:r/>
            <w:r>
              <w:rPr>
                <w:rFonts w:ascii="DejaVu Sans" w:hAnsi="DejaVu Sans"/>
                <w:b w:val="0"/>
                <w:color w:val="1E293B"/>
                <w:sz w:val="18"/>
              </w:rPr>
              <w:t>8–16 cores</w:t>
            </w:r>
          </w:p>
        </w:tc>
        <w:tc>
          <w:tcPr>
            <w:tcW w:type="dxa" w:w="1246"/>
            <w:vAlign w:val="center"/>
          </w:tcPr>
          <w:p>
            <w:pPr>
              <w:jc w:val="left"/>
            </w:pPr>
            <w:r/>
            <w:r>
              <w:rPr>
                <w:rFonts w:ascii="DejaVu Sans" w:hAnsi="DejaVu Sans"/>
                <w:b w:val="0"/>
                <w:color w:val="1E293B"/>
                <w:sz w:val="18"/>
              </w:rPr>
              <w:t>64 GB</w:t>
            </w:r>
          </w:p>
        </w:tc>
        <w:tc>
          <w:tcPr>
            <w:tcW w:type="dxa" w:w="1246"/>
            <w:vAlign w:val="center"/>
          </w:tcPr>
          <w:p>
            <w:pPr>
              <w:jc w:val="left"/>
            </w:pPr>
            <w:r/>
            <w:r>
              <w:rPr>
                <w:rFonts w:ascii="DejaVu Sans" w:hAnsi="DejaVu Sans"/>
                <w:b w:val="0"/>
                <w:color w:val="1E293B"/>
                <w:sz w:val="18"/>
              </w:rPr>
              <w:t>2 × 960 GB SSD</w:t>
            </w:r>
          </w:p>
        </w:tc>
        <w:tc>
          <w:tcPr>
            <w:tcW w:type="dxa" w:w="1246"/>
            <w:vAlign w:val="center"/>
          </w:tcPr>
          <w:p>
            <w:pPr>
              <w:jc w:val="left"/>
            </w:pPr>
            <w:r/>
            <w:r>
              <w:rPr>
                <w:rFonts w:ascii="DejaVu Sans" w:hAnsi="DejaVu Sans"/>
                <w:b w:val="0"/>
                <w:color w:val="1E293B"/>
                <w:sz w:val="18"/>
              </w:rPr>
              <w:t>Dual 10GbE + isolated OOB</w:t>
            </w:r>
          </w:p>
        </w:tc>
        <w:tc>
          <w:tcPr>
            <w:tcW w:type="dxa" w:w="1246"/>
            <w:vAlign w:val="center"/>
          </w:tcPr>
          <w:p>
            <w:pPr>
              <w:jc w:val="left"/>
            </w:pPr>
            <w:r/>
            <w:r>
              <w:rPr>
                <w:rFonts w:ascii="DejaVu Sans" w:hAnsi="DejaVu Sans"/>
                <w:b w:val="0"/>
                <w:color w:val="1E293B"/>
                <w:sz w:val="18"/>
              </w:rPr>
              <w:t>Jump host, break-glass access, admin tools, signed session capture</w:t>
            </w:r>
          </w:p>
        </w:tc>
      </w:tr>
    </w:tbl>
    <w:p/>
    <w:p>
      <w:pPr>
        <w:pStyle w:val="Heading2"/>
      </w:pPr>
      <w:r>
        <w:t>5.1 Kubernetes control and worker classes</w:t>
      </w:r>
    </w:p>
    <w:p>
      <w:pPr/>
      <w:r>
        <w:t>Control-plane servers must not host heavy application workloads in production. They should run Kubernetes control services, GitOps agents, and cluster policy enforcement only.</w:t>
      </w:r>
    </w:p>
    <w:p>
      <w:pPr/>
      <w:r>
        <w:t>Governance worker nodes host the FastAPI microservices, rule engines, workflow services, scanning services, and registry backends. Reserve 20–25% compute headroom for failover and rolling upgrades.</w:t>
      </w:r>
    </w:p>
    <w:p>
      <w:pPr/>
      <w:r>
        <w:t>Analytics/GPU nodes are optional for phase 1. Add them when live counterfactual testing, embedding analysis, model forensics, or large explainability workloads exceed CPU-only capacity.</w:t>
      </w:r>
    </w:p>
    <w:p>
      <w:pPr>
        <w:pStyle w:val="Heading2"/>
      </w:pPr>
      <w:r>
        <w:t>5.2 Database and immutable audit classes</w:t>
      </w:r>
    </w:p>
    <w:p>
      <w:pPr>
        <w:pStyle w:val="ListBullet"/>
        <w:ind w:left="0"/>
      </w:pPr>
      <w:r>
        <w:t>PostgreSQL nodes should use enterprise NVMe with power-loss protection, mirrored boot, battery-backed cache where applicable, and synchronous replication between primary and standby within site.</w:t>
      </w:r>
    </w:p>
    <w:p>
      <w:pPr>
        <w:pStyle w:val="ListBullet"/>
        <w:ind w:left="0"/>
      </w:pPr>
      <w:r>
        <w:t>Cassandra audit nodes should avoid RAID across the data volume; rely on Cassandra replication and node-level redundancy. Use JBOD or RAID0 per device only where supported by the operational model.</w:t>
      </w:r>
    </w:p>
    <w:p>
      <w:pPr>
        <w:pStyle w:val="ListBullet"/>
        <w:ind w:left="0"/>
      </w:pPr>
      <w:r>
        <w:t>Kafka nodes require low-latency NVMe and enough broker count to tolerate at least two simultaneous failures while maintaining quorum and replication health.</w:t>
      </w:r>
    </w:p>
    <w:p>
      <w:pPr>
        <w:pStyle w:val="ListBullet"/>
        <w:ind w:left="0"/>
      </w:pPr>
      <w:r>
        <w:t>Object archive nodes should expose S3-compatible immutability and legal hold capability for signed exports, snapshots, and archive bundles.</w:t>
      </w:r>
    </w:p>
    <w:p>
      <w:pPr>
        <w:pStyle w:val="Heading1"/>
      </w:pPr>
      <w:r>
        <w:t>6. Data operations core</w:t>
      </w:r>
    </w:p>
    <w:p>
      <w:pPr/>
      <w:r>
        <w:t>The data operations core is the heart of the platform. It is where the platform earns the claim that audit, lineage, registry state, bias signals, and compliance evidence are technically durable rather than merely application logs.</w:t>
      </w:r>
    </w:p>
    <w:p>
      <w:pPr>
        <w:pStyle w:val="Heading3"/>
      </w:pPr>
      <w:r>
        <w:t>Data operations core by data class</w:t>
      </w:r>
    </w:p>
    <w:tbl>
      <w:tblPr>
        <w:tblStyle w:val="TableGrid"/>
        <w:tblW w:type="auto" w:w="0"/>
        <w:jc w:val="center"/>
        <w:tblLook w:firstColumn="1" w:firstRow="1" w:lastColumn="0" w:lastRow="0" w:noHBand="0" w:noVBand="1" w:val="04A0"/>
      </w:tblPr>
      <w:tblGrid>
        <w:gridCol w:w="1994"/>
        <w:gridCol w:w="1994"/>
        <w:gridCol w:w="1994"/>
        <w:gridCol w:w="1994"/>
        <w:gridCol w:w="1994"/>
      </w:tblGrid>
      <w:tr>
        <w:tc>
          <w:tcPr>
            <w:tcW w:type="dxa" w:w="1994"/>
            <w:vAlign w:val="center"/>
            <w:shd w:fill="102A43"/>
          </w:tcPr>
          <w:p>
            <w:pPr>
              <w:jc w:val="left"/>
            </w:pPr>
            <w:r/>
            <w:r>
              <w:rPr>
                <w:rFonts w:ascii="DejaVu Sans" w:hAnsi="DejaVu Sans"/>
                <w:b/>
                <w:color w:val="FFFFFF"/>
                <w:sz w:val="19"/>
              </w:rPr>
              <w:t>Subsystem</w:t>
            </w:r>
          </w:p>
        </w:tc>
        <w:tc>
          <w:tcPr>
            <w:tcW w:type="dxa" w:w="1994"/>
            <w:vAlign w:val="center"/>
            <w:shd w:fill="102A43"/>
          </w:tcPr>
          <w:p>
            <w:pPr>
              <w:jc w:val="left"/>
            </w:pPr>
            <w:r/>
            <w:r>
              <w:rPr>
                <w:rFonts w:ascii="DejaVu Sans" w:hAnsi="DejaVu Sans"/>
                <w:b/>
                <w:color w:val="FFFFFF"/>
                <w:sz w:val="19"/>
              </w:rPr>
              <w:t>Data type</w:t>
            </w:r>
          </w:p>
        </w:tc>
        <w:tc>
          <w:tcPr>
            <w:tcW w:type="dxa" w:w="1994"/>
            <w:vAlign w:val="center"/>
            <w:shd w:fill="102A43"/>
          </w:tcPr>
          <w:p>
            <w:pPr>
              <w:jc w:val="left"/>
            </w:pPr>
            <w:r/>
            <w:r>
              <w:rPr>
                <w:rFonts w:ascii="DejaVu Sans" w:hAnsi="DejaVu Sans"/>
                <w:b/>
                <w:color w:val="FFFFFF"/>
                <w:sz w:val="19"/>
              </w:rPr>
              <w:t>Write pattern</w:t>
            </w:r>
          </w:p>
        </w:tc>
        <w:tc>
          <w:tcPr>
            <w:tcW w:type="dxa" w:w="1994"/>
            <w:vAlign w:val="center"/>
            <w:shd w:fill="102A43"/>
          </w:tcPr>
          <w:p>
            <w:pPr>
              <w:jc w:val="left"/>
            </w:pPr>
            <w:r/>
            <w:r>
              <w:rPr>
                <w:rFonts w:ascii="DejaVu Sans" w:hAnsi="DejaVu Sans"/>
                <w:b/>
                <w:color w:val="FFFFFF"/>
                <w:sz w:val="19"/>
              </w:rPr>
              <w:t>Retention target</w:t>
            </w:r>
          </w:p>
        </w:tc>
        <w:tc>
          <w:tcPr>
            <w:tcW w:type="dxa" w:w="1994"/>
            <w:vAlign w:val="center"/>
            <w:shd w:fill="102A43"/>
          </w:tcPr>
          <w:p>
            <w:pPr>
              <w:jc w:val="left"/>
            </w:pPr>
            <w:r/>
            <w:r>
              <w:rPr>
                <w:rFonts w:ascii="DejaVu Sans" w:hAnsi="DejaVu Sans"/>
                <w:b/>
                <w:color w:val="FFFFFF"/>
                <w:sz w:val="19"/>
              </w:rPr>
              <w:t>Hardware rule</w:t>
            </w:r>
          </w:p>
        </w:tc>
      </w:tr>
      <w:tr>
        <w:tc>
          <w:tcPr>
            <w:tcW w:type="dxa" w:w="1994"/>
            <w:vAlign w:val="center"/>
          </w:tcPr>
          <w:p>
            <w:pPr>
              <w:jc w:val="left"/>
            </w:pPr>
            <w:r/>
            <w:r>
              <w:rPr>
                <w:rFonts w:ascii="DejaVu Sans" w:hAnsi="DejaVu Sans"/>
                <w:b w:val="0"/>
                <w:color w:val="1E293B"/>
                <w:sz w:val="18"/>
              </w:rPr>
              <w:t>PostgreSQL</w:t>
            </w:r>
          </w:p>
        </w:tc>
        <w:tc>
          <w:tcPr>
            <w:tcW w:type="dxa" w:w="1994"/>
            <w:vAlign w:val="center"/>
          </w:tcPr>
          <w:p>
            <w:pPr>
              <w:jc w:val="left"/>
            </w:pPr>
            <w:r/>
            <w:r>
              <w:rPr>
                <w:rFonts w:ascii="DejaVu Sans" w:hAnsi="DejaVu Sans"/>
                <w:b w:val="0"/>
                <w:color w:val="1E293B"/>
                <w:sz w:val="18"/>
              </w:rPr>
              <w:t>Registry, workflows, users, config, oversight queue, metadata</w:t>
            </w:r>
          </w:p>
        </w:tc>
        <w:tc>
          <w:tcPr>
            <w:tcW w:type="dxa" w:w="1994"/>
            <w:vAlign w:val="center"/>
          </w:tcPr>
          <w:p>
            <w:pPr>
              <w:jc w:val="left"/>
            </w:pPr>
            <w:r/>
            <w:r>
              <w:rPr>
                <w:rFonts w:ascii="DejaVu Sans" w:hAnsi="DejaVu Sans"/>
                <w:b w:val="0"/>
                <w:color w:val="1E293B"/>
                <w:sz w:val="18"/>
              </w:rPr>
              <w:t>Transactional read/write</w:t>
            </w:r>
          </w:p>
        </w:tc>
        <w:tc>
          <w:tcPr>
            <w:tcW w:type="dxa" w:w="1994"/>
            <w:vAlign w:val="center"/>
          </w:tcPr>
          <w:p>
            <w:pPr>
              <w:jc w:val="left"/>
            </w:pPr>
            <w:r/>
            <w:r>
              <w:rPr>
                <w:rFonts w:ascii="DejaVu Sans" w:hAnsi="DejaVu Sans"/>
                <w:b w:val="0"/>
                <w:color w:val="1E293B"/>
                <w:sz w:val="18"/>
              </w:rPr>
              <w:t>7 years for governance metadata unless longer required</w:t>
            </w:r>
          </w:p>
        </w:tc>
        <w:tc>
          <w:tcPr>
            <w:tcW w:type="dxa" w:w="1994"/>
            <w:vAlign w:val="center"/>
          </w:tcPr>
          <w:p>
            <w:pPr>
              <w:jc w:val="left"/>
            </w:pPr>
            <w:r/>
            <w:r>
              <w:rPr>
                <w:rFonts w:ascii="DejaVu Sans" w:hAnsi="DejaVu Sans"/>
                <w:b w:val="0"/>
                <w:color w:val="1E293B"/>
                <w:sz w:val="18"/>
              </w:rPr>
              <w:t>Use HA trio with NVMe RAID10 and synchronous replication.</w:t>
            </w:r>
          </w:p>
        </w:tc>
      </w:tr>
      <w:tr>
        <w:tc>
          <w:tcPr>
            <w:tcW w:type="dxa" w:w="1994"/>
            <w:vAlign w:val="center"/>
          </w:tcPr>
          <w:p>
            <w:pPr>
              <w:jc w:val="left"/>
            </w:pPr>
            <w:r/>
            <w:r>
              <w:rPr>
                <w:rFonts w:ascii="DejaVu Sans" w:hAnsi="DejaVu Sans"/>
                <w:b w:val="0"/>
                <w:color w:val="1E293B"/>
                <w:sz w:val="18"/>
              </w:rPr>
              <w:t>Kafka</w:t>
            </w:r>
          </w:p>
        </w:tc>
        <w:tc>
          <w:tcPr>
            <w:tcW w:type="dxa" w:w="1994"/>
            <w:vAlign w:val="center"/>
          </w:tcPr>
          <w:p>
            <w:pPr>
              <w:jc w:val="left"/>
            </w:pPr>
            <w:r/>
            <w:r>
              <w:rPr>
                <w:rFonts w:ascii="DejaVu Sans" w:hAnsi="DejaVu Sans"/>
                <w:b w:val="0"/>
                <w:color w:val="1E293B"/>
                <w:sz w:val="18"/>
              </w:rPr>
              <w:t>Decision events, lifecycle events, integration events</w:t>
            </w:r>
          </w:p>
        </w:tc>
        <w:tc>
          <w:tcPr>
            <w:tcW w:type="dxa" w:w="1994"/>
            <w:vAlign w:val="center"/>
          </w:tcPr>
          <w:p>
            <w:pPr>
              <w:jc w:val="left"/>
            </w:pPr>
            <w:r/>
            <w:r>
              <w:rPr>
                <w:rFonts w:ascii="DejaVu Sans" w:hAnsi="DejaVu Sans"/>
                <w:b w:val="0"/>
                <w:color w:val="1E293B"/>
                <w:sz w:val="18"/>
              </w:rPr>
              <w:t>Append stream</w:t>
            </w:r>
          </w:p>
        </w:tc>
        <w:tc>
          <w:tcPr>
            <w:tcW w:type="dxa" w:w="1994"/>
            <w:vAlign w:val="center"/>
          </w:tcPr>
          <w:p>
            <w:pPr>
              <w:jc w:val="left"/>
            </w:pPr>
            <w:r/>
            <w:r>
              <w:rPr>
                <w:rFonts w:ascii="DejaVu Sans" w:hAnsi="DejaVu Sans"/>
                <w:b w:val="0"/>
                <w:color w:val="1E293B"/>
                <w:sz w:val="18"/>
              </w:rPr>
              <w:t>Short-to-medium retention + replay</w:t>
            </w:r>
          </w:p>
        </w:tc>
        <w:tc>
          <w:tcPr>
            <w:tcW w:type="dxa" w:w="1994"/>
            <w:vAlign w:val="center"/>
          </w:tcPr>
          <w:p>
            <w:pPr>
              <w:jc w:val="left"/>
            </w:pPr>
            <w:r/>
            <w:r>
              <w:rPr>
                <w:rFonts w:ascii="DejaVu Sans" w:hAnsi="DejaVu Sans"/>
                <w:b w:val="0"/>
                <w:color w:val="1E293B"/>
                <w:sz w:val="18"/>
              </w:rPr>
              <w:t>5 brokers minimum, replication factor 3, 25GbE, isolated broker storage.</w:t>
            </w:r>
          </w:p>
        </w:tc>
      </w:tr>
      <w:tr>
        <w:tc>
          <w:tcPr>
            <w:tcW w:type="dxa" w:w="1994"/>
            <w:vAlign w:val="center"/>
          </w:tcPr>
          <w:p>
            <w:pPr>
              <w:jc w:val="left"/>
            </w:pPr>
            <w:r/>
            <w:r>
              <w:rPr>
                <w:rFonts w:ascii="DejaVu Sans" w:hAnsi="DejaVu Sans"/>
                <w:b w:val="0"/>
                <w:color w:val="1E293B"/>
                <w:sz w:val="18"/>
              </w:rPr>
              <w:t>Cassandra/WORM</w:t>
            </w:r>
          </w:p>
        </w:tc>
        <w:tc>
          <w:tcPr>
            <w:tcW w:type="dxa" w:w="1994"/>
            <w:vAlign w:val="center"/>
          </w:tcPr>
          <w:p>
            <w:pPr>
              <w:jc w:val="left"/>
            </w:pPr>
            <w:r/>
            <w:r>
              <w:rPr>
                <w:rFonts w:ascii="DejaVu Sans" w:hAnsi="DejaVu Sans"/>
                <w:b w:val="0"/>
                <w:color w:val="1E293B"/>
                <w:sz w:val="18"/>
              </w:rPr>
              <w:t>Immutable audit events and verification records</w:t>
            </w:r>
          </w:p>
        </w:tc>
        <w:tc>
          <w:tcPr>
            <w:tcW w:type="dxa" w:w="1994"/>
            <w:vAlign w:val="center"/>
          </w:tcPr>
          <w:p>
            <w:pPr>
              <w:jc w:val="left"/>
            </w:pPr>
            <w:r/>
            <w:r>
              <w:rPr>
                <w:rFonts w:ascii="DejaVu Sans" w:hAnsi="DejaVu Sans"/>
                <w:b w:val="0"/>
                <w:color w:val="1E293B"/>
                <w:sz w:val="18"/>
              </w:rPr>
              <w:t>Append-only, wide-column</w:t>
            </w:r>
          </w:p>
        </w:tc>
        <w:tc>
          <w:tcPr>
            <w:tcW w:type="dxa" w:w="1994"/>
            <w:vAlign w:val="center"/>
          </w:tcPr>
          <w:p>
            <w:pPr>
              <w:jc w:val="left"/>
            </w:pPr>
            <w:r/>
            <w:r>
              <w:rPr>
                <w:rFonts w:ascii="DejaVu Sans" w:hAnsi="DejaVu Sans"/>
                <w:b w:val="0"/>
                <w:color w:val="1E293B"/>
                <w:sz w:val="18"/>
              </w:rPr>
              <w:t>10 years minimum</w:t>
            </w:r>
          </w:p>
        </w:tc>
        <w:tc>
          <w:tcPr>
            <w:tcW w:type="dxa" w:w="1994"/>
            <w:vAlign w:val="center"/>
          </w:tcPr>
          <w:p>
            <w:pPr>
              <w:jc w:val="left"/>
            </w:pPr>
            <w:r/>
            <w:r>
              <w:rPr>
                <w:rFonts w:ascii="DejaVu Sans" w:hAnsi="DejaVu Sans"/>
                <w:b w:val="0"/>
                <w:color w:val="1E293B"/>
                <w:sz w:val="18"/>
              </w:rPr>
              <w:t>6 nodes minimum, separate audit keyspace, compaction tuned for write-heavy immutable data.</w:t>
            </w:r>
          </w:p>
        </w:tc>
      </w:tr>
      <w:tr>
        <w:tc>
          <w:tcPr>
            <w:tcW w:type="dxa" w:w="1994"/>
            <w:vAlign w:val="center"/>
          </w:tcPr>
          <w:p>
            <w:pPr>
              <w:jc w:val="left"/>
            </w:pPr>
            <w:r/>
            <w:r>
              <w:rPr>
                <w:rFonts w:ascii="DejaVu Sans" w:hAnsi="DejaVu Sans"/>
                <w:b w:val="0"/>
                <w:color w:val="1E293B"/>
                <w:sz w:val="18"/>
              </w:rPr>
              <w:t>Redis</w:t>
            </w:r>
          </w:p>
        </w:tc>
        <w:tc>
          <w:tcPr>
            <w:tcW w:type="dxa" w:w="1994"/>
            <w:vAlign w:val="center"/>
          </w:tcPr>
          <w:p>
            <w:pPr>
              <w:jc w:val="left"/>
            </w:pPr>
            <w:r/>
            <w:r>
              <w:rPr>
                <w:rFonts w:ascii="DejaVu Sans" w:hAnsi="DejaVu Sans"/>
                <w:b w:val="0"/>
                <w:color w:val="1E293B"/>
                <w:sz w:val="18"/>
              </w:rPr>
              <w:t>Session, rate limit, transient queue, cache</w:t>
            </w:r>
          </w:p>
        </w:tc>
        <w:tc>
          <w:tcPr>
            <w:tcW w:type="dxa" w:w="1994"/>
            <w:vAlign w:val="center"/>
          </w:tcPr>
          <w:p>
            <w:pPr>
              <w:jc w:val="left"/>
            </w:pPr>
            <w:r/>
            <w:r>
              <w:rPr>
                <w:rFonts w:ascii="DejaVu Sans" w:hAnsi="DejaVu Sans"/>
                <w:b w:val="0"/>
                <w:color w:val="1E293B"/>
                <w:sz w:val="18"/>
              </w:rPr>
              <w:t>Ephemeral in-memory</w:t>
            </w:r>
          </w:p>
        </w:tc>
        <w:tc>
          <w:tcPr>
            <w:tcW w:type="dxa" w:w="1994"/>
            <w:vAlign w:val="center"/>
          </w:tcPr>
          <w:p>
            <w:pPr>
              <w:jc w:val="left"/>
            </w:pPr>
            <w:r/>
            <w:r>
              <w:rPr>
                <w:rFonts w:ascii="DejaVu Sans" w:hAnsi="DejaVu Sans"/>
                <w:b w:val="0"/>
                <w:color w:val="1E293B"/>
                <w:sz w:val="18"/>
              </w:rPr>
              <w:t>Hours to days</w:t>
            </w:r>
          </w:p>
        </w:tc>
        <w:tc>
          <w:tcPr>
            <w:tcW w:type="dxa" w:w="1994"/>
            <w:vAlign w:val="center"/>
          </w:tcPr>
          <w:p>
            <w:pPr>
              <w:jc w:val="left"/>
            </w:pPr>
            <w:r/>
            <w:r>
              <w:rPr>
                <w:rFonts w:ascii="DejaVu Sans" w:hAnsi="DejaVu Sans"/>
                <w:b w:val="0"/>
                <w:color w:val="1E293B"/>
                <w:sz w:val="18"/>
              </w:rPr>
              <w:t>3 nodes minimum, persistence for selected queues only.</w:t>
            </w:r>
          </w:p>
        </w:tc>
      </w:tr>
      <w:tr>
        <w:tc>
          <w:tcPr>
            <w:tcW w:type="dxa" w:w="1994"/>
            <w:vAlign w:val="center"/>
          </w:tcPr>
          <w:p>
            <w:pPr>
              <w:jc w:val="left"/>
            </w:pPr>
            <w:r/>
            <w:r>
              <w:rPr>
                <w:rFonts w:ascii="DejaVu Sans" w:hAnsi="DejaVu Sans"/>
                <w:b w:val="0"/>
                <w:color w:val="1E293B"/>
                <w:sz w:val="18"/>
              </w:rPr>
              <w:t>OpenSearch</w:t>
            </w:r>
          </w:p>
        </w:tc>
        <w:tc>
          <w:tcPr>
            <w:tcW w:type="dxa" w:w="1994"/>
            <w:vAlign w:val="center"/>
          </w:tcPr>
          <w:p>
            <w:pPr>
              <w:jc w:val="left"/>
            </w:pPr>
            <w:r/>
            <w:r>
              <w:rPr>
                <w:rFonts w:ascii="DejaVu Sans" w:hAnsi="DejaVu Sans"/>
                <w:b w:val="0"/>
                <w:color w:val="1E293B"/>
                <w:sz w:val="18"/>
              </w:rPr>
              <w:t>Searchable audit and compliance indexes</w:t>
            </w:r>
          </w:p>
        </w:tc>
        <w:tc>
          <w:tcPr>
            <w:tcW w:type="dxa" w:w="1994"/>
            <w:vAlign w:val="center"/>
          </w:tcPr>
          <w:p>
            <w:pPr>
              <w:jc w:val="left"/>
            </w:pPr>
            <w:r/>
            <w:r>
              <w:rPr>
                <w:rFonts w:ascii="DejaVu Sans" w:hAnsi="DejaVu Sans"/>
                <w:b w:val="0"/>
                <w:color w:val="1E293B"/>
                <w:sz w:val="18"/>
              </w:rPr>
              <w:t>Indexed ingest</w:t>
            </w:r>
          </w:p>
        </w:tc>
        <w:tc>
          <w:tcPr>
            <w:tcW w:type="dxa" w:w="1994"/>
            <w:vAlign w:val="center"/>
          </w:tcPr>
          <w:p>
            <w:pPr>
              <w:jc w:val="left"/>
            </w:pPr>
            <w:r/>
            <w:r>
              <w:rPr>
                <w:rFonts w:ascii="DejaVu Sans" w:hAnsi="DejaVu Sans"/>
                <w:b w:val="0"/>
                <w:color w:val="1E293B"/>
                <w:sz w:val="18"/>
              </w:rPr>
              <w:t>6–24 months hot/warm then archive</w:t>
            </w:r>
          </w:p>
        </w:tc>
        <w:tc>
          <w:tcPr>
            <w:tcW w:type="dxa" w:w="1994"/>
            <w:vAlign w:val="center"/>
          </w:tcPr>
          <w:p>
            <w:pPr>
              <w:jc w:val="left"/>
            </w:pPr>
            <w:r/>
            <w:r>
              <w:rPr>
                <w:rFonts w:ascii="DejaVu Sans" w:hAnsi="DejaVu Sans"/>
                <w:b w:val="0"/>
                <w:color w:val="1E293B"/>
                <w:sz w:val="18"/>
              </w:rPr>
              <w:t>Separate ingest and data roles where volume is high.</w:t>
            </w:r>
          </w:p>
        </w:tc>
      </w:tr>
      <w:tr>
        <w:tc>
          <w:tcPr>
            <w:tcW w:type="dxa" w:w="1994"/>
            <w:vAlign w:val="center"/>
          </w:tcPr>
          <w:p>
            <w:pPr>
              <w:jc w:val="left"/>
            </w:pPr>
            <w:r/>
            <w:r>
              <w:rPr>
                <w:rFonts w:ascii="DejaVu Sans" w:hAnsi="DejaVu Sans"/>
                <w:b w:val="0"/>
                <w:color w:val="1E293B"/>
                <w:sz w:val="18"/>
              </w:rPr>
              <w:t>Object archive</w:t>
            </w:r>
          </w:p>
        </w:tc>
        <w:tc>
          <w:tcPr>
            <w:tcW w:type="dxa" w:w="1994"/>
            <w:vAlign w:val="center"/>
          </w:tcPr>
          <w:p>
            <w:pPr>
              <w:jc w:val="left"/>
            </w:pPr>
            <w:r/>
            <w:r>
              <w:rPr>
                <w:rFonts w:ascii="DejaVu Sans" w:hAnsi="DejaVu Sans"/>
                <w:b w:val="0"/>
                <w:color w:val="1E293B"/>
                <w:sz w:val="18"/>
              </w:rPr>
              <w:t>Signed reports, snapshots, evidence packs, exports</w:t>
            </w:r>
          </w:p>
        </w:tc>
        <w:tc>
          <w:tcPr>
            <w:tcW w:type="dxa" w:w="1994"/>
            <w:vAlign w:val="center"/>
          </w:tcPr>
          <w:p>
            <w:pPr>
              <w:jc w:val="left"/>
            </w:pPr>
            <w:r/>
            <w:r>
              <w:rPr>
                <w:rFonts w:ascii="DejaVu Sans" w:hAnsi="DejaVu Sans"/>
                <w:b w:val="0"/>
                <w:color w:val="1E293B"/>
                <w:sz w:val="18"/>
              </w:rPr>
              <w:t>Immutable object</w:t>
            </w:r>
          </w:p>
        </w:tc>
        <w:tc>
          <w:tcPr>
            <w:tcW w:type="dxa" w:w="1994"/>
            <w:vAlign w:val="center"/>
          </w:tcPr>
          <w:p>
            <w:pPr>
              <w:jc w:val="left"/>
            </w:pPr>
            <w:r/>
            <w:r>
              <w:rPr>
                <w:rFonts w:ascii="DejaVu Sans" w:hAnsi="DejaVu Sans"/>
                <w:b w:val="0"/>
                <w:color w:val="1E293B"/>
                <w:sz w:val="18"/>
              </w:rPr>
              <w:t>7–10+ years</w:t>
            </w:r>
          </w:p>
        </w:tc>
        <w:tc>
          <w:tcPr>
            <w:tcW w:type="dxa" w:w="1994"/>
            <w:vAlign w:val="center"/>
          </w:tcPr>
          <w:p>
            <w:pPr>
              <w:jc w:val="left"/>
            </w:pPr>
            <w:r/>
            <w:r>
              <w:rPr>
                <w:rFonts w:ascii="DejaVu Sans" w:hAnsi="DejaVu Sans"/>
                <w:b w:val="0"/>
                <w:color w:val="1E293B"/>
                <w:sz w:val="18"/>
              </w:rPr>
              <w:t>4 nodes minimum, erasure coding or replication, legal hold and versioning enabled.</w:t>
            </w:r>
          </w:p>
        </w:tc>
      </w:tr>
    </w:tbl>
    <w:p/>
    <w:p>
      <w:pPr/>
      <w:r>
        <w:t>Recommended logical storage separation:</w:t>
      </w:r>
    </w:p>
    <w:p>
      <w:pPr>
        <w:pStyle w:val="ListBullet"/>
        <w:ind w:left="0"/>
      </w:pPr>
      <w:r>
        <w:t>Hot zone: NVMe-only transactional and stream storage for PostgreSQL, Kafka, Cassandra commitlog/data, Redis persistence, and hot OpenSearch indexes.</w:t>
      </w:r>
    </w:p>
    <w:p>
      <w:pPr>
        <w:pStyle w:val="ListBullet"/>
        <w:ind w:left="0"/>
      </w:pPr>
      <w:r>
        <w:t>Warm zone: lower-cost SSD or high-capacity NVMe for OpenSearch warm indexes, replay topics, and nearline evidence packages.</w:t>
      </w:r>
    </w:p>
    <w:p>
      <w:pPr>
        <w:pStyle w:val="ListBullet"/>
        <w:ind w:left="0"/>
      </w:pPr>
      <w:r>
        <w:t>Archive zone: immutable object storage for signed reports, snapshot chains, monthly Merkle root publications, and exported regulatory packs.</w:t>
      </w:r>
    </w:p>
    <w:p>
      <w:pPr>
        <w:pStyle w:val="ListBullet"/>
        <w:ind w:left="0"/>
      </w:pPr>
      <w:r>
        <w:t>Offline archive: optional tape or removable-media vault for yearly cold archive sealing in air-gapped state deployments.</w:t>
      </w:r>
    </w:p>
    <w:p>
      <w:pPr>
        <w:pStyle w:val="Heading2"/>
      </w:pPr>
      <w:r>
        <w:t>6.1 Cassandra immutable audit pattern</w:t>
      </w:r>
    </w:p>
    <w:p>
      <w:pPr/>
      <w:r>
        <w:t>Use six audit nodes per site in a 3× replication topology. Partition audit records by jurisdiction, month, and system family to keep partitions bounded and predictable. Each record stores event hash, previous hash, Dilithium signature reference, classification, actor class, and retention metadata. Merkle roots should be computed at fixed intervals and written to PostgreSQL metadata plus object archive for independent verification.</w:t>
      </w:r>
    </w:p>
    <w:p>
      <w:pPr>
        <w:pStyle w:val="Heading2"/>
      </w:pPr>
      <w:r>
        <w:t>6.2 PostgreSQL governance state pattern</w:t>
      </w:r>
    </w:p>
    <w:p>
      <w:pPr/>
      <w:r>
        <w:t>Deploy a three-node PostgreSQL cluster with one primary, one synchronous standby, and one asynchronous or witness/standby node depending on the site topology. Patroni or an equivalent orchestrator should control failover. Keep audit payloads out of PostgreSQL except for hashes and references; the database should hold the searchable state and coordination metadata rather than becoming a log sink.</w:t>
      </w:r>
    </w:p>
    <w:p>
      <w:pPr>
        <w:pStyle w:val="Heading2"/>
      </w:pPr>
      <w:r>
        <w:t>6.3 Kafka event pattern</w:t>
      </w:r>
    </w:p>
    <w:p>
      <w:pPr/>
      <w:r>
        <w:t>Use five brokers per site as the base national-backbone starting point. Separate topics by jurisdiction, client, risk class, and functional stream. Enable idempotent producers, ACLs, mTLS, and immutable topic policy for governance event topics. Mirror selected topics to the secondary site or retain a signed relay export if operating in a hard air-gap.</w:t>
      </w:r>
    </w:p>
    <w:p>
      <w:pPr>
        <w:pStyle w:val="Heading1"/>
      </w:pPr>
      <w:r>
        <w:t>7. Embedded governance fabric for all AI infrastructure</w:t>
      </w:r>
    </w:p>
    <w:p>
      <w:pPr/>
      <w:r>
        <w:t>To embed AI governance into all AI infrastructure and software, the platform must be delivered as a fabric rather than a single dashboard. The fabric attaches to applications at five different points depending on the technical environment.</w:t>
      </w:r>
    </w:p>
    <w:p>
      <w:pPr>
        <w:pStyle w:val="Heading3"/>
      </w:pPr>
      <w:r>
        <w:t>Governance attachment methods</w:t>
      </w:r>
    </w:p>
    <w:tbl>
      <w:tblPr>
        <w:tblStyle w:val="TableGrid"/>
        <w:tblW w:type="auto" w:w="0"/>
        <w:jc w:val="center"/>
        <w:tblLook w:firstColumn="1" w:firstRow="1" w:lastColumn="0" w:lastRow="0" w:noHBand="0" w:noVBand="1" w:val="04A0"/>
      </w:tblPr>
      <w:tblGrid>
        <w:gridCol w:w="1994"/>
        <w:gridCol w:w="1994"/>
        <w:gridCol w:w="1994"/>
        <w:gridCol w:w="1994"/>
        <w:gridCol w:w="1994"/>
      </w:tblGrid>
      <w:tr>
        <w:tc>
          <w:tcPr>
            <w:tcW w:type="dxa" w:w="1994"/>
            <w:vAlign w:val="center"/>
            <w:shd w:fill="102A43"/>
          </w:tcPr>
          <w:p>
            <w:pPr>
              <w:jc w:val="left"/>
            </w:pPr>
            <w:r/>
            <w:r>
              <w:rPr>
                <w:rFonts w:ascii="DejaVu Sans" w:hAnsi="DejaVu Sans"/>
                <w:b/>
                <w:color w:val="FFFFFF"/>
                <w:sz w:val="19"/>
              </w:rPr>
              <w:t>Attachment</w:t>
            </w:r>
          </w:p>
        </w:tc>
        <w:tc>
          <w:tcPr>
            <w:tcW w:type="dxa" w:w="1994"/>
            <w:vAlign w:val="center"/>
            <w:shd w:fill="102A43"/>
          </w:tcPr>
          <w:p>
            <w:pPr>
              <w:jc w:val="left"/>
            </w:pPr>
            <w:r/>
            <w:r>
              <w:rPr>
                <w:rFonts w:ascii="DejaVu Sans" w:hAnsi="DejaVu Sans"/>
                <w:b/>
                <w:color w:val="FFFFFF"/>
                <w:sz w:val="19"/>
              </w:rPr>
              <w:t>Where used</w:t>
            </w:r>
          </w:p>
        </w:tc>
        <w:tc>
          <w:tcPr>
            <w:tcW w:type="dxa" w:w="1994"/>
            <w:vAlign w:val="center"/>
            <w:shd w:fill="102A43"/>
          </w:tcPr>
          <w:p>
            <w:pPr>
              <w:jc w:val="left"/>
            </w:pPr>
            <w:r/>
            <w:r>
              <w:rPr>
                <w:rFonts w:ascii="DejaVu Sans" w:hAnsi="DejaVu Sans"/>
                <w:b/>
                <w:color w:val="FFFFFF"/>
                <w:sz w:val="19"/>
              </w:rPr>
              <w:t>Minimum local spec</w:t>
            </w:r>
          </w:p>
        </w:tc>
        <w:tc>
          <w:tcPr>
            <w:tcW w:type="dxa" w:w="1994"/>
            <w:vAlign w:val="center"/>
            <w:shd w:fill="102A43"/>
          </w:tcPr>
          <w:p>
            <w:pPr>
              <w:jc w:val="left"/>
            </w:pPr>
            <w:r/>
            <w:r>
              <w:rPr>
                <w:rFonts w:ascii="DejaVu Sans" w:hAnsi="DejaVu Sans"/>
                <w:b/>
                <w:color w:val="FFFFFF"/>
                <w:sz w:val="19"/>
              </w:rPr>
              <w:t>What it enforces</w:t>
            </w:r>
          </w:p>
        </w:tc>
        <w:tc>
          <w:tcPr>
            <w:tcW w:type="dxa" w:w="1994"/>
            <w:vAlign w:val="center"/>
            <w:shd w:fill="102A43"/>
          </w:tcPr>
          <w:p>
            <w:pPr>
              <w:jc w:val="left"/>
            </w:pPr>
            <w:r/>
            <w:r>
              <w:rPr>
                <w:rFonts w:ascii="DejaVu Sans" w:hAnsi="DejaVu Sans"/>
                <w:b/>
                <w:color w:val="FFFFFF"/>
                <w:sz w:val="19"/>
              </w:rPr>
              <w:t>Failure behavior</w:t>
            </w:r>
          </w:p>
        </w:tc>
      </w:tr>
      <w:tr>
        <w:tc>
          <w:tcPr>
            <w:tcW w:type="dxa" w:w="1994"/>
            <w:vAlign w:val="center"/>
          </w:tcPr>
          <w:p>
            <w:pPr>
              <w:jc w:val="left"/>
            </w:pPr>
            <w:r/>
            <w:r>
              <w:rPr>
                <w:rFonts w:ascii="DejaVu Sans" w:hAnsi="DejaVu Sans"/>
                <w:b w:val="0"/>
                <w:color w:val="1E293B"/>
                <w:sz w:val="18"/>
              </w:rPr>
              <w:t>SDK / in-process library</w:t>
            </w:r>
          </w:p>
        </w:tc>
        <w:tc>
          <w:tcPr>
            <w:tcW w:type="dxa" w:w="1994"/>
            <w:vAlign w:val="center"/>
          </w:tcPr>
          <w:p>
            <w:pPr>
              <w:jc w:val="left"/>
            </w:pPr>
            <w:r/>
            <w:r>
              <w:rPr>
                <w:rFonts w:ascii="DejaVu Sans" w:hAnsi="DejaVu Sans"/>
                <w:b w:val="0"/>
                <w:color w:val="1E293B"/>
                <w:sz w:val="18"/>
              </w:rPr>
              <w:t>Custom applications, model-serving code, batch jobs</w:t>
            </w:r>
          </w:p>
        </w:tc>
        <w:tc>
          <w:tcPr>
            <w:tcW w:type="dxa" w:w="1994"/>
            <w:vAlign w:val="center"/>
          </w:tcPr>
          <w:p>
            <w:pPr>
              <w:jc w:val="left"/>
            </w:pPr>
            <w:r/>
            <w:r>
              <w:rPr>
                <w:rFonts w:ascii="DejaVu Sans" w:hAnsi="DejaVu Sans"/>
                <w:b w:val="0"/>
                <w:color w:val="1E293B"/>
                <w:sz w:val="18"/>
              </w:rPr>
              <w:t>Negligible beyond host app</w:t>
            </w:r>
          </w:p>
        </w:tc>
        <w:tc>
          <w:tcPr>
            <w:tcW w:type="dxa" w:w="1994"/>
            <w:vAlign w:val="center"/>
          </w:tcPr>
          <w:p>
            <w:pPr>
              <w:jc w:val="left"/>
            </w:pPr>
            <w:r/>
            <w:r>
              <w:rPr>
                <w:rFonts w:ascii="DejaVu Sans" w:hAnsi="DejaVu Sans"/>
                <w:b w:val="0"/>
                <w:color w:val="1E293B"/>
                <w:sz w:val="18"/>
              </w:rPr>
              <w:t>Registration hooks, event capture, decision hash, policy checks</w:t>
            </w:r>
          </w:p>
        </w:tc>
        <w:tc>
          <w:tcPr>
            <w:tcW w:type="dxa" w:w="1994"/>
            <w:vAlign w:val="center"/>
          </w:tcPr>
          <w:p>
            <w:pPr>
              <w:jc w:val="left"/>
            </w:pPr>
            <w:r/>
            <w:r>
              <w:rPr>
                <w:rFonts w:ascii="DejaVu Sans" w:hAnsi="DejaVu Sans"/>
                <w:b w:val="0"/>
                <w:color w:val="1E293B"/>
                <w:sz w:val="18"/>
              </w:rPr>
              <w:t>Fail-closed for critical use; configurable fail-open for low-risk telemetry.</w:t>
            </w:r>
          </w:p>
        </w:tc>
      </w:tr>
      <w:tr>
        <w:tc>
          <w:tcPr>
            <w:tcW w:type="dxa" w:w="1994"/>
            <w:vAlign w:val="center"/>
          </w:tcPr>
          <w:p>
            <w:pPr>
              <w:jc w:val="left"/>
            </w:pPr>
            <w:r/>
            <w:r>
              <w:rPr>
                <w:rFonts w:ascii="DejaVu Sans" w:hAnsi="DejaVu Sans"/>
                <w:b w:val="0"/>
                <w:color w:val="1E293B"/>
                <w:sz w:val="18"/>
              </w:rPr>
              <w:t>Sidecar container</w:t>
            </w:r>
          </w:p>
        </w:tc>
        <w:tc>
          <w:tcPr>
            <w:tcW w:type="dxa" w:w="1994"/>
            <w:vAlign w:val="center"/>
          </w:tcPr>
          <w:p>
            <w:pPr>
              <w:jc w:val="left"/>
            </w:pPr>
            <w:r/>
            <w:r>
              <w:rPr>
                <w:rFonts w:ascii="DejaVu Sans" w:hAnsi="DejaVu Sans"/>
                <w:b w:val="0"/>
                <w:color w:val="1E293B"/>
                <w:sz w:val="18"/>
              </w:rPr>
              <w:t>Kubernetes workloads, model-serving pods, APIs</w:t>
            </w:r>
          </w:p>
        </w:tc>
        <w:tc>
          <w:tcPr>
            <w:tcW w:type="dxa" w:w="1994"/>
            <w:vAlign w:val="center"/>
          </w:tcPr>
          <w:p>
            <w:pPr>
              <w:jc w:val="left"/>
            </w:pPr>
            <w:r/>
            <w:r>
              <w:rPr>
                <w:rFonts w:ascii="DejaVu Sans" w:hAnsi="DejaVu Sans"/>
                <w:b w:val="0"/>
                <w:color w:val="1E293B"/>
                <w:sz w:val="18"/>
              </w:rPr>
              <w:t>2–4 vCPU, 4–8 GB RAM per pod pair</w:t>
            </w:r>
          </w:p>
        </w:tc>
        <w:tc>
          <w:tcPr>
            <w:tcW w:type="dxa" w:w="1994"/>
            <w:vAlign w:val="center"/>
          </w:tcPr>
          <w:p>
            <w:pPr>
              <w:jc w:val="left"/>
            </w:pPr>
            <w:r/>
            <w:r>
              <w:rPr>
                <w:rFonts w:ascii="DejaVu Sans" w:hAnsi="DejaVu Sans"/>
                <w:b w:val="0"/>
                <w:color w:val="1E293B"/>
                <w:sz w:val="18"/>
              </w:rPr>
              <w:t>mTLS, local queueing, policy calls, lineage stamping, export to core</w:t>
            </w:r>
          </w:p>
        </w:tc>
        <w:tc>
          <w:tcPr>
            <w:tcW w:type="dxa" w:w="1994"/>
            <w:vAlign w:val="center"/>
          </w:tcPr>
          <w:p>
            <w:pPr>
              <w:jc w:val="left"/>
            </w:pPr>
            <w:r/>
            <w:r>
              <w:rPr>
                <w:rFonts w:ascii="DejaVu Sans" w:hAnsi="DejaVu Sans"/>
                <w:b w:val="0"/>
                <w:color w:val="1E293B"/>
                <w:sz w:val="18"/>
              </w:rPr>
              <w:t>Buffers locally and retries; can block high-risk responses.</w:t>
            </w:r>
          </w:p>
        </w:tc>
      </w:tr>
      <w:tr>
        <w:tc>
          <w:tcPr>
            <w:tcW w:type="dxa" w:w="1994"/>
            <w:vAlign w:val="center"/>
          </w:tcPr>
          <w:p>
            <w:pPr>
              <w:jc w:val="left"/>
            </w:pPr>
            <w:r/>
            <w:r>
              <w:rPr>
                <w:rFonts w:ascii="DejaVu Sans" w:hAnsi="DejaVu Sans"/>
                <w:b w:val="0"/>
                <w:color w:val="1E293B"/>
                <w:sz w:val="18"/>
              </w:rPr>
              <w:t>Host agent</w:t>
            </w:r>
          </w:p>
        </w:tc>
        <w:tc>
          <w:tcPr>
            <w:tcW w:type="dxa" w:w="1994"/>
            <w:vAlign w:val="center"/>
          </w:tcPr>
          <w:p>
            <w:pPr>
              <w:jc w:val="left"/>
            </w:pPr>
            <w:r/>
            <w:r>
              <w:rPr>
                <w:rFonts w:ascii="DejaVu Sans" w:hAnsi="DejaVu Sans"/>
                <w:b w:val="0"/>
                <w:color w:val="1E293B"/>
                <w:sz w:val="18"/>
              </w:rPr>
              <w:t>VMs, bare metal model hosts, legacy services</w:t>
            </w:r>
          </w:p>
        </w:tc>
        <w:tc>
          <w:tcPr>
            <w:tcW w:type="dxa" w:w="1994"/>
            <w:vAlign w:val="center"/>
          </w:tcPr>
          <w:p>
            <w:pPr>
              <w:jc w:val="left"/>
            </w:pPr>
            <w:r/>
            <w:r>
              <w:rPr>
                <w:rFonts w:ascii="DejaVu Sans" w:hAnsi="DejaVu Sans"/>
                <w:b w:val="0"/>
                <w:color w:val="1E293B"/>
                <w:sz w:val="18"/>
              </w:rPr>
              <w:t>4–8 vCPU, 8–16 GB RAM per host</w:t>
            </w:r>
          </w:p>
        </w:tc>
        <w:tc>
          <w:tcPr>
            <w:tcW w:type="dxa" w:w="1994"/>
            <w:vAlign w:val="center"/>
          </w:tcPr>
          <w:p>
            <w:pPr>
              <w:jc w:val="left"/>
            </w:pPr>
            <w:r/>
            <w:r>
              <w:rPr>
                <w:rFonts w:ascii="DejaVu Sans" w:hAnsi="DejaVu Sans"/>
                <w:b w:val="0"/>
                <w:color w:val="1E293B"/>
                <w:sz w:val="18"/>
              </w:rPr>
              <w:t>Process hooks, local logs, drift scan, model registration, route controls</w:t>
            </w:r>
          </w:p>
        </w:tc>
        <w:tc>
          <w:tcPr>
            <w:tcW w:type="dxa" w:w="1994"/>
            <w:vAlign w:val="center"/>
          </w:tcPr>
          <w:p>
            <w:pPr>
              <w:jc w:val="left"/>
            </w:pPr>
            <w:r/>
            <w:r>
              <w:rPr>
                <w:rFonts w:ascii="DejaVu Sans" w:hAnsi="DejaVu Sans"/>
                <w:b w:val="0"/>
                <w:color w:val="1E293B"/>
                <w:sz w:val="18"/>
              </w:rPr>
              <w:t>Continues capture during core outage and forwards later.</w:t>
            </w:r>
          </w:p>
        </w:tc>
      </w:tr>
      <w:tr>
        <w:tc>
          <w:tcPr>
            <w:tcW w:type="dxa" w:w="1994"/>
            <w:vAlign w:val="center"/>
          </w:tcPr>
          <w:p>
            <w:pPr>
              <w:jc w:val="left"/>
            </w:pPr>
            <w:r/>
            <w:r>
              <w:rPr>
                <w:rFonts w:ascii="DejaVu Sans" w:hAnsi="DejaVu Sans"/>
                <w:b w:val="0"/>
                <w:color w:val="1E293B"/>
                <w:sz w:val="18"/>
              </w:rPr>
              <w:t>Gateway appliance</w:t>
            </w:r>
          </w:p>
        </w:tc>
        <w:tc>
          <w:tcPr>
            <w:tcW w:type="dxa" w:w="1994"/>
            <w:vAlign w:val="center"/>
          </w:tcPr>
          <w:p>
            <w:pPr>
              <w:jc w:val="left"/>
            </w:pPr>
            <w:r/>
            <w:r>
              <w:rPr>
                <w:rFonts w:ascii="DejaVu Sans" w:hAnsi="DejaVu Sans"/>
                <w:b w:val="0"/>
                <w:color w:val="1E293B"/>
                <w:sz w:val="18"/>
              </w:rPr>
              <w:t>Shared services, SaaS edge, branch connectivity</w:t>
            </w:r>
          </w:p>
        </w:tc>
        <w:tc>
          <w:tcPr>
            <w:tcW w:type="dxa" w:w="1994"/>
            <w:vAlign w:val="center"/>
          </w:tcPr>
          <w:p>
            <w:pPr>
              <w:jc w:val="left"/>
            </w:pPr>
            <w:r/>
            <w:r>
              <w:rPr>
                <w:rFonts w:ascii="DejaVu Sans" w:hAnsi="DejaVu Sans"/>
                <w:b w:val="0"/>
                <w:color w:val="1E293B"/>
                <w:sz w:val="18"/>
              </w:rPr>
              <w:t>8–16 vCPU, 32–64 GB RAM, mirrored SSD</w:t>
            </w:r>
          </w:p>
        </w:tc>
        <w:tc>
          <w:tcPr>
            <w:tcW w:type="dxa" w:w="1994"/>
            <w:vAlign w:val="center"/>
          </w:tcPr>
          <w:p>
            <w:pPr>
              <w:jc w:val="left"/>
            </w:pPr>
            <w:r/>
            <w:r>
              <w:rPr>
                <w:rFonts w:ascii="DejaVu Sans" w:hAnsi="DejaVu Sans"/>
                <w:b w:val="0"/>
                <w:color w:val="1E293B"/>
                <w:sz w:val="18"/>
              </w:rPr>
              <w:t>Protocol translation, local policy enforcement, topic relay, certificate pinning</w:t>
            </w:r>
          </w:p>
        </w:tc>
        <w:tc>
          <w:tcPr>
            <w:tcW w:type="dxa" w:w="1994"/>
            <w:vAlign w:val="center"/>
          </w:tcPr>
          <w:p>
            <w:pPr>
              <w:jc w:val="left"/>
            </w:pPr>
            <w:r/>
            <w:r>
              <w:rPr>
                <w:rFonts w:ascii="DejaVu Sans" w:hAnsi="DejaVu Sans"/>
                <w:b w:val="0"/>
                <w:color w:val="1E293B"/>
                <w:sz w:val="18"/>
              </w:rPr>
              <w:t>Store-and-forward with signed queue; can sever non-compliant connections.</w:t>
            </w:r>
          </w:p>
        </w:tc>
      </w:tr>
      <w:tr>
        <w:tc>
          <w:tcPr>
            <w:tcW w:type="dxa" w:w="1994"/>
            <w:vAlign w:val="center"/>
          </w:tcPr>
          <w:p>
            <w:pPr>
              <w:jc w:val="left"/>
            </w:pPr>
            <w:r/>
            <w:r>
              <w:rPr>
                <w:rFonts w:ascii="DejaVu Sans" w:hAnsi="DejaVu Sans"/>
                <w:b w:val="0"/>
                <w:color w:val="1E293B"/>
                <w:sz w:val="18"/>
              </w:rPr>
              <w:t>Edge governance node</w:t>
            </w:r>
          </w:p>
        </w:tc>
        <w:tc>
          <w:tcPr>
            <w:tcW w:type="dxa" w:w="1994"/>
            <w:vAlign w:val="center"/>
          </w:tcPr>
          <w:p>
            <w:pPr>
              <w:jc w:val="left"/>
            </w:pPr>
            <w:r/>
            <w:r>
              <w:rPr>
                <w:rFonts w:ascii="DejaVu Sans" w:hAnsi="DejaVu Sans"/>
                <w:b w:val="0"/>
                <w:color w:val="1E293B"/>
                <w:sz w:val="18"/>
              </w:rPr>
              <w:t>Disconnected sites, OT, field offices, ministries</w:t>
            </w:r>
          </w:p>
        </w:tc>
        <w:tc>
          <w:tcPr>
            <w:tcW w:type="dxa" w:w="1994"/>
            <w:vAlign w:val="center"/>
          </w:tcPr>
          <w:p>
            <w:pPr>
              <w:jc w:val="left"/>
            </w:pPr>
            <w:r/>
            <w:r>
              <w:rPr>
                <w:rFonts w:ascii="DejaVu Sans" w:hAnsi="DejaVu Sans"/>
                <w:b w:val="0"/>
                <w:color w:val="1E293B"/>
                <w:sz w:val="18"/>
              </w:rPr>
              <w:t>16–32 vCPU, 64–128 GB RAM, 2–4 TB NVMe</w:t>
            </w:r>
          </w:p>
        </w:tc>
        <w:tc>
          <w:tcPr>
            <w:tcW w:type="dxa" w:w="1994"/>
            <w:vAlign w:val="center"/>
          </w:tcPr>
          <w:p>
            <w:pPr>
              <w:jc w:val="left"/>
            </w:pPr>
            <w:r/>
            <w:r>
              <w:rPr>
                <w:rFonts w:ascii="DejaVu Sans" w:hAnsi="DejaVu Sans"/>
                <w:b w:val="0"/>
                <w:color w:val="1E293B"/>
                <w:sz w:val="18"/>
              </w:rPr>
              <w:t>Local registry mirror, audit cache, signed exports, reviewer queue</w:t>
            </w:r>
          </w:p>
        </w:tc>
        <w:tc>
          <w:tcPr>
            <w:tcW w:type="dxa" w:w="1994"/>
            <w:vAlign w:val="center"/>
          </w:tcPr>
          <w:p>
            <w:pPr>
              <w:jc w:val="left"/>
            </w:pPr>
            <w:r/>
            <w:r>
              <w:rPr>
                <w:rFonts w:ascii="DejaVu Sans" w:hAnsi="DejaVu Sans"/>
                <w:b w:val="0"/>
                <w:color w:val="1E293B"/>
                <w:sz w:val="18"/>
              </w:rPr>
              <w:t>Runs autonomously for defined disconnected period; syncs when link returns.</w:t>
            </w:r>
          </w:p>
        </w:tc>
      </w:tr>
    </w:tbl>
    <w:p/>
    <w:p>
      <w:pPr/>
      <w:r>
        <w:t>A practical implementation should standardise on these four deployment packages:</w:t>
      </w:r>
    </w:p>
    <w:p>
      <w:pPr>
        <w:pStyle w:val="ListBullet"/>
        <w:ind w:left="0"/>
      </w:pPr>
      <w:r>
        <w:t>UDOC Agent: a lightweight host process for Windows/Linux servers and VMs.</w:t>
      </w:r>
    </w:p>
    <w:p>
      <w:pPr>
        <w:pStyle w:val="ListBullet"/>
        <w:ind w:left="0"/>
      </w:pPr>
      <w:r>
        <w:t>UDOC Sidecar: a container image deployed alongside AI inference or business-decision services.</w:t>
      </w:r>
    </w:p>
    <w:p>
      <w:pPr>
        <w:pStyle w:val="ListBullet"/>
        <w:ind w:left="0"/>
      </w:pPr>
      <w:r>
        <w:t>UDOC Gateway: a hardened appliance or VM used to terminate mTLS, attach lineage tags, and bridge older systems.</w:t>
      </w:r>
    </w:p>
    <w:p>
      <w:pPr>
        <w:pStyle w:val="ListBullet"/>
        <w:ind w:left="0"/>
      </w:pPr>
      <w:r>
        <w:t>UDOC Edge Node: a compact three-node or single-node appliance cluster used where disconnected or sovereign-local operation is mandatory.</w:t>
      </w:r>
    </w:p>
    <w:p>
      <w:pPr>
        <w:pStyle w:val="Heading2"/>
      </w:pPr>
      <w:r>
        <w:t>7.1 Edge governance appliance specification</w:t>
      </w:r>
    </w:p>
    <w:p>
      <w:pPr>
        <w:pStyle w:val="Heading3"/>
      </w:pPr>
      <w:r>
        <w:t>Edge appliance classes</w:t>
      </w:r>
    </w:p>
    <w:tbl>
      <w:tblPr>
        <w:tblStyle w:val="TableGrid"/>
        <w:tblW w:type="auto" w:w="0"/>
        <w:jc w:val="center"/>
        <w:tblLook w:firstColumn="1" w:firstRow="1" w:lastColumn="0" w:lastRow="0" w:noHBand="0" w:noVBand="1" w:val="04A0"/>
      </w:tblPr>
      <w:tblGrid>
        <w:gridCol w:w="1425"/>
        <w:gridCol w:w="1425"/>
        <w:gridCol w:w="1425"/>
        <w:gridCol w:w="1425"/>
        <w:gridCol w:w="1425"/>
        <w:gridCol w:w="1425"/>
        <w:gridCol w:w="1425"/>
      </w:tblGrid>
      <w:tr>
        <w:tc>
          <w:tcPr>
            <w:tcW w:type="dxa" w:w="1425"/>
            <w:vAlign w:val="center"/>
            <w:shd w:fill="102A43"/>
          </w:tcPr>
          <w:p>
            <w:pPr>
              <w:jc w:val="left"/>
            </w:pPr>
            <w:r/>
            <w:r>
              <w:rPr>
                <w:rFonts w:ascii="DejaVu Sans" w:hAnsi="DejaVu Sans"/>
                <w:b/>
                <w:color w:val="FFFFFF"/>
                <w:sz w:val="19"/>
              </w:rPr>
              <w:t>Class</w:t>
            </w:r>
          </w:p>
        </w:tc>
        <w:tc>
          <w:tcPr>
            <w:tcW w:type="dxa" w:w="1425"/>
            <w:vAlign w:val="center"/>
            <w:shd w:fill="102A43"/>
          </w:tcPr>
          <w:p>
            <w:pPr>
              <w:jc w:val="left"/>
            </w:pPr>
            <w:r/>
            <w:r>
              <w:rPr>
                <w:rFonts w:ascii="DejaVu Sans" w:hAnsi="DejaVu Sans"/>
                <w:b/>
                <w:color w:val="FFFFFF"/>
                <w:sz w:val="19"/>
              </w:rPr>
              <w:t>Use case</w:t>
            </w:r>
          </w:p>
        </w:tc>
        <w:tc>
          <w:tcPr>
            <w:tcW w:type="dxa" w:w="1425"/>
            <w:vAlign w:val="center"/>
            <w:shd w:fill="102A43"/>
          </w:tcPr>
          <w:p>
            <w:pPr>
              <w:jc w:val="left"/>
            </w:pPr>
            <w:r/>
            <w:r>
              <w:rPr>
                <w:rFonts w:ascii="DejaVu Sans" w:hAnsi="DejaVu Sans"/>
                <w:b/>
                <w:color w:val="FFFFFF"/>
                <w:sz w:val="19"/>
              </w:rPr>
              <w:t>CPU</w:t>
            </w:r>
          </w:p>
        </w:tc>
        <w:tc>
          <w:tcPr>
            <w:tcW w:type="dxa" w:w="1425"/>
            <w:vAlign w:val="center"/>
            <w:shd w:fill="102A43"/>
          </w:tcPr>
          <w:p>
            <w:pPr>
              <w:jc w:val="left"/>
            </w:pPr>
            <w:r/>
            <w:r>
              <w:rPr>
                <w:rFonts w:ascii="DejaVu Sans" w:hAnsi="DejaVu Sans"/>
                <w:b/>
                <w:color w:val="FFFFFF"/>
                <w:sz w:val="19"/>
              </w:rPr>
              <w:t>RAM</w:t>
            </w:r>
          </w:p>
        </w:tc>
        <w:tc>
          <w:tcPr>
            <w:tcW w:type="dxa" w:w="1425"/>
            <w:vAlign w:val="center"/>
            <w:shd w:fill="102A43"/>
          </w:tcPr>
          <w:p>
            <w:pPr>
              <w:jc w:val="left"/>
            </w:pPr>
            <w:r/>
            <w:r>
              <w:rPr>
                <w:rFonts w:ascii="DejaVu Sans" w:hAnsi="DejaVu Sans"/>
                <w:b/>
                <w:color w:val="FFFFFF"/>
                <w:sz w:val="19"/>
              </w:rPr>
              <w:t>Storage</w:t>
            </w:r>
          </w:p>
        </w:tc>
        <w:tc>
          <w:tcPr>
            <w:tcW w:type="dxa" w:w="1425"/>
            <w:vAlign w:val="center"/>
            <w:shd w:fill="102A43"/>
          </w:tcPr>
          <w:p>
            <w:pPr>
              <w:jc w:val="left"/>
            </w:pPr>
            <w:r/>
            <w:r>
              <w:rPr>
                <w:rFonts w:ascii="DejaVu Sans" w:hAnsi="DejaVu Sans"/>
                <w:b/>
                <w:color w:val="FFFFFF"/>
                <w:sz w:val="19"/>
              </w:rPr>
              <w:t>Networking</w:t>
            </w:r>
          </w:p>
        </w:tc>
        <w:tc>
          <w:tcPr>
            <w:tcW w:type="dxa" w:w="1425"/>
            <w:vAlign w:val="center"/>
            <w:shd w:fill="102A43"/>
          </w:tcPr>
          <w:p>
            <w:pPr>
              <w:jc w:val="left"/>
            </w:pPr>
            <w:r/>
            <w:r>
              <w:rPr>
                <w:rFonts w:ascii="DejaVu Sans" w:hAnsi="DejaVu Sans"/>
                <w:b/>
                <w:color w:val="FFFFFF"/>
                <w:sz w:val="19"/>
              </w:rPr>
              <w:t>Notes</w:t>
            </w:r>
          </w:p>
        </w:tc>
      </w:tr>
      <w:tr>
        <w:tc>
          <w:tcPr>
            <w:tcW w:type="dxa" w:w="1425"/>
            <w:vAlign w:val="center"/>
          </w:tcPr>
          <w:p>
            <w:pPr>
              <w:jc w:val="left"/>
            </w:pPr>
            <w:r/>
            <w:r>
              <w:rPr>
                <w:rFonts w:ascii="DejaVu Sans" w:hAnsi="DejaVu Sans"/>
                <w:b w:val="0"/>
                <w:color w:val="1E293B"/>
                <w:sz w:val="18"/>
              </w:rPr>
              <w:t>Compact edge</w:t>
            </w:r>
          </w:p>
        </w:tc>
        <w:tc>
          <w:tcPr>
            <w:tcW w:type="dxa" w:w="1425"/>
            <w:vAlign w:val="center"/>
          </w:tcPr>
          <w:p>
            <w:pPr>
              <w:jc w:val="left"/>
            </w:pPr>
            <w:r/>
            <w:r>
              <w:rPr>
                <w:rFonts w:ascii="DejaVu Sans" w:hAnsi="DejaVu Sans"/>
                <w:b w:val="0"/>
                <w:color w:val="1E293B"/>
                <w:sz w:val="18"/>
              </w:rPr>
              <w:t>Single agency office or branch</w:t>
            </w:r>
          </w:p>
        </w:tc>
        <w:tc>
          <w:tcPr>
            <w:tcW w:type="dxa" w:w="1425"/>
            <w:vAlign w:val="center"/>
          </w:tcPr>
          <w:p>
            <w:pPr>
              <w:jc w:val="left"/>
            </w:pPr>
            <w:r/>
            <w:r>
              <w:rPr>
                <w:rFonts w:ascii="DejaVu Sans" w:hAnsi="DejaVu Sans"/>
                <w:b w:val="0"/>
                <w:color w:val="1E293B"/>
                <w:sz w:val="18"/>
              </w:rPr>
              <w:t>8–16 cores</w:t>
            </w:r>
          </w:p>
        </w:tc>
        <w:tc>
          <w:tcPr>
            <w:tcW w:type="dxa" w:w="1425"/>
            <w:vAlign w:val="center"/>
          </w:tcPr>
          <w:p>
            <w:pPr>
              <w:jc w:val="left"/>
            </w:pPr>
            <w:r/>
            <w:r>
              <w:rPr>
                <w:rFonts w:ascii="DejaVu Sans" w:hAnsi="DejaVu Sans"/>
                <w:b w:val="0"/>
                <w:color w:val="1E293B"/>
                <w:sz w:val="18"/>
              </w:rPr>
              <w:t>32–64 GB</w:t>
            </w:r>
          </w:p>
        </w:tc>
        <w:tc>
          <w:tcPr>
            <w:tcW w:type="dxa" w:w="1425"/>
            <w:vAlign w:val="center"/>
          </w:tcPr>
          <w:p>
            <w:pPr>
              <w:jc w:val="left"/>
            </w:pPr>
            <w:r/>
            <w:r>
              <w:rPr>
                <w:rFonts w:ascii="DejaVu Sans" w:hAnsi="DejaVu Sans"/>
                <w:b w:val="0"/>
                <w:color w:val="1E293B"/>
                <w:sz w:val="18"/>
              </w:rPr>
              <w:t>2 × 1.92 TB SSD</w:t>
            </w:r>
          </w:p>
        </w:tc>
        <w:tc>
          <w:tcPr>
            <w:tcW w:type="dxa" w:w="1425"/>
            <w:vAlign w:val="center"/>
          </w:tcPr>
          <w:p>
            <w:pPr>
              <w:jc w:val="left"/>
            </w:pPr>
            <w:r/>
            <w:r>
              <w:rPr>
                <w:rFonts w:ascii="DejaVu Sans" w:hAnsi="DejaVu Sans"/>
                <w:b w:val="0"/>
                <w:color w:val="1E293B"/>
                <w:sz w:val="18"/>
              </w:rPr>
              <w:t>Dual 10GbE + LTE/5G optional OOB</w:t>
            </w:r>
          </w:p>
        </w:tc>
        <w:tc>
          <w:tcPr>
            <w:tcW w:type="dxa" w:w="1425"/>
            <w:vAlign w:val="center"/>
          </w:tcPr>
          <w:p>
            <w:pPr>
              <w:jc w:val="left"/>
            </w:pPr>
            <w:r/>
            <w:r>
              <w:rPr>
                <w:rFonts w:ascii="DejaVu Sans" w:hAnsi="DejaVu Sans"/>
                <w:b w:val="0"/>
                <w:color w:val="1E293B"/>
                <w:sz w:val="18"/>
              </w:rPr>
              <w:t>Best for local relay and signed queueing only.</w:t>
            </w:r>
          </w:p>
        </w:tc>
      </w:tr>
      <w:tr>
        <w:tc>
          <w:tcPr>
            <w:tcW w:type="dxa" w:w="1425"/>
            <w:vAlign w:val="center"/>
          </w:tcPr>
          <w:p>
            <w:pPr>
              <w:jc w:val="left"/>
            </w:pPr>
            <w:r/>
            <w:r>
              <w:rPr>
                <w:rFonts w:ascii="DejaVu Sans" w:hAnsi="DejaVu Sans"/>
                <w:b w:val="0"/>
                <w:color w:val="1E293B"/>
                <w:sz w:val="18"/>
              </w:rPr>
              <w:t>Standard edge</w:t>
            </w:r>
          </w:p>
        </w:tc>
        <w:tc>
          <w:tcPr>
            <w:tcW w:type="dxa" w:w="1425"/>
            <w:vAlign w:val="center"/>
          </w:tcPr>
          <w:p>
            <w:pPr>
              <w:jc w:val="left"/>
            </w:pPr>
            <w:r/>
            <w:r>
              <w:rPr>
                <w:rFonts w:ascii="DejaVu Sans" w:hAnsi="DejaVu Sans"/>
                <w:b w:val="0"/>
                <w:color w:val="1E293B"/>
                <w:sz w:val="18"/>
              </w:rPr>
              <w:t>Provincial department, hospital group, field cluster</w:t>
            </w:r>
          </w:p>
        </w:tc>
        <w:tc>
          <w:tcPr>
            <w:tcW w:type="dxa" w:w="1425"/>
            <w:vAlign w:val="center"/>
          </w:tcPr>
          <w:p>
            <w:pPr>
              <w:jc w:val="left"/>
            </w:pPr>
            <w:r/>
            <w:r>
              <w:rPr>
                <w:rFonts w:ascii="DejaVu Sans" w:hAnsi="DejaVu Sans"/>
                <w:b w:val="0"/>
                <w:color w:val="1E293B"/>
                <w:sz w:val="18"/>
              </w:rPr>
              <w:t>16–24 cores</w:t>
            </w:r>
          </w:p>
        </w:tc>
        <w:tc>
          <w:tcPr>
            <w:tcW w:type="dxa" w:w="1425"/>
            <w:vAlign w:val="center"/>
          </w:tcPr>
          <w:p>
            <w:pPr>
              <w:jc w:val="left"/>
            </w:pPr>
            <w:r/>
            <w:r>
              <w:rPr>
                <w:rFonts w:ascii="DejaVu Sans" w:hAnsi="DejaVu Sans"/>
                <w:b w:val="0"/>
                <w:color w:val="1E293B"/>
                <w:sz w:val="18"/>
              </w:rPr>
              <w:t>64–128 GB</w:t>
            </w:r>
          </w:p>
        </w:tc>
        <w:tc>
          <w:tcPr>
            <w:tcW w:type="dxa" w:w="1425"/>
            <w:vAlign w:val="center"/>
          </w:tcPr>
          <w:p>
            <w:pPr>
              <w:jc w:val="left"/>
            </w:pPr>
            <w:r/>
            <w:r>
              <w:rPr>
                <w:rFonts w:ascii="DejaVu Sans" w:hAnsi="DejaVu Sans"/>
                <w:b w:val="0"/>
                <w:color w:val="1E293B"/>
                <w:sz w:val="18"/>
              </w:rPr>
              <w:t>2 × 3.84 TB NVMe + mirrored boot</w:t>
            </w:r>
          </w:p>
        </w:tc>
        <w:tc>
          <w:tcPr>
            <w:tcW w:type="dxa" w:w="1425"/>
            <w:vAlign w:val="center"/>
          </w:tcPr>
          <w:p>
            <w:pPr>
              <w:jc w:val="left"/>
            </w:pPr>
            <w:r/>
            <w:r>
              <w:rPr>
                <w:rFonts w:ascii="DejaVu Sans" w:hAnsi="DejaVu Sans"/>
                <w:b w:val="0"/>
                <w:color w:val="1E293B"/>
                <w:sz w:val="18"/>
              </w:rPr>
              <w:t>Dual 10/25GbE</w:t>
            </w:r>
          </w:p>
        </w:tc>
        <w:tc>
          <w:tcPr>
            <w:tcW w:type="dxa" w:w="1425"/>
            <w:vAlign w:val="center"/>
          </w:tcPr>
          <w:p>
            <w:pPr>
              <w:jc w:val="left"/>
            </w:pPr>
            <w:r/>
            <w:r>
              <w:rPr>
                <w:rFonts w:ascii="DejaVu Sans" w:hAnsi="DejaVu Sans"/>
                <w:b w:val="0"/>
                <w:color w:val="1E293B"/>
                <w:sz w:val="18"/>
              </w:rPr>
              <w:t>Supports local registry mirror and short-term audit retention.</w:t>
            </w:r>
          </w:p>
        </w:tc>
      </w:tr>
      <w:tr>
        <w:tc>
          <w:tcPr>
            <w:tcW w:type="dxa" w:w="1425"/>
            <w:vAlign w:val="center"/>
          </w:tcPr>
          <w:p>
            <w:pPr>
              <w:jc w:val="left"/>
            </w:pPr>
            <w:r/>
            <w:r>
              <w:rPr>
                <w:rFonts w:ascii="DejaVu Sans" w:hAnsi="DejaVu Sans"/>
                <w:b w:val="0"/>
                <w:color w:val="1E293B"/>
                <w:sz w:val="18"/>
              </w:rPr>
              <w:t>Resilient edge trio</w:t>
            </w:r>
          </w:p>
        </w:tc>
        <w:tc>
          <w:tcPr>
            <w:tcW w:type="dxa" w:w="1425"/>
            <w:vAlign w:val="center"/>
          </w:tcPr>
          <w:p>
            <w:pPr>
              <w:jc w:val="left"/>
            </w:pPr>
            <w:r/>
            <w:r>
              <w:rPr>
                <w:rFonts w:ascii="DejaVu Sans" w:hAnsi="DejaVu Sans"/>
                <w:b w:val="0"/>
                <w:color w:val="1E293B"/>
                <w:sz w:val="18"/>
              </w:rPr>
              <w:t>Disconnected high-value site</w:t>
            </w:r>
          </w:p>
        </w:tc>
        <w:tc>
          <w:tcPr>
            <w:tcW w:type="dxa" w:w="1425"/>
            <w:vAlign w:val="center"/>
          </w:tcPr>
          <w:p>
            <w:pPr>
              <w:jc w:val="left"/>
            </w:pPr>
            <w:r/>
            <w:r>
              <w:rPr>
                <w:rFonts w:ascii="DejaVu Sans" w:hAnsi="DejaVu Sans"/>
                <w:b w:val="0"/>
                <w:color w:val="1E293B"/>
                <w:sz w:val="18"/>
              </w:rPr>
              <w:t>3 nodes of 16–24 cores each</w:t>
            </w:r>
          </w:p>
        </w:tc>
        <w:tc>
          <w:tcPr>
            <w:tcW w:type="dxa" w:w="1425"/>
            <w:vAlign w:val="center"/>
          </w:tcPr>
          <w:p>
            <w:pPr>
              <w:jc w:val="left"/>
            </w:pPr>
            <w:r/>
            <w:r>
              <w:rPr>
                <w:rFonts w:ascii="DejaVu Sans" w:hAnsi="DejaVu Sans"/>
                <w:b w:val="0"/>
                <w:color w:val="1E293B"/>
                <w:sz w:val="18"/>
              </w:rPr>
              <w:t>64 GB each</w:t>
            </w:r>
          </w:p>
        </w:tc>
        <w:tc>
          <w:tcPr>
            <w:tcW w:type="dxa" w:w="1425"/>
            <w:vAlign w:val="center"/>
          </w:tcPr>
          <w:p>
            <w:pPr>
              <w:jc w:val="left"/>
            </w:pPr>
            <w:r/>
            <w:r>
              <w:rPr>
                <w:rFonts w:ascii="DejaVu Sans" w:hAnsi="DejaVu Sans"/>
                <w:b w:val="0"/>
                <w:color w:val="1E293B"/>
                <w:sz w:val="18"/>
              </w:rPr>
              <w:t>2 × 3.84 TB NVMe each</w:t>
            </w:r>
          </w:p>
        </w:tc>
        <w:tc>
          <w:tcPr>
            <w:tcW w:type="dxa" w:w="1425"/>
            <w:vAlign w:val="center"/>
          </w:tcPr>
          <w:p>
            <w:pPr>
              <w:jc w:val="left"/>
            </w:pPr>
            <w:r/>
            <w:r>
              <w:rPr>
                <w:rFonts w:ascii="DejaVu Sans" w:hAnsi="DejaVu Sans"/>
                <w:b w:val="0"/>
                <w:color w:val="1E293B"/>
                <w:sz w:val="18"/>
              </w:rPr>
              <w:t>Dual 10GbE each</w:t>
            </w:r>
          </w:p>
        </w:tc>
        <w:tc>
          <w:tcPr>
            <w:tcW w:type="dxa" w:w="1425"/>
            <w:vAlign w:val="center"/>
          </w:tcPr>
          <w:p>
            <w:pPr>
              <w:jc w:val="left"/>
            </w:pPr>
            <w:r/>
            <w:r>
              <w:rPr>
                <w:rFonts w:ascii="DejaVu Sans" w:hAnsi="DejaVu Sans"/>
                <w:b w:val="0"/>
                <w:color w:val="1E293B"/>
                <w:sz w:val="18"/>
              </w:rPr>
              <w:t>Forms local micro-cluster with quorum, local review queue, and sync-on-return.</w:t>
            </w:r>
          </w:p>
        </w:tc>
      </w:tr>
    </w:tbl>
    <w:p/>
    <w:p>
      <w:pPr>
        <w:pStyle w:val="Heading1"/>
      </w:pPr>
      <w:r>
        <w:t>8. Network, security, and sovereign key architecture</w:t>
      </w:r>
    </w:p>
    <w:p>
      <w:pPr/>
      <w:r>
        <w:t>The network is segmented into discrete trust zones. East-west traffic is authenticated and policy controlled. North-south traffic is terminated at ingress gateways or air-gap transfer stations. The out-of-band management network is physically and logically separate from the production network.</w:t>
      </w:r>
    </w:p>
    <w:p>
      <w:pPr>
        <w:pStyle w:val="Heading3"/>
      </w:pPr>
      <w:r>
        <w:t>Reference network zones</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vAlign w:val="center"/>
            <w:shd w:fill="102A43"/>
          </w:tcPr>
          <w:p>
            <w:pPr>
              <w:jc w:val="left"/>
            </w:pPr>
            <w:r/>
            <w:r>
              <w:rPr>
                <w:rFonts w:ascii="DejaVu Sans" w:hAnsi="DejaVu Sans"/>
                <w:b/>
                <w:color w:val="FFFFFF"/>
                <w:sz w:val="19"/>
              </w:rPr>
              <w:t>Zone</w:t>
            </w:r>
          </w:p>
        </w:tc>
        <w:tc>
          <w:tcPr>
            <w:tcW w:type="dxa" w:w="2493"/>
            <w:vAlign w:val="center"/>
            <w:shd w:fill="102A43"/>
          </w:tcPr>
          <w:p>
            <w:pPr>
              <w:jc w:val="left"/>
            </w:pPr>
            <w:r/>
            <w:r>
              <w:rPr>
                <w:rFonts w:ascii="DejaVu Sans" w:hAnsi="DejaVu Sans"/>
                <w:b/>
                <w:color w:val="FFFFFF"/>
                <w:sz w:val="19"/>
              </w:rPr>
              <w:t>Systems</w:t>
            </w:r>
          </w:p>
        </w:tc>
        <w:tc>
          <w:tcPr>
            <w:tcW w:type="dxa" w:w="2493"/>
            <w:vAlign w:val="center"/>
            <w:shd w:fill="102A43"/>
          </w:tcPr>
          <w:p>
            <w:pPr>
              <w:jc w:val="left"/>
            </w:pPr>
            <w:r/>
            <w:r>
              <w:rPr>
                <w:rFonts w:ascii="DejaVu Sans" w:hAnsi="DejaVu Sans"/>
                <w:b/>
                <w:color w:val="FFFFFF"/>
                <w:sz w:val="19"/>
              </w:rPr>
              <w:t>Connectivity rule</w:t>
            </w:r>
          </w:p>
        </w:tc>
        <w:tc>
          <w:tcPr>
            <w:tcW w:type="dxa" w:w="2493"/>
            <w:vAlign w:val="center"/>
            <w:shd w:fill="102A43"/>
          </w:tcPr>
          <w:p>
            <w:pPr>
              <w:jc w:val="left"/>
            </w:pPr>
            <w:r/>
            <w:r>
              <w:rPr>
                <w:rFonts w:ascii="DejaVu Sans" w:hAnsi="DejaVu Sans"/>
                <w:b/>
                <w:color w:val="FFFFFF"/>
                <w:sz w:val="19"/>
              </w:rPr>
              <w:t>Minimum hardware</w:t>
            </w:r>
          </w:p>
        </w:tc>
      </w:tr>
      <w:tr>
        <w:tc>
          <w:tcPr>
            <w:tcW w:type="dxa" w:w="2493"/>
            <w:vAlign w:val="center"/>
          </w:tcPr>
          <w:p>
            <w:pPr>
              <w:jc w:val="left"/>
            </w:pPr>
            <w:r/>
            <w:r>
              <w:rPr>
                <w:rFonts w:ascii="DejaVu Sans" w:hAnsi="DejaVu Sans"/>
                <w:b w:val="0"/>
                <w:color w:val="1E293B"/>
                <w:sz w:val="18"/>
              </w:rPr>
              <w:t>Zone 0 — OOB management</w:t>
            </w:r>
          </w:p>
        </w:tc>
        <w:tc>
          <w:tcPr>
            <w:tcW w:type="dxa" w:w="2493"/>
            <w:vAlign w:val="center"/>
          </w:tcPr>
          <w:p>
            <w:pPr>
              <w:jc w:val="left"/>
            </w:pPr>
            <w:r/>
            <w:r>
              <w:rPr>
                <w:rFonts w:ascii="DejaVu Sans" w:hAnsi="DejaVu Sans"/>
                <w:b w:val="0"/>
                <w:color w:val="1E293B"/>
                <w:sz w:val="18"/>
              </w:rPr>
              <w:t>iDRAC/iLO/BMC, switch management, PDU, console</w:t>
            </w:r>
          </w:p>
        </w:tc>
        <w:tc>
          <w:tcPr>
            <w:tcW w:type="dxa" w:w="2493"/>
            <w:vAlign w:val="center"/>
          </w:tcPr>
          <w:p>
            <w:pPr>
              <w:jc w:val="left"/>
            </w:pPr>
            <w:r/>
            <w:r>
              <w:rPr>
                <w:rFonts w:ascii="DejaVu Sans" w:hAnsi="DejaVu Sans"/>
                <w:b w:val="0"/>
                <w:color w:val="1E293B"/>
                <w:sz w:val="18"/>
              </w:rPr>
              <w:t>Accessible only from bastion over dedicated management network</w:t>
            </w:r>
          </w:p>
        </w:tc>
        <w:tc>
          <w:tcPr>
            <w:tcW w:type="dxa" w:w="2493"/>
            <w:vAlign w:val="center"/>
          </w:tcPr>
          <w:p>
            <w:pPr>
              <w:jc w:val="left"/>
            </w:pPr>
            <w:r/>
            <w:r>
              <w:rPr>
                <w:rFonts w:ascii="DejaVu Sans" w:hAnsi="DejaVu Sans"/>
                <w:b w:val="0"/>
                <w:color w:val="1E293B"/>
                <w:sz w:val="18"/>
              </w:rPr>
              <w:t>1GbE management switching, isolated jump hosts, session recording</w:t>
            </w:r>
          </w:p>
        </w:tc>
      </w:tr>
      <w:tr>
        <w:tc>
          <w:tcPr>
            <w:tcW w:type="dxa" w:w="2493"/>
            <w:vAlign w:val="center"/>
          </w:tcPr>
          <w:p>
            <w:pPr>
              <w:jc w:val="left"/>
            </w:pPr>
            <w:r/>
            <w:r>
              <w:rPr>
                <w:rFonts w:ascii="DejaVu Sans" w:hAnsi="DejaVu Sans"/>
                <w:b w:val="0"/>
                <w:color w:val="1E293B"/>
                <w:sz w:val="18"/>
              </w:rPr>
              <w:t>Zone 1 — Edge / ingress</w:t>
            </w:r>
          </w:p>
        </w:tc>
        <w:tc>
          <w:tcPr>
            <w:tcW w:type="dxa" w:w="2493"/>
            <w:vAlign w:val="center"/>
          </w:tcPr>
          <w:p>
            <w:pPr>
              <w:jc w:val="left"/>
            </w:pPr>
            <w:r/>
            <w:r>
              <w:rPr>
                <w:rFonts w:ascii="DejaVu Sans" w:hAnsi="DejaVu Sans"/>
                <w:b w:val="0"/>
                <w:color w:val="1E293B"/>
                <w:sz w:val="18"/>
              </w:rPr>
              <w:t>Firewalls, load balancers, ingress/API nodes, mTLS termination</w:t>
            </w:r>
          </w:p>
        </w:tc>
        <w:tc>
          <w:tcPr>
            <w:tcW w:type="dxa" w:w="2493"/>
            <w:vAlign w:val="center"/>
          </w:tcPr>
          <w:p>
            <w:pPr>
              <w:jc w:val="left"/>
            </w:pPr>
            <w:r/>
            <w:r>
              <w:rPr>
                <w:rFonts w:ascii="DejaVu Sans" w:hAnsi="DejaVu Sans"/>
                <w:b w:val="0"/>
                <w:color w:val="1E293B"/>
                <w:sz w:val="18"/>
              </w:rPr>
              <w:t>Only approved inbound channels; no direct DB access</w:t>
            </w:r>
          </w:p>
        </w:tc>
        <w:tc>
          <w:tcPr>
            <w:tcW w:type="dxa" w:w="2493"/>
            <w:vAlign w:val="center"/>
          </w:tcPr>
          <w:p>
            <w:pPr>
              <w:jc w:val="left"/>
            </w:pPr>
            <w:r/>
            <w:r>
              <w:rPr>
                <w:rFonts w:ascii="DejaVu Sans" w:hAnsi="DejaVu Sans"/>
                <w:b w:val="0"/>
                <w:color w:val="1E293B"/>
                <w:sz w:val="18"/>
              </w:rPr>
              <w:t>HA firewall pair, HA load balancer pair, DDoS-aware perimeter</w:t>
            </w:r>
          </w:p>
        </w:tc>
      </w:tr>
      <w:tr>
        <w:tc>
          <w:tcPr>
            <w:tcW w:type="dxa" w:w="2493"/>
            <w:vAlign w:val="center"/>
          </w:tcPr>
          <w:p>
            <w:pPr>
              <w:jc w:val="left"/>
            </w:pPr>
            <w:r/>
            <w:r>
              <w:rPr>
                <w:rFonts w:ascii="DejaVu Sans" w:hAnsi="DejaVu Sans"/>
                <w:b w:val="0"/>
                <w:color w:val="1E293B"/>
                <w:sz w:val="18"/>
              </w:rPr>
              <w:t>Zone 2 — App / governance</w:t>
            </w:r>
          </w:p>
        </w:tc>
        <w:tc>
          <w:tcPr>
            <w:tcW w:type="dxa" w:w="2493"/>
            <w:vAlign w:val="center"/>
          </w:tcPr>
          <w:p>
            <w:pPr>
              <w:jc w:val="left"/>
            </w:pPr>
            <w:r/>
            <w:r>
              <w:rPr>
                <w:rFonts w:ascii="DejaVu Sans" w:hAnsi="DejaVu Sans"/>
                <w:b w:val="0"/>
                <w:color w:val="1E293B"/>
                <w:sz w:val="18"/>
              </w:rPr>
              <w:t>FastAPI services, policy engine, review services, registry services</w:t>
            </w:r>
          </w:p>
        </w:tc>
        <w:tc>
          <w:tcPr>
            <w:tcW w:type="dxa" w:w="2493"/>
            <w:vAlign w:val="center"/>
          </w:tcPr>
          <w:p>
            <w:pPr>
              <w:jc w:val="left"/>
            </w:pPr>
            <w:r/>
            <w:r>
              <w:rPr>
                <w:rFonts w:ascii="DejaVu Sans" w:hAnsi="DejaVu Sans"/>
                <w:b w:val="0"/>
                <w:color w:val="1E293B"/>
                <w:sz w:val="18"/>
              </w:rPr>
              <w:t>Can talk to Kafka/Redis/PostgreSQL via allow-listed ports only</w:t>
            </w:r>
          </w:p>
        </w:tc>
        <w:tc>
          <w:tcPr>
            <w:tcW w:type="dxa" w:w="2493"/>
            <w:vAlign w:val="center"/>
          </w:tcPr>
          <w:p>
            <w:pPr>
              <w:jc w:val="left"/>
            </w:pPr>
            <w:r/>
            <w:r>
              <w:rPr>
                <w:rFonts w:ascii="DejaVu Sans" w:hAnsi="DejaVu Sans"/>
                <w:b w:val="0"/>
                <w:color w:val="1E293B"/>
                <w:sz w:val="18"/>
              </w:rPr>
              <w:t>25/100GbE leaf switching, micro-segmentation</w:t>
            </w:r>
          </w:p>
        </w:tc>
      </w:tr>
      <w:tr>
        <w:tc>
          <w:tcPr>
            <w:tcW w:type="dxa" w:w="2493"/>
            <w:vAlign w:val="center"/>
          </w:tcPr>
          <w:p>
            <w:pPr>
              <w:jc w:val="left"/>
            </w:pPr>
            <w:r/>
            <w:r>
              <w:rPr>
                <w:rFonts w:ascii="DejaVu Sans" w:hAnsi="DejaVu Sans"/>
                <w:b w:val="0"/>
                <w:color w:val="1E293B"/>
                <w:sz w:val="18"/>
              </w:rPr>
              <w:t>Zone 3 — Data core</w:t>
            </w:r>
          </w:p>
        </w:tc>
        <w:tc>
          <w:tcPr>
            <w:tcW w:type="dxa" w:w="2493"/>
            <w:vAlign w:val="center"/>
          </w:tcPr>
          <w:p>
            <w:pPr>
              <w:jc w:val="left"/>
            </w:pPr>
            <w:r/>
            <w:r>
              <w:rPr>
                <w:rFonts w:ascii="DejaVu Sans" w:hAnsi="DejaVu Sans"/>
                <w:b w:val="0"/>
                <w:color w:val="1E293B"/>
                <w:sz w:val="18"/>
              </w:rPr>
              <w:t>PostgreSQL, Cassandra, Kafka, OpenSearch, object store</w:t>
            </w:r>
          </w:p>
        </w:tc>
        <w:tc>
          <w:tcPr>
            <w:tcW w:type="dxa" w:w="2493"/>
            <w:vAlign w:val="center"/>
          </w:tcPr>
          <w:p>
            <w:pPr>
              <w:jc w:val="left"/>
            </w:pPr>
            <w:r/>
            <w:r>
              <w:rPr>
                <w:rFonts w:ascii="DejaVu Sans" w:hAnsi="DejaVu Sans"/>
                <w:b w:val="0"/>
                <w:color w:val="1E293B"/>
                <w:sz w:val="18"/>
              </w:rPr>
              <w:t>No direct user access; service-to-service only</w:t>
            </w:r>
          </w:p>
        </w:tc>
        <w:tc>
          <w:tcPr>
            <w:tcW w:type="dxa" w:w="2493"/>
            <w:vAlign w:val="center"/>
          </w:tcPr>
          <w:p>
            <w:pPr>
              <w:jc w:val="left"/>
            </w:pPr>
            <w:r/>
            <w:r>
              <w:rPr>
                <w:rFonts w:ascii="DejaVu Sans" w:hAnsi="DejaVu Sans"/>
                <w:b w:val="0"/>
                <w:color w:val="1E293B"/>
                <w:sz w:val="18"/>
              </w:rPr>
              <w:t>Dedicated low-latency switching, encryption in transit</w:t>
            </w:r>
          </w:p>
        </w:tc>
      </w:tr>
      <w:tr>
        <w:tc>
          <w:tcPr>
            <w:tcW w:type="dxa" w:w="2493"/>
            <w:vAlign w:val="center"/>
          </w:tcPr>
          <w:p>
            <w:pPr>
              <w:jc w:val="left"/>
            </w:pPr>
            <w:r/>
            <w:r>
              <w:rPr>
                <w:rFonts w:ascii="DejaVu Sans" w:hAnsi="DejaVu Sans"/>
                <w:b w:val="0"/>
                <w:color w:val="1E293B"/>
                <w:sz w:val="18"/>
              </w:rPr>
              <w:t>Zone 4 — Security plane</w:t>
            </w:r>
          </w:p>
        </w:tc>
        <w:tc>
          <w:tcPr>
            <w:tcW w:type="dxa" w:w="2493"/>
            <w:vAlign w:val="center"/>
          </w:tcPr>
          <w:p>
            <w:pPr>
              <w:jc w:val="left"/>
            </w:pPr>
            <w:r/>
            <w:r>
              <w:rPr>
                <w:rFonts w:ascii="DejaVu Sans" w:hAnsi="DejaVu Sans"/>
                <w:b w:val="0"/>
                <w:color w:val="1E293B"/>
                <w:sz w:val="18"/>
              </w:rPr>
              <w:t>HSM, vault, PKI, signing service</w:t>
            </w:r>
          </w:p>
        </w:tc>
        <w:tc>
          <w:tcPr>
            <w:tcW w:type="dxa" w:w="2493"/>
            <w:vAlign w:val="center"/>
          </w:tcPr>
          <w:p>
            <w:pPr>
              <w:jc w:val="left"/>
            </w:pPr>
            <w:r/>
            <w:r>
              <w:rPr>
                <w:rFonts w:ascii="DejaVu Sans" w:hAnsi="DejaVu Sans"/>
                <w:b w:val="0"/>
                <w:color w:val="1E293B"/>
                <w:sz w:val="18"/>
              </w:rPr>
              <w:t>Restricted to signing and secret workflows</w:t>
            </w:r>
          </w:p>
        </w:tc>
        <w:tc>
          <w:tcPr>
            <w:tcW w:type="dxa" w:w="2493"/>
            <w:vAlign w:val="center"/>
          </w:tcPr>
          <w:p>
            <w:pPr>
              <w:jc w:val="left"/>
            </w:pPr>
            <w:r/>
            <w:r>
              <w:rPr>
                <w:rFonts w:ascii="DejaVu Sans" w:hAnsi="DejaVu Sans"/>
                <w:b w:val="0"/>
                <w:color w:val="1E293B"/>
                <w:sz w:val="18"/>
              </w:rPr>
              <w:t>Dedicated secure enclave or appliance segment</w:t>
            </w:r>
          </w:p>
        </w:tc>
      </w:tr>
      <w:tr>
        <w:tc>
          <w:tcPr>
            <w:tcW w:type="dxa" w:w="2493"/>
            <w:vAlign w:val="center"/>
          </w:tcPr>
          <w:p>
            <w:pPr>
              <w:jc w:val="left"/>
            </w:pPr>
            <w:r/>
            <w:r>
              <w:rPr>
                <w:rFonts w:ascii="DejaVu Sans" w:hAnsi="DejaVu Sans"/>
                <w:b w:val="0"/>
                <w:color w:val="1E293B"/>
                <w:sz w:val="18"/>
              </w:rPr>
              <w:t>Zone 5 — Secure transfer</w:t>
            </w:r>
          </w:p>
        </w:tc>
        <w:tc>
          <w:tcPr>
            <w:tcW w:type="dxa" w:w="2493"/>
            <w:vAlign w:val="center"/>
          </w:tcPr>
          <w:p>
            <w:pPr>
              <w:jc w:val="left"/>
            </w:pPr>
            <w:r/>
            <w:r>
              <w:rPr>
                <w:rFonts w:ascii="DejaVu Sans" w:hAnsi="DejaVu Sans"/>
                <w:b w:val="0"/>
                <w:color w:val="1E293B"/>
                <w:sz w:val="18"/>
              </w:rPr>
              <w:t>Offline package import/export, USB scanning, release vault</w:t>
            </w:r>
          </w:p>
        </w:tc>
        <w:tc>
          <w:tcPr>
            <w:tcW w:type="dxa" w:w="2493"/>
            <w:vAlign w:val="center"/>
          </w:tcPr>
          <w:p>
            <w:pPr>
              <w:jc w:val="left"/>
            </w:pPr>
            <w:r/>
            <w:r>
              <w:rPr>
                <w:rFonts w:ascii="DejaVu Sans" w:hAnsi="DejaVu Sans"/>
                <w:b w:val="0"/>
                <w:color w:val="1E293B"/>
                <w:sz w:val="18"/>
              </w:rPr>
              <w:t>Manual and dual-control only</w:t>
            </w:r>
          </w:p>
        </w:tc>
        <w:tc>
          <w:tcPr>
            <w:tcW w:type="dxa" w:w="2493"/>
            <w:vAlign w:val="center"/>
          </w:tcPr>
          <w:p>
            <w:pPr>
              <w:jc w:val="left"/>
            </w:pPr>
            <w:r/>
            <w:r>
              <w:rPr>
                <w:rFonts w:ascii="DejaVu Sans" w:hAnsi="DejaVu Sans"/>
                <w:b w:val="0"/>
                <w:color w:val="1E293B"/>
                <w:sz w:val="18"/>
              </w:rPr>
              <w:t>Kiosk, malware scanning, signed media process, optional data diode</w:t>
            </w:r>
          </w:p>
        </w:tc>
      </w:tr>
    </w:tbl>
    <w:p/>
    <w:p>
      <w:pPr>
        <w:pStyle w:val="Heading2"/>
      </w:pPr>
      <w:r>
        <w:t>8.1 HSM and PQC key architecture</w:t>
      </w:r>
    </w:p>
    <w:p>
      <w:pPr>
        <w:pStyle w:val="ListBullet"/>
        <w:ind w:left="0"/>
      </w:pPr>
      <w:r>
        <w:t>Deploy two network-attached HSMs per primary site and two per secondary site for government backbone deployments.</w:t>
      </w:r>
    </w:p>
    <w:p>
      <w:pPr>
        <w:pStyle w:val="ListBullet"/>
        <w:ind w:left="0"/>
      </w:pPr>
      <w:r>
        <w:t>Government backbone deployments should target FIPS 140-3 Level 3 HSM. Enterprise minimum can be FIPS 140-2 Level 2 where legally acceptable.</w:t>
      </w:r>
    </w:p>
    <w:p>
      <w:pPr>
        <w:pStyle w:val="ListBullet"/>
        <w:ind w:left="0"/>
      </w:pPr>
      <w:r>
        <w:t>Use a strict hierarchy: master key in HSM, KEK tier, DEK tier, per-session keys. Split custody of master-key activation across at least 2 of 3 officers.</w:t>
      </w:r>
    </w:p>
    <w:p>
      <w:pPr>
        <w:pStyle w:val="ListBullet"/>
        <w:ind w:left="0"/>
      </w:pPr>
      <w:r>
        <w:t>Separate signing service from application services. Applications submit hashes or signing requests; private key material never leaves HSM boundaries.</w:t>
      </w:r>
    </w:p>
    <w:p>
      <w:pPr>
        <w:pStyle w:val="ListBullet"/>
        <w:ind w:left="0"/>
      </w:pPr>
      <w:r>
        <w:t>Use hybrid TLS 1.3 for transition years where classical and PQC key exchange operate together. Make mTLS mandatory for inter-service traffic in sovereign deployments.</w:t>
      </w:r>
    </w:p>
    <w:p>
      <w:pPr>
        <w:pStyle w:val="ListBullet"/>
        <w:ind w:left="0"/>
      </w:pPr>
      <w:r>
        <w:t>Publish Merkle roots and signing metadata into archive storage and a public or regulator-visible key registry where policy permits.</w:t>
      </w:r>
    </w:p>
    <w:p>
      <w:pPr>
        <w:pStyle w:val="Heading2"/>
      </w:pPr>
      <w:r>
        <w:t>8.2 Secure build and offline update authority</w:t>
      </w:r>
    </w:p>
    <w:p>
      <w:pPr/>
      <w:r>
        <w:t>Air-gapped and sovereign deployments need a separate secure build/signing enclave. This enclave creates release bundles, signs them, scans transfer media, records hashes, and produces an import manifest for the production site.</w:t>
      </w:r>
    </w:p>
    <w:p>
      <w:pPr>
        <w:pStyle w:val="Heading3"/>
      </w:pPr>
      <w:r>
        <w:t>Secure build enclave minimum hardware</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vAlign w:val="center"/>
            <w:shd w:fill="102A43"/>
          </w:tcPr>
          <w:p>
            <w:pPr>
              <w:jc w:val="left"/>
            </w:pPr>
            <w:r/>
            <w:r>
              <w:rPr>
                <w:rFonts w:ascii="DejaVu Sans" w:hAnsi="DejaVu Sans"/>
                <w:b/>
                <w:color w:val="FFFFFF"/>
                <w:sz w:val="19"/>
              </w:rPr>
              <w:t>Component</w:t>
            </w:r>
          </w:p>
        </w:tc>
        <w:tc>
          <w:tcPr>
            <w:tcW w:type="dxa" w:w="2493"/>
            <w:vAlign w:val="center"/>
            <w:shd w:fill="102A43"/>
          </w:tcPr>
          <w:p>
            <w:pPr>
              <w:jc w:val="left"/>
            </w:pPr>
            <w:r/>
            <w:r>
              <w:rPr>
                <w:rFonts w:ascii="DejaVu Sans" w:hAnsi="DejaVu Sans"/>
                <w:b/>
                <w:color w:val="FFFFFF"/>
                <w:sz w:val="19"/>
              </w:rPr>
              <w:t>Qty</w:t>
            </w:r>
          </w:p>
        </w:tc>
        <w:tc>
          <w:tcPr>
            <w:tcW w:type="dxa" w:w="2493"/>
            <w:vAlign w:val="center"/>
            <w:shd w:fill="102A43"/>
          </w:tcPr>
          <w:p>
            <w:pPr>
              <w:jc w:val="left"/>
            </w:pPr>
            <w:r/>
            <w:r>
              <w:rPr>
                <w:rFonts w:ascii="DejaVu Sans" w:hAnsi="DejaVu Sans"/>
                <w:b/>
                <w:color w:val="FFFFFF"/>
                <w:sz w:val="19"/>
              </w:rPr>
              <w:t>Minimum spec</w:t>
            </w:r>
          </w:p>
        </w:tc>
        <w:tc>
          <w:tcPr>
            <w:tcW w:type="dxa" w:w="2493"/>
            <w:vAlign w:val="center"/>
            <w:shd w:fill="102A43"/>
          </w:tcPr>
          <w:p>
            <w:pPr>
              <w:jc w:val="left"/>
            </w:pPr>
            <w:r/>
            <w:r>
              <w:rPr>
                <w:rFonts w:ascii="DejaVu Sans" w:hAnsi="DejaVu Sans"/>
                <w:b/>
                <w:color w:val="FFFFFF"/>
                <w:sz w:val="19"/>
              </w:rPr>
              <w:t>Purpose</w:t>
            </w:r>
          </w:p>
        </w:tc>
      </w:tr>
      <w:tr>
        <w:tc>
          <w:tcPr>
            <w:tcW w:type="dxa" w:w="2493"/>
            <w:vAlign w:val="center"/>
          </w:tcPr>
          <w:p>
            <w:pPr>
              <w:jc w:val="left"/>
            </w:pPr>
            <w:r/>
            <w:r>
              <w:rPr>
                <w:rFonts w:ascii="DejaVu Sans" w:hAnsi="DejaVu Sans"/>
                <w:b w:val="0"/>
                <w:color w:val="1E293B"/>
                <w:sz w:val="18"/>
              </w:rPr>
              <w:t>Build runners</w:t>
            </w:r>
          </w:p>
        </w:tc>
        <w:tc>
          <w:tcPr>
            <w:tcW w:type="dxa" w:w="2493"/>
            <w:vAlign w:val="center"/>
          </w:tcPr>
          <w:p>
            <w:pPr>
              <w:jc w:val="left"/>
            </w:pPr>
            <w:r/>
            <w:r>
              <w:rPr>
                <w:rFonts w:ascii="DejaVu Sans" w:hAnsi="DejaVu Sans"/>
                <w:b w:val="0"/>
                <w:color w:val="1E293B"/>
                <w:sz w:val="18"/>
              </w:rPr>
              <w:t>2</w:t>
            </w:r>
          </w:p>
        </w:tc>
        <w:tc>
          <w:tcPr>
            <w:tcW w:type="dxa" w:w="2493"/>
            <w:vAlign w:val="center"/>
          </w:tcPr>
          <w:p>
            <w:pPr>
              <w:jc w:val="left"/>
            </w:pPr>
            <w:r/>
            <w:r>
              <w:rPr>
                <w:rFonts w:ascii="DejaVu Sans" w:hAnsi="DejaVu Sans"/>
                <w:b w:val="0"/>
                <w:color w:val="1E293B"/>
                <w:sz w:val="18"/>
              </w:rPr>
              <w:t>24–32 cores, 128 GB RAM, mirrored SSD, TPM 2.0</w:t>
            </w:r>
          </w:p>
        </w:tc>
        <w:tc>
          <w:tcPr>
            <w:tcW w:type="dxa" w:w="2493"/>
            <w:vAlign w:val="center"/>
          </w:tcPr>
          <w:p>
            <w:pPr>
              <w:jc w:val="left"/>
            </w:pPr>
            <w:r/>
            <w:r>
              <w:rPr>
                <w:rFonts w:ascii="DejaVu Sans" w:hAnsi="DejaVu Sans"/>
                <w:b w:val="0"/>
                <w:color w:val="1E293B"/>
                <w:sz w:val="18"/>
              </w:rPr>
              <w:t>Reproducible builds, SBOM generation, image/package compilation</w:t>
            </w:r>
          </w:p>
        </w:tc>
      </w:tr>
      <w:tr>
        <w:tc>
          <w:tcPr>
            <w:tcW w:type="dxa" w:w="2493"/>
            <w:vAlign w:val="center"/>
          </w:tcPr>
          <w:p>
            <w:pPr>
              <w:jc w:val="left"/>
            </w:pPr>
            <w:r/>
            <w:r>
              <w:rPr>
                <w:rFonts w:ascii="DejaVu Sans" w:hAnsi="DejaVu Sans"/>
                <w:b w:val="0"/>
                <w:color w:val="1E293B"/>
                <w:sz w:val="18"/>
              </w:rPr>
              <w:t>Artifact registry</w:t>
            </w:r>
          </w:p>
        </w:tc>
        <w:tc>
          <w:tcPr>
            <w:tcW w:type="dxa" w:w="2493"/>
            <w:vAlign w:val="center"/>
          </w:tcPr>
          <w:p>
            <w:pPr>
              <w:jc w:val="left"/>
            </w:pPr>
            <w:r/>
            <w:r>
              <w:rPr>
                <w:rFonts w:ascii="DejaVu Sans" w:hAnsi="DejaVu Sans"/>
                <w:b w:val="0"/>
                <w:color w:val="1E293B"/>
                <w:sz w:val="18"/>
              </w:rPr>
              <w:t>2</w:t>
            </w:r>
          </w:p>
        </w:tc>
        <w:tc>
          <w:tcPr>
            <w:tcW w:type="dxa" w:w="2493"/>
            <w:vAlign w:val="center"/>
          </w:tcPr>
          <w:p>
            <w:pPr>
              <w:jc w:val="left"/>
            </w:pPr>
            <w:r/>
            <w:r>
              <w:rPr>
                <w:rFonts w:ascii="DejaVu Sans" w:hAnsi="DejaVu Sans"/>
                <w:b w:val="0"/>
                <w:color w:val="1E293B"/>
                <w:sz w:val="18"/>
              </w:rPr>
              <w:t>16–24 cores, 128 GB RAM, 8 TB SSD usable</w:t>
            </w:r>
          </w:p>
        </w:tc>
        <w:tc>
          <w:tcPr>
            <w:tcW w:type="dxa" w:w="2493"/>
            <w:vAlign w:val="center"/>
          </w:tcPr>
          <w:p>
            <w:pPr>
              <w:jc w:val="left"/>
            </w:pPr>
            <w:r/>
            <w:r>
              <w:rPr>
                <w:rFonts w:ascii="DejaVu Sans" w:hAnsi="DejaVu Sans"/>
                <w:b w:val="0"/>
                <w:color w:val="1E293B"/>
                <w:sz w:val="18"/>
              </w:rPr>
              <w:t>Signed package and container storage</w:t>
            </w:r>
          </w:p>
        </w:tc>
      </w:tr>
      <w:tr>
        <w:tc>
          <w:tcPr>
            <w:tcW w:type="dxa" w:w="2493"/>
            <w:vAlign w:val="center"/>
          </w:tcPr>
          <w:p>
            <w:pPr>
              <w:jc w:val="left"/>
            </w:pPr>
            <w:r/>
            <w:r>
              <w:rPr>
                <w:rFonts w:ascii="DejaVu Sans" w:hAnsi="DejaVu Sans"/>
                <w:b w:val="0"/>
                <w:color w:val="1E293B"/>
                <w:sz w:val="18"/>
              </w:rPr>
              <w:t>Signing station</w:t>
            </w:r>
          </w:p>
        </w:tc>
        <w:tc>
          <w:tcPr>
            <w:tcW w:type="dxa" w:w="2493"/>
            <w:vAlign w:val="center"/>
          </w:tcPr>
          <w:p>
            <w:pPr>
              <w:jc w:val="left"/>
            </w:pPr>
            <w:r/>
            <w:r>
              <w:rPr>
                <w:rFonts w:ascii="DejaVu Sans" w:hAnsi="DejaVu Sans"/>
                <w:b w:val="0"/>
                <w:color w:val="1E293B"/>
                <w:sz w:val="18"/>
              </w:rPr>
              <w:t>2</w:t>
            </w:r>
          </w:p>
        </w:tc>
        <w:tc>
          <w:tcPr>
            <w:tcW w:type="dxa" w:w="2493"/>
            <w:vAlign w:val="center"/>
          </w:tcPr>
          <w:p>
            <w:pPr>
              <w:jc w:val="left"/>
            </w:pPr>
            <w:r/>
            <w:r>
              <w:rPr>
                <w:rFonts w:ascii="DejaVu Sans" w:hAnsi="DejaVu Sans"/>
                <w:b w:val="0"/>
                <w:color w:val="1E293B"/>
                <w:sz w:val="18"/>
              </w:rPr>
              <w:t>16 cores, 64 GB RAM, attached HSM or smartcard</w:t>
            </w:r>
          </w:p>
        </w:tc>
        <w:tc>
          <w:tcPr>
            <w:tcW w:type="dxa" w:w="2493"/>
            <w:vAlign w:val="center"/>
          </w:tcPr>
          <w:p>
            <w:pPr>
              <w:jc w:val="left"/>
            </w:pPr>
            <w:r/>
            <w:r>
              <w:rPr>
                <w:rFonts w:ascii="DejaVu Sans" w:hAnsi="DejaVu Sans"/>
                <w:b w:val="0"/>
                <w:color w:val="1E293B"/>
                <w:sz w:val="18"/>
              </w:rPr>
              <w:t>Release signature creation and approval workflow</w:t>
            </w:r>
          </w:p>
        </w:tc>
      </w:tr>
      <w:tr>
        <w:tc>
          <w:tcPr>
            <w:tcW w:type="dxa" w:w="2493"/>
            <w:vAlign w:val="center"/>
          </w:tcPr>
          <w:p>
            <w:pPr>
              <w:jc w:val="left"/>
            </w:pPr>
            <w:r/>
            <w:r>
              <w:rPr>
                <w:rFonts w:ascii="DejaVu Sans" w:hAnsi="DejaVu Sans"/>
                <w:b w:val="0"/>
                <w:color w:val="1E293B"/>
                <w:sz w:val="18"/>
              </w:rPr>
              <w:t>Malware scan kiosk</w:t>
            </w:r>
          </w:p>
        </w:tc>
        <w:tc>
          <w:tcPr>
            <w:tcW w:type="dxa" w:w="2493"/>
            <w:vAlign w:val="center"/>
          </w:tcPr>
          <w:p>
            <w:pPr>
              <w:jc w:val="left"/>
            </w:pPr>
            <w:r/>
            <w:r>
              <w:rPr>
                <w:rFonts w:ascii="DejaVu Sans" w:hAnsi="DejaVu Sans"/>
                <w:b w:val="0"/>
                <w:color w:val="1E293B"/>
                <w:sz w:val="18"/>
              </w:rPr>
              <w:t>1</w:t>
            </w:r>
          </w:p>
        </w:tc>
        <w:tc>
          <w:tcPr>
            <w:tcW w:type="dxa" w:w="2493"/>
            <w:vAlign w:val="center"/>
          </w:tcPr>
          <w:p>
            <w:pPr>
              <w:jc w:val="left"/>
            </w:pPr>
            <w:r/>
            <w:r>
              <w:rPr>
                <w:rFonts w:ascii="DejaVu Sans" w:hAnsi="DejaVu Sans"/>
                <w:b w:val="0"/>
                <w:color w:val="1E293B"/>
                <w:sz w:val="18"/>
              </w:rPr>
              <w:t>16 cores, 64 GB RAM, multiple removable-media interfaces</w:t>
            </w:r>
          </w:p>
        </w:tc>
        <w:tc>
          <w:tcPr>
            <w:tcW w:type="dxa" w:w="2493"/>
            <w:vAlign w:val="center"/>
          </w:tcPr>
          <w:p>
            <w:pPr>
              <w:jc w:val="left"/>
            </w:pPr>
            <w:r/>
            <w:r>
              <w:rPr>
                <w:rFonts w:ascii="DejaVu Sans" w:hAnsi="DejaVu Sans"/>
                <w:b w:val="0"/>
                <w:color w:val="1E293B"/>
                <w:sz w:val="18"/>
              </w:rPr>
              <w:t>Offline media validation before import</w:t>
            </w:r>
          </w:p>
        </w:tc>
      </w:tr>
      <w:tr>
        <w:tc>
          <w:tcPr>
            <w:tcW w:type="dxa" w:w="2493"/>
            <w:vAlign w:val="center"/>
          </w:tcPr>
          <w:p>
            <w:pPr>
              <w:jc w:val="left"/>
            </w:pPr>
            <w:r/>
            <w:r>
              <w:rPr>
                <w:rFonts w:ascii="DejaVu Sans" w:hAnsi="DejaVu Sans"/>
                <w:b w:val="0"/>
                <w:color w:val="1E293B"/>
                <w:sz w:val="18"/>
              </w:rPr>
              <w:t>Release vault</w:t>
            </w:r>
          </w:p>
        </w:tc>
        <w:tc>
          <w:tcPr>
            <w:tcW w:type="dxa" w:w="2493"/>
            <w:vAlign w:val="center"/>
          </w:tcPr>
          <w:p>
            <w:pPr>
              <w:jc w:val="left"/>
            </w:pPr>
            <w:r/>
            <w:r>
              <w:rPr>
                <w:rFonts w:ascii="DejaVu Sans" w:hAnsi="DejaVu Sans"/>
                <w:b w:val="0"/>
                <w:color w:val="1E293B"/>
                <w:sz w:val="18"/>
              </w:rPr>
              <w:t>1</w:t>
            </w:r>
          </w:p>
        </w:tc>
        <w:tc>
          <w:tcPr>
            <w:tcW w:type="dxa" w:w="2493"/>
            <w:vAlign w:val="center"/>
          </w:tcPr>
          <w:p>
            <w:pPr>
              <w:jc w:val="left"/>
            </w:pPr>
            <w:r/>
            <w:r>
              <w:rPr>
                <w:rFonts w:ascii="DejaVu Sans" w:hAnsi="DejaVu Sans"/>
                <w:b w:val="0"/>
                <w:color w:val="1E293B"/>
                <w:sz w:val="18"/>
              </w:rPr>
              <w:t>Immutable storage appliance or object store</w:t>
            </w:r>
          </w:p>
        </w:tc>
        <w:tc>
          <w:tcPr>
            <w:tcW w:type="dxa" w:w="2493"/>
            <w:vAlign w:val="center"/>
          </w:tcPr>
          <w:p>
            <w:pPr>
              <w:jc w:val="left"/>
            </w:pPr>
            <w:r/>
            <w:r>
              <w:rPr>
                <w:rFonts w:ascii="DejaVu Sans" w:hAnsi="DejaVu Sans"/>
                <w:b w:val="0"/>
                <w:color w:val="1E293B"/>
                <w:sz w:val="18"/>
              </w:rPr>
              <w:t>Retention of signed release packages, manifests, and import logs</w:t>
            </w:r>
          </w:p>
        </w:tc>
      </w:tr>
    </w:tbl>
    <w:p/>
    <w:p>
      <w:pPr>
        <w:pStyle w:val="Heading1"/>
      </w:pPr>
      <w:r>
        <w:t>9. Storage, backup, archive, and retention architecture</w:t>
      </w:r>
    </w:p>
    <w:p>
      <w:pPr/>
      <w:r>
        <w:t>Backups are not enough. The platform needs distinct mechanisms for snapshots, point-in-time recovery, immutable evidence retention, and independent verification.</w:t>
      </w:r>
    </w:p>
    <w:p>
      <w:pPr>
        <w:pStyle w:val="Heading3"/>
      </w:pPr>
      <w:r>
        <w:t>Protection layers</w:t>
      </w:r>
    </w:p>
    <w:tbl>
      <w:tblPr>
        <w:tblStyle w:val="TableGrid"/>
        <w:tblW w:type="auto" w:w="0"/>
        <w:jc w:val="center"/>
        <w:tblLook w:firstColumn="1" w:firstRow="1" w:lastColumn="0" w:lastRow="0" w:noHBand="0" w:noVBand="1" w:val="04A0"/>
      </w:tblPr>
      <w:tblGrid>
        <w:gridCol w:w="1994"/>
        <w:gridCol w:w="1994"/>
        <w:gridCol w:w="1994"/>
        <w:gridCol w:w="1994"/>
        <w:gridCol w:w="1994"/>
      </w:tblGrid>
      <w:tr>
        <w:tc>
          <w:tcPr>
            <w:tcW w:type="dxa" w:w="1994"/>
            <w:vAlign w:val="center"/>
            <w:shd w:fill="102A43"/>
          </w:tcPr>
          <w:p>
            <w:pPr>
              <w:jc w:val="left"/>
            </w:pPr>
            <w:r/>
            <w:r>
              <w:rPr>
                <w:rFonts w:ascii="DejaVu Sans" w:hAnsi="DejaVu Sans"/>
                <w:b/>
                <w:color w:val="FFFFFF"/>
                <w:sz w:val="19"/>
              </w:rPr>
              <w:t>Layer</w:t>
            </w:r>
          </w:p>
        </w:tc>
        <w:tc>
          <w:tcPr>
            <w:tcW w:type="dxa" w:w="1994"/>
            <w:vAlign w:val="center"/>
            <w:shd w:fill="102A43"/>
          </w:tcPr>
          <w:p>
            <w:pPr>
              <w:jc w:val="left"/>
            </w:pPr>
            <w:r/>
            <w:r>
              <w:rPr>
                <w:rFonts w:ascii="DejaVu Sans" w:hAnsi="DejaVu Sans"/>
                <w:b/>
                <w:color w:val="FFFFFF"/>
                <w:sz w:val="19"/>
              </w:rPr>
              <w:t>Technology pattern</w:t>
            </w:r>
          </w:p>
        </w:tc>
        <w:tc>
          <w:tcPr>
            <w:tcW w:type="dxa" w:w="1994"/>
            <w:vAlign w:val="center"/>
            <w:shd w:fill="102A43"/>
          </w:tcPr>
          <w:p>
            <w:pPr>
              <w:jc w:val="left"/>
            </w:pPr>
            <w:r/>
            <w:r>
              <w:rPr>
                <w:rFonts w:ascii="DejaVu Sans" w:hAnsi="DejaVu Sans"/>
                <w:b/>
                <w:color w:val="FFFFFF"/>
                <w:sz w:val="19"/>
              </w:rPr>
              <w:t>Frequency</w:t>
            </w:r>
          </w:p>
        </w:tc>
        <w:tc>
          <w:tcPr>
            <w:tcW w:type="dxa" w:w="1994"/>
            <w:vAlign w:val="center"/>
            <w:shd w:fill="102A43"/>
          </w:tcPr>
          <w:p>
            <w:pPr>
              <w:jc w:val="left"/>
            </w:pPr>
            <w:r/>
            <w:r>
              <w:rPr>
                <w:rFonts w:ascii="DejaVu Sans" w:hAnsi="DejaVu Sans"/>
                <w:b/>
                <w:color w:val="FFFFFF"/>
                <w:sz w:val="19"/>
              </w:rPr>
              <w:t>Retention</w:t>
            </w:r>
          </w:p>
        </w:tc>
        <w:tc>
          <w:tcPr>
            <w:tcW w:type="dxa" w:w="1994"/>
            <w:vAlign w:val="center"/>
            <w:shd w:fill="102A43"/>
          </w:tcPr>
          <w:p>
            <w:pPr>
              <w:jc w:val="left"/>
            </w:pPr>
            <w:r/>
            <w:r>
              <w:rPr>
                <w:rFonts w:ascii="DejaVu Sans" w:hAnsi="DejaVu Sans"/>
                <w:b/>
                <w:color w:val="FFFFFF"/>
                <w:sz w:val="19"/>
              </w:rPr>
              <w:t>Recovery use</w:t>
            </w:r>
          </w:p>
        </w:tc>
      </w:tr>
      <w:tr>
        <w:tc>
          <w:tcPr>
            <w:tcW w:type="dxa" w:w="1994"/>
            <w:vAlign w:val="center"/>
          </w:tcPr>
          <w:p>
            <w:pPr>
              <w:jc w:val="left"/>
            </w:pPr>
            <w:r/>
            <w:r>
              <w:rPr>
                <w:rFonts w:ascii="DejaVu Sans" w:hAnsi="DejaVu Sans"/>
                <w:b w:val="0"/>
                <w:color w:val="1E293B"/>
                <w:sz w:val="18"/>
              </w:rPr>
              <w:t>PostgreSQL WAL + snapshots</w:t>
            </w:r>
          </w:p>
        </w:tc>
        <w:tc>
          <w:tcPr>
            <w:tcW w:type="dxa" w:w="1994"/>
            <w:vAlign w:val="center"/>
          </w:tcPr>
          <w:p>
            <w:pPr>
              <w:jc w:val="left"/>
            </w:pPr>
            <w:r/>
            <w:r>
              <w:rPr>
                <w:rFonts w:ascii="DejaVu Sans" w:hAnsi="DejaVu Sans"/>
                <w:b w:val="0"/>
                <w:color w:val="1E293B"/>
                <w:sz w:val="18"/>
              </w:rPr>
              <w:t>Continuous WAL archiving + storage snapshots</w:t>
            </w:r>
          </w:p>
        </w:tc>
        <w:tc>
          <w:tcPr>
            <w:tcW w:type="dxa" w:w="1994"/>
            <w:vAlign w:val="center"/>
          </w:tcPr>
          <w:p>
            <w:pPr>
              <w:jc w:val="left"/>
            </w:pPr>
            <w:r/>
            <w:r>
              <w:rPr>
                <w:rFonts w:ascii="DejaVu Sans" w:hAnsi="DejaVu Sans"/>
                <w:b w:val="0"/>
                <w:color w:val="1E293B"/>
                <w:sz w:val="18"/>
              </w:rPr>
              <w:t>Continuous + every 4 hours</w:t>
            </w:r>
          </w:p>
        </w:tc>
        <w:tc>
          <w:tcPr>
            <w:tcW w:type="dxa" w:w="1994"/>
            <w:vAlign w:val="center"/>
          </w:tcPr>
          <w:p>
            <w:pPr>
              <w:jc w:val="left"/>
            </w:pPr>
            <w:r/>
            <w:r>
              <w:rPr>
                <w:rFonts w:ascii="DejaVu Sans" w:hAnsi="DejaVu Sans"/>
                <w:b w:val="0"/>
                <w:color w:val="1E293B"/>
                <w:sz w:val="18"/>
              </w:rPr>
              <w:t>35–90 days hot; monthly sealed copy</w:t>
            </w:r>
          </w:p>
        </w:tc>
        <w:tc>
          <w:tcPr>
            <w:tcW w:type="dxa" w:w="1994"/>
            <w:vAlign w:val="center"/>
          </w:tcPr>
          <w:p>
            <w:pPr>
              <w:jc w:val="left"/>
            </w:pPr>
            <w:r/>
            <w:r>
              <w:rPr>
                <w:rFonts w:ascii="DejaVu Sans" w:hAnsi="DejaVu Sans"/>
                <w:b w:val="0"/>
                <w:color w:val="1E293B"/>
                <w:sz w:val="18"/>
              </w:rPr>
              <w:t>Operational restore, point-in-time recovery</w:t>
            </w:r>
          </w:p>
        </w:tc>
      </w:tr>
      <w:tr>
        <w:tc>
          <w:tcPr>
            <w:tcW w:type="dxa" w:w="1994"/>
            <w:vAlign w:val="center"/>
          </w:tcPr>
          <w:p>
            <w:pPr>
              <w:jc w:val="left"/>
            </w:pPr>
            <w:r/>
            <w:r>
              <w:rPr>
                <w:rFonts w:ascii="DejaVu Sans" w:hAnsi="DejaVu Sans"/>
                <w:b w:val="0"/>
                <w:color w:val="1E293B"/>
                <w:sz w:val="18"/>
              </w:rPr>
              <w:t>Kafka topic durability</w:t>
            </w:r>
          </w:p>
        </w:tc>
        <w:tc>
          <w:tcPr>
            <w:tcW w:type="dxa" w:w="1994"/>
            <w:vAlign w:val="center"/>
          </w:tcPr>
          <w:p>
            <w:pPr>
              <w:jc w:val="left"/>
            </w:pPr>
            <w:r/>
            <w:r>
              <w:rPr>
                <w:rFonts w:ascii="DejaVu Sans" w:hAnsi="DejaVu Sans"/>
                <w:b w:val="0"/>
                <w:color w:val="1E293B"/>
                <w:sz w:val="18"/>
              </w:rPr>
              <w:t>Broker replication + mirrored export</w:t>
            </w:r>
          </w:p>
        </w:tc>
        <w:tc>
          <w:tcPr>
            <w:tcW w:type="dxa" w:w="1994"/>
            <w:vAlign w:val="center"/>
          </w:tcPr>
          <w:p>
            <w:pPr>
              <w:jc w:val="left"/>
            </w:pPr>
            <w:r/>
            <w:r>
              <w:rPr>
                <w:rFonts w:ascii="DejaVu Sans" w:hAnsi="DejaVu Sans"/>
                <w:b w:val="0"/>
                <w:color w:val="1E293B"/>
                <w:sz w:val="18"/>
              </w:rPr>
              <w:t>Continuous</w:t>
            </w:r>
          </w:p>
        </w:tc>
        <w:tc>
          <w:tcPr>
            <w:tcW w:type="dxa" w:w="1994"/>
            <w:vAlign w:val="center"/>
          </w:tcPr>
          <w:p>
            <w:pPr>
              <w:jc w:val="left"/>
            </w:pPr>
            <w:r/>
            <w:r>
              <w:rPr>
                <w:rFonts w:ascii="DejaVu Sans" w:hAnsi="DejaVu Sans"/>
                <w:b w:val="0"/>
                <w:color w:val="1E293B"/>
                <w:sz w:val="18"/>
              </w:rPr>
              <w:t>Topic-specific</w:t>
            </w:r>
          </w:p>
        </w:tc>
        <w:tc>
          <w:tcPr>
            <w:tcW w:type="dxa" w:w="1994"/>
            <w:vAlign w:val="center"/>
          </w:tcPr>
          <w:p>
            <w:pPr>
              <w:jc w:val="left"/>
            </w:pPr>
            <w:r/>
            <w:r>
              <w:rPr>
                <w:rFonts w:ascii="DejaVu Sans" w:hAnsi="DejaVu Sans"/>
                <w:b w:val="0"/>
                <w:color w:val="1E293B"/>
                <w:sz w:val="18"/>
              </w:rPr>
              <w:t>Broker recovery, replay, downstream reprocessing</w:t>
            </w:r>
          </w:p>
        </w:tc>
      </w:tr>
      <w:tr>
        <w:tc>
          <w:tcPr>
            <w:tcW w:type="dxa" w:w="1994"/>
            <w:vAlign w:val="center"/>
          </w:tcPr>
          <w:p>
            <w:pPr>
              <w:jc w:val="left"/>
            </w:pPr>
            <w:r/>
            <w:r>
              <w:rPr>
                <w:rFonts w:ascii="DejaVu Sans" w:hAnsi="DejaVu Sans"/>
                <w:b w:val="0"/>
                <w:color w:val="1E293B"/>
                <w:sz w:val="18"/>
              </w:rPr>
              <w:t>Cassandra repair + snapshots</w:t>
            </w:r>
          </w:p>
        </w:tc>
        <w:tc>
          <w:tcPr>
            <w:tcW w:type="dxa" w:w="1994"/>
            <w:vAlign w:val="center"/>
          </w:tcPr>
          <w:p>
            <w:pPr>
              <w:jc w:val="left"/>
            </w:pPr>
            <w:r/>
            <w:r>
              <w:rPr>
                <w:rFonts w:ascii="DejaVu Sans" w:hAnsi="DejaVu Sans"/>
                <w:b w:val="0"/>
                <w:color w:val="1E293B"/>
                <w:sz w:val="18"/>
              </w:rPr>
              <w:t>Scheduled incremental repair + snapshots</w:t>
            </w:r>
          </w:p>
        </w:tc>
        <w:tc>
          <w:tcPr>
            <w:tcW w:type="dxa" w:w="1994"/>
            <w:vAlign w:val="center"/>
          </w:tcPr>
          <w:p>
            <w:pPr>
              <w:jc w:val="left"/>
            </w:pPr>
            <w:r/>
            <w:r>
              <w:rPr>
                <w:rFonts w:ascii="DejaVu Sans" w:hAnsi="DejaVu Sans"/>
                <w:b w:val="0"/>
                <w:color w:val="1E293B"/>
                <w:sz w:val="18"/>
              </w:rPr>
              <w:t>Daily to weekly</w:t>
            </w:r>
          </w:p>
        </w:tc>
        <w:tc>
          <w:tcPr>
            <w:tcW w:type="dxa" w:w="1994"/>
            <w:vAlign w:val="center"/>
          </w:tcPr>
          <w:p>
            <w:pPr>
              <w:jc w:val="left"/>
            </w:pPr>
            <w:r/>
            <w:r>
              <w:rPr>
                <w:rFonts w:ascii="DejaVu Sans" w:hAnsi="DejaVu Sans"/>
                <w:b w:val="0"/>
                <w:color w:val="1E293B"/>
                <w:sz w:val="18"/>
              </w:rPr>
              <w:t>30–90 days local + monthly archive</w:t>
            </w:r>
          </w:p>
        </w:tc>
        <w:tc>
          <w:tcPr>
            <w:tcW w:type="dxa" w:w="1994"/>
            <w:vAlign w:val="center"/>
          </w:tcPr>
          <w:p>
            <w:pPr>
              <w:jc w:val="left"/>
            </w:pPr>
            <w:r/>
            <w:r>
              <w:rPr>
                <w:rFonts w:ascii="DejaVu Sans" w:hAnsi="DejaVu Sans"/>
                <w:b w:val="0"/>
                <w:color w:val="1E293B"/>
                <w:sz w:val="18"/>
              </w:rPr>
              <w:t>Node rebuild, forensic restore</w:t>
            </w:r>
          </w:p>
        </w:tc>
      </w:tr>
      <w:tr>
        <w:tc>
          <w:tcPr>
            <w:tcW w:type="dxa" w:w="1994"/>
            <w:vAlign w:val="center"/>
          </w:tcPr>
          <w:p>
            <w:pPr>
              <w:jc w:val="left"/>
            </w:pPr>
            <w:r/>
            <w:r>
              <w:rPr>
                <w:rFonts w:ascii="DejaVu Sans" w:hAnsi="DejaVu Sans"/>
                <w:b w:val="0"/>
                <w:color w:val="1E293B"/>
                <w:sz w:val="18"/>
              </w:rPr>
              <w:t>Object archive immutability</w:t>
            </w:r>
          </w:p>
        </w:tc>
        <w:tc>
          <w:tcPr>
            <w:tcW w:type="dxa" w:w="1994"/>
            <w:vAlign w:val="center"/>
          </w:tcPr>
          <w:p>
            <w:pPr>
              <w:jc w:val="left"/>
            </w:pPr>
            <w:r/>
            <w:r>
              <w:rPr>
                <w:rFonts w:ascii="DejaVu Sans" w:hAnsi="DejaVu Sans"/>
                <w:b w:val="0"/>
                <w:color w:val="1E293B"/>
                <w:sz w:val="18"/>
              </w:rPr>
              <w:t>Versioned bucket / WORM object store</w:t>
            </w:r>
          </w:p>
        </w:tc>
        <w:tc>
          <w:tcPr>
            <w:tcW w:type="dxa" w:w="1994"/>
            <w:vAlign w:val="center"/>
          </w:tcPr>
          <w:p>
            <w:pPr>
              <w:jc w:val="left"/>
            </w:pPr>
            <w:r/>
            <w:r>
              <w:rPr>
                <w:rFonts w:ascii="DejaVu Sans" w:hAnsi="DejaVu Sans"/>
                <w:b w:val="0"/>
                <w:color w:val="1E293B"/>
                <w:sz w:val="18"/>
              </w:rPr>
              <w:t>Continuous</w:t>
            </w:r>
          </w:p>
        </w:tc>
        <w:tc>
          <w:tcPr>
            <w:tcW w:type="dxa" w:w="1994"/>
            <w:vAlign w:val="center"/>
          </w:tcPr>
          <w:p>
            <w:pPr>
              <w:jc w:val="left"/>
            </w:pPr>
            <w:r/>
            <w:r>
              <w:rPr>
                <w:rFonts w:ascii="DejaVu Sans" w:hAnsi="DejaVu Sans"/>
                <w:b w:val="0"/>
                <w:color w:val="1E293B"/>
                <w:sz w:val="18"/>
              </w:rPr>
              <w:t>7–10+ years</w:t>
            </w:r>
          </w:p>
        </w:tc>
        <w:tc>
          <w:tcPr>
            <w:tcW w:type="dxa" w:w="1994"/>
            <w:vAlign w:val="center"/>
          </w:tcPr>
          <w:p>
            <w:pPr>
              <w:jc w:val="left"/>
            </w:pPr>
            <w:r/>
            <w:r>
              <w:rPr>
                <w:rFonts w:ascii="DejaVu Sans" w:hAnsi="DejaVu Sans"/>
                <w:b w:val="0"/>
                <w:color w:val="1E293B"/>
                <w:sz w:val="18"/>
              </w:rPr>
              <w:t>Regulatory pack retention, signed proof preservation</w:t>
            </w:r>
          </w:p>
        </w:tc>
      </w:tr>
      <w:tr>
        <w:tc>
          <w:tcPr>
            <w:tcW w:type="dxa" w:w="1994"/>
            <w:vAlign w:val="center"/>
          </w:tcPr>
          <w:p>
            <w:pPr>
              <w:jc w:val="left"/>
            </w:pPr>
            <w:r/>
            <w:r>
              <w:rPr>
                <w:rFonts w:ascii="DejaVu Sans" w:hAnsi="DejaVu Sans"/>
                <w:b w:val="0"/>
                <w:color w:val="1E293B"/>
                <w:sz w:val="18"/>
              </w:rPr>
              <w:t>Offline seal set</w:t>
            </w:r>
          </w:p>
        </w:tc>
        <w:tc>
          <w:tcPr>
            <w:tcW w:type="dxa" w:w="1994"/>
            <w:vAlign w:val="center"/>
          </w:tcPr>
          <w:p>
            <w:pPr>
              <w:jc w:val="left"/>
            </w:pPr>
            <w:r/>
            <w:r>
              <w:rPr>
                <w:rFonts w:ascii="DejaVu Sans" w:hAnsi="DejaVu Sans"/>
                <w:b w:val="0"/>
                <w:color w:val="1E293B"/>
                <w:sz w:val="18"/>
              </w:rPr>
              <w:t>Quarterly archive to tape or secure removable media</w:t>
            </w:r>
          </w:p>
        </w:tc>
        <w:tc>
          <w:tcPr>
            <w:tcW w:type="dxa" w:w="1994"/>
            <w:vAlign w:val="center"/>
          </w:tcPr>
          <w:p>
            <w:pPr>
              <w:jc w:val="left"/>
            </w:pPr>
            <w:r/>
            <w:r>
              <w:rPr>
                <w:rFonts w:ascii="DejaVu Sans" w:hAnsi="DejaVu Sans"/>
                <w:b w:val="0"/>
                <w:color w:val="1E293B"/>
                <w:sz w:val="18"/>
              </w:rPr>
              <w:t>Quarterly</w:t>
            </w:r>
          </w:p>
        </w:tc>
        <w:tc>
          <w:tcPr>
            <w:tcW w:type="dxa" w:w="1994"/>
            <w:vAlign w:val="center"/>
          </w:tcPr>
          <w:p>
            <w:pPr>
              <w:jc w:val="left"/>
            </w:pPr>
            <w:r/>
            <w:r>
              <w:rPr>
                <w:rFonts w:ascii="DejaVu Sans" w:hAnsi="DejaVu Sans"/>
                <w:b w:val="0"/>
                <w:color w:val="1E293B"/>
                <w:sz w:val="18"/>
              </w:rPr>
              <w:t>Long-term vault</w:t>
            </w:r>
          </w:p>
        </w:tc>
        <w:tc>
          <w:tcPr>
            <w:tcW w:type="dxa" w:w="1994"/>
            <w:vAlign w:val="center"/>
          </w:tcPr>
          <w:p>
            <w:pPr>
              <w:jc w:val="left"/>
            </w:pPr>
            <w:r/>
            <w:r>
              <w:rPr>
                <w:rFonts w:ascii="DejaVu Sans" w:hAnsi="DejaVu Sans"/>
                <w:b w:val="0"/>
                <w:color w:val="1E293B"/>
                <w:sz w:val="18"/>
              </w:rPr>
              <w:t>Sovereign legal hold, catastrophic recovery</w:t>
            </w:r>
          </w:p>
        </w:tc>
      </w:tr>
    </w:tbl>
    <w:p/>
    <w:p>
      <w:pPr>
        <w:pStyle w:val="ListBullet"/>
        <w:ind w:left="0"/>
      </w:pPr>
      <w:r>
        <w:t>For a government backbone, target 1-hour RPO and 4-hour platform RTO at system level, with database failover significantly faster inside a site.</w:t>
      </w:r>
    </w:p>
    <w:p>
      <w:pPr>
        <w:pStyle w:val="ListBullet"/>
        <w:ind w:left="0"/>
      </w:pPr>
      <w:r>
        <w:t>Run monthly restore tests across PostgreSQL, Cassandra evidence bundles, Kafka replay, and object-archive export validation.</w:t>
      </w:r>
    </w:p>
    <w:p>
      <w:pPr>
        <w:pStyle w:val="ListBullet"/>
        <w:ind w:left="0"/>
      </w:pPr>
      <w:r>
        <w:t>Never store the only copy of Merkle roots, signing manifests, or regulator exports inside the same fault domain as the originating service.</w:t>
      </w:r>
    </w:p>
    <w:p>
      <w:pPr>
        <w:pStyle w:val="Heading1"/>
      </w:pPr>
      <w:r>
        <w:t>10. Facility, power, cooling, and physical security</w:t>
      </w:r>
    </w:p>
    <w:p>
      <w:pPr>
        <w:pStyle w:val="Heading3"/>
      </w:pPr>
      <w:r>
        <w:t>Facility baseline requirements</w:t>
      </w:r>
    </w:p>
    <w:tbl>
      <w:tblPr>
        <w:tblStyle w:val="TableGrid"/>
        <w:tblW w:type="auto" w:w="0"/>
        <w:jc w:val="center"/>
        <w:tblLook w:firstColumn="1" w:firstRow="1" w:lastColumn="0" w:lastRow="0" w:noHBand="0" w:noVBand="1" w:val="04A0"/>
      </w:tblPr>
      <w:tblGrid>
        <w:gridCol w:w="3324"/>
        <w:gridCol w:w="3324"/>
        <w:gridCol w:w="3324"/>
      </w:tblGrid>
      <w:tr>
        <w:tc>
          <w:tcPr>
            <w:tcW w:type="dxa" w:w="3324"/>
            <w:vAlign w:val="center"/>
            <w:shd w:fill="102A43"/>
          </w:tcPr>
          <w:p>
            <w:pPr>
              <w:jc w:val="left"/>
            </w:pPr>
            <w:r/>
            <w:r>
              <w:rPr>
                <w:rFonts w:ascii="DejaVu Sans" w:hAnsi="DejaVu Sans"/>
                <w:b/>
                <w:color w:val="FFFFFF"/>
                <w:sz w:val="19"/>
              </w:rPr>
              <w:t>Area</w:t>
            </w:r>
          </w:p>
        </w:tc>
        <w:tc>
          <w:tcPr>
            <w:tcW w:type="dxa" w:w="3324"/>
            <w:vAlign w:val="center"/>
            <w:shd w:fill="102A43"/>
          </w:tcPr>
          <w:p>
            <w:pPr>
              <w:jc w:val="left"/>
            </w:pPr>
            <w:r/>
            <w:r>
              <w:rPr>
                <w:rFonts w:ascii="DejaVu Sans" w:hAnsi="DejaVu Sans"/>
                <w:b/>
                <w:color w:val="FFFFFF"/>
                <w:sz w:val="19"/>
              </w:rPr>
              <w:t>Requirement</w:t>
            </w:r>
          </w:p>
        </w:tc>
        <w:tc>
          <w:tcPr>
            <w:tcW w:type="dxa" w:w="3324"/>
            <w:vAlign w:val="center"/>
            <w:shd w:fill="102A43"/>
          </w:tcPr>
          <w:p>
            <w:pPr>
              <w:jc w:val="left"/>
            </w:pPr>
            <w:r/>
            <w:r>
              <w:rPr>
                <w:rFonts w:ascii="DejaVu Sans" w:hAnsi="DejaVu Sans"/>
                <w:b/>
                <w:color w:val="FFFFFF"/>
                <w:sz w:val="19"/>
              </w:rPr>
              <w:t>Reason</w:t>
            </w:r>
          </w:p>
        </w:tc>
      </w:tr>
      <w:tr>
        <w:tc>
          <w:tcPr>
            <w:tcW w:type="dxa" w:w="3324"/>
            <w:vAlign w:val="center"/>
          </w:tcPr>
          <w:p>
            <w:pPr>
              <w:jc w:val="left"/>
            </w:pPr>
            <w:r/>
            <w:r>
              <w:rPr>
                <w:rFonts w:ascii="DejaVu Sans" w:hAnsi="DejaVu Sans"/>
                <w:b w:val="0"/>
                <w:color w:val="1E293B"/>
                <w:sz w:val="18"/>
              </w:rPr>
              <w:t>Power</w:t>
            </w:r>
          </w:p>
        </w:tc>
        <w:tc>
          <w:tcPr>
            <w:tcW w:type="dxa" w:w="3324"/>
            <w:vAlign w:val="center"/>
          </w:tcPr>
          <w:p>
            <w:pPr>
              <w:jc w:val="left"/>
            </w:pPr>
            <w:r/>
            <w:r>
              <w:rPr>
                <w:rFonts w:ascii="DejaVu Sans" w:hAnsi="DejaVu Sans"/>
                <w:b w:val="0"/>
                <w:color w:val="1E293B"/>
                <w:sz w:val="18"/>
              </w:rPr>
              <w:t>Dual utility feed where available, dual PDUs per rack, online UPS for 4 hours minimum, N+1 generators</w:t>
            </w:r>
          </w:p>
        </w:tc>
        <w:tc>
          <w:tcPr>
            <w:tcW w:type="dxa" w:w="3324"/>
            <w:vAlign w:val="center"/>
          </w:tcPr>
          <w:p>
            <w:pPr>
              <w:jc w:val="left"/>
            </w:pPr>
            <w:r/>
            <w:r>
              <w:rPr>
                <w:rFonts w:ascii="DejaVu Sans" w:hAnsi="DejaVu Sans"/>
                <w:b w:val="0"/>
                <w:color w:val="1E293B"/>
                <w:sz w:val="18"/>
              </w:rPr>
              <w:t>Matches sovereign-backbone continuity target and whitepaper power baseline.</w:t>
            </w:r>
          </w:p>
        </w:tc>
      </w:tr>
      <w:tr>
        <w:tc>
          <w:tcPr>
            <w:tcW w:type="dxa" w:w="3324"/>
            <w:vAlign w:val="center"/>
          </w:tcPr>
          <w:p>
            <w:pPr>
              <w:jc w:val="left"/>
            </w:pPr>
            <w:r/>
            <w:r>
              <w:rPr>
                <w:rFonts w:ascii="DejaVu Sans" w:hAnsi="DejaVu Sans"/>
                <w:b w:val="0"/>
                <w:color w:val="1E293B"/>
                <w:sz w:val="18"/>
              </w:rPr>
              <w:t>Cooling</w:t>
            </w:r>
          </w:p>
        </w:tc>
        <w:tc>
          <w:tcPr>
            <w:tcW w:type="dxa" w:w="3324"/>
            <w:vAlign w:val="center"/>
          </w:tcPr>
          <w:p>
            <w:pPr>
              <w:jc w:val="left"/>
            </w:pPr>
            <w:r/>
            <w:r>
              <w:rPr>
                <w:rFonts w:ascii="DejaVu Sans" w:hAnsi="DejaVu Sans"/>
                <w:b w:val="0"/>
                <w:color w:val="1E293B"/>
                <w:sz w:val="18"/>
              </w:rPr>
              <w:t>N+1 cooling, hot/cold aisle containment, continuous temp/humidity monitoring</w:t>
            </w:r>
          </w:p>
        </w:tc>
        <w:tc>
          <w:tcPr>
            <w:tcW w:type="dxa" w:w="3324"/>
            <w:vAlign w:val="center"/>
          </w:tcPr>
          <w:p>
            <w:pPr>
              <w:jc w:val="left"/>
            </w:pPr>
            <w:r/>
            <w:r>
              <w:rPr>
                <w:rFonts w:ascii="DejaVu Sans" w:hAnsi="DejaVu Sans"/>
                <w:b w:val="0"/>
                <w:color w:val="1E293B"/>
                <w:sz w:val="18"/>
              </w:rPr>
              <w:t>Protects dense NVMe/database racks and optional GPU nodes.</w:t>
            </w:r>
          </w:p>
        </w:tc>
      </w:tr>
      <w:tr>
        <w:tc>
          <w:tcPr>
            <w:tcW w:type="dxa" w:w="3324"/>
            <w:vAlign w:val="center"/>
          </w:tcPr>
          <w:p>
            <w:pPr>
              <w:jc w:val="left"/>
            </w:pPr>
            <w:r/>
            <w:r>
              <w:rPr>
                <w:rFonts w:ascii="DejaVu Sans" w:hAnsi="DejaVu Sans"/>
                <w:b w:val="0"/>
                <w:color w:val="1E293B"/>
                <w:sz w:val="18"/>
              </w:rPr>
              <w:t>Racks</w:t>
            </w:r>
          </w:p>
        </w:tc>
        <w:tc>
          <w:tcPr>
            <w:tcW w:type="dxa" w:w="3324"/>
            <w:vAlign w:val="center"/>
          </w:tcPr>
          <w:p>
            <w:pPr>
              <w:jc w:val="left"/>
            </w:pPr>
            <w:r/>
            <w:r>
              <w:rPr>
                <w:rFonts w:ascii="DejaVu Sans" w:hAnsi="DejaVu Sans"/>
                <w:b w:val="0"/>
                <w:color w:val="1E293B"/>
                <w:sz w:val="18"/>
              </w:rPr>
              <w:t>42U lockable racks, front/rear access control, cable management, labelled power/network paths</w:t>
            </w:r>
          </w:p>
        </w:tc>
        <w:tc>
          <w:tcPr>
            <w:tcW w:type="dxa" w:w="3324"/>
            <w:vAlign w:val="center"/>
          </w:tcPr>
          <w:p>
            <w:pPr>
              <w:jc w:val="left"/>
            </w:pPr>
            <w:r/>
            <w:r>
              <w:rPr>
                <w:rFonts w:ascii="DejaVu Sans" w:hAnsi="DejaVu Sans"/>
                <w:b w:val="0"/>
                <w:color w:val="1E293B"/>
                <w:sz w:val="18"/>
              </w:rPr>
              <w:t>Supports auditability and maintainability.</w:t>
            </w:r>
          </w:p>
        </w:tc>
      </w:tr>
      <w:tr>
        <w:tc>
          <w:tcPr>
            <w:tcW w:type="dxa" w:w="3324"/>
            <w:vAlign w:val="center"/>
          </w:tcPr>
          <w:p>
            <w:pPr>
              <w:jc w:val="left"/>
            </w:pPr>
            <w:r/>
            <w:r>
              <w:rPr>
                <w:rFonts w:ascii="DejaVu Sans" w:hAnsi="DejaVu Sans"/>
                <w:b w:val="0"/>
                <w:color w:val="1E293B"/>
                <w:sz w:val="18"/>
              </w:rPr>
              <w:t>Physical access</w:t>
            </w:r>
          </w:p>
        </w:tc>
        <w:tc>
          <w:tcPr>
            <w:tcW w:type="dxa" w:w="3324"/>
            <w:vAlign w:val="center"/>
          </w:tcPr>
          <w:p>
            <w:pPr>
              <w:jc w:val="left"/>
            </w:pPr>
            <w:r/>
            <w:r>
              <w:rPr>
                <w:rFonts w:ascii="DejaVu Sans" w:hAnsi="DejaVu Sans"/>
                <w:b w:val="0"/>
                <w:color w:val="1E293B"/>
                <w:sz w:val="18"/>
              </w:rPr>
              <w:t>CCTV, access logs, two-person integrity for HSM and transfer room operations</w:t>
            </w:r>
          </w:p>
        </w:tc>
        <w:tc>
          <w:tcPr>
            <w:tcW w:type="dxa" w:w="3324"/>
            <w:vAlign w:val="center"/>
          </w:tcPr>
          <w:p>
            <w:pPr>
              <w:jc w:val="left"/>
            </w:pPr>
            <w:r/>
            <w:r>
              <w:rPr>
                <w:rFonts w:ascii="DejaVu Sans" w:hAnsi="DejaVu Sans"/>
                <w:b w:val="0"/>
                <w:color w:val="1E293B"/>
                <w:sz w:val="18"/>
              </w:rPr>
              <w:t>Required for critical operations and sovereign evidence chain.</w:t>
            </w:r>
          </w:p>
        </w:tc>
      </w:tr>
      <w:tr>
        <w:tc>
          <w:tcPr>
            <w:tcW w:type="dxa" w:w="3324"/>
            <w:vAlign w:val="center"/>
          </w:tcPr>
          <w:p>
            <w:pPr>
              <w:jc w:val="left"/>
            </w:pPr>
            <w:r/>
            <w:r>
              <w:rPr>
                <w:rFonts w:ascii="DejaVu Sans" w:hAnsi="DejaVu Sans"/>
                <w:b w:val="0"/>
                <w:color w:val="1E293B"/>
                <w:sz w:val="18"/>
              </w:rPr>
              <w:t>Fire protection</w:t>
            </w:r>
          </w:p>
        </w:tc>
        <w:tc>
          <w:tcPr>
            <w:tcW w:type="dxa" w:w="3324"/>
            <w:vAlign w:val="center"/>
          </w:tcPr>
          <w:p>
            <w:pPr>
              <w:jc w:val="left"/>
            </w:pPr>
            <w:r/>
            <w:r>
              <w:rPr>
                <w:rFonts w:ascii="DejaVu Sans" w:hAnsi="DejaVu Sans"/>
                <w:b w:val="0"/>
                <w:color w:val="1E293B"/>
                <w:sz w:val="18"/>
              </w:rPr>
              <w:t>Clean-agent suppression, zoned detection, emergency shutdown procedures</w:t>
            </w:r>
          </w:p>
        </w:tc>
        <w:tc>
          <w:tcPr>
            <w:tcW w:type="dxa" w:w="3324"/>
            <w:vAlign w:val="center"/>
          </w:tcPr>
          <w:p>
            <w:pPr>
              <w:jc w:val="left"/>
            </w:pPr>
            <w:r/>
            <w:r>
              <w:rPr>
                <w:rFonts w:ascii="DejaVu Sans" w:hAnsi="DejaVu Sans"/>
                <w:b w:val="0"/>
                <w:color w:val="1E293B"/>
                <w:sz w:val="18"/>
              </w:rPr>
              <w:t>Protects electronics without water damage.</w:t>
            </w:r>
          </w:p>
        </w:tc>
      </w:tr>
      <w:tr>
        <w:tc>
          <w:tcPr>
            <w:tcW w:type="dxa" w:w="3324"/>
            <w:vAlign w:val="center"/>
          </w:tcPr>
          <w:p>
            <w:pPr>
              <w:jc w:val="left"/>
            </w:pPr>
            <w:r/>
            <w:r>
              <w:rPr>
                <w:rFonts w:ascii="DejaVu Sans" w:hAnsi="DejaVu Sans"/>
                <w:b w:val="0"/>
                <w:color w:val="1E293B"/>
                <w:sz w:val="18"/>
              </w:rPr>
              <w:t>Room separation</w:t>
            </w:r>
          </w:p>
        </w:tc>
        <w:tc>
          <w:tcPr>
            <w:tcW w:type="dxa" w:w="3324"/>
            <w:vAlign w:val="center"/>
          </w:tcPr>
          <w:p>
            <w:pPr>
              <w:jc w:val="left"/>
            </w:pPr>
            <w:r/>
            <w:r>
              <w:rPr>
                <w:rFonts w:ascii="DejaVu Sans" w:hAnsi="DejaVu Sans"/>
                <w:b w:val="0"/>
                <w:color w:val="1E293B"/>
                <w:sz w:val="18"/>
              </w:rPr>
              <w:t>Separate rooms or cages for production, OOB, security enclave, and transfer room</w:t>
            </w:r>
          </w:p>
        </w:tc>
        <w:tc>
          <w:tcPr>
            <w:tcW w:type="dxa" w:w="3324"/>
            <w:vAlign w:val="center"/>
          </w:tcPr>
          <w:p>
            <w:pPr>
              <w:jc w:val="left"/>
            </w:pPr>
            <w:r/>
            <w:r>
              <w:rPr>
                <w:rFonts w:ascii="DejaVu Sans" w:hAnsi="DejaVu Sans"/>
                <w:b w:val="0"/>
                <w:color w:val="1E293B"/>
                <w:sz w:val="18"/>
              </w:rPr>
              <w:t>Reduces insider risk and accidental cross-connect.</w:t>
            </w:r>
          </w:p>
        </w:tc>
      </w:tr>
    </w:tbl>
    <w:p/>
    <w:p>
      <w:pPr/>
      <w:r>
        <w:t>Indicative rack power planning:</w:t>
      </w:r>
    </w:p>
    <w:p>
      <w:pPr>
        <w:pStyle w:val="ListBullet"/>
        <w:ind w:left="0"/>
      </w:pPr>
      <w:r>
        <w:t>Control/network rack: 4–6 kW.</w:t>
      </w:r>
    </w:p>
    <w:p>
      <w:pPr>
        <w:pStyle w:val="ListBullet"/>
        <w:ind w:left="0"/>
      </w:pPr>
      <w:r>
        <w:t>Governance compute rack: 6–12 kW depending on GPU density.</w:t>
      </w:r>
    </w:p>
    <w:p>
      <w:pPr>
        <w:pStyle w:val="ListBullet"/>
        <w:ind w:left="0"/>
      </w:pPr>
      <w:r>
        <w:t>Data core rack: 8–14 kW due to NVMe-rich databases and brokers.</w:t>
      </w:r>
    </w:p>
    <w:p>
      <w:pPr>
        <w:pStyle w:val="ListBullet"/>
        <w:ind w:left="0"/>
      </w:pPr>
      <w:r>
        <w:t>Archive/ops rack: 5–9 kW.</w:t>
      </w:r>
    </w:p>
    <w:p>
      <w:pPr>
        <w:pStyle w:val="ListBullet"/>
        <w:ind w:left="0"/>
      </w:pPr>
      <w:r>
        <w:t>Design room and cooling for peak load plus 20% headroom.</w:t>
      </w:r>
    </w:p>
    <w:p>
      <w:pPr>
        <w:pStyle w:val="Heading1"/>
      </w:pPr>
      <w:r>
        <w:t>11. Availability, disaster recovery, and operational targets</w:t>
      </w:r>
    </w:p>
    <w:p>
      <w:pPr>
        <w:pStyle w:val="Heading3"/>
      </w:pPr>
      <w:r>
        <w:t>Operational targets</w:t>
      </w:r>
    </w:p>
    <w:tbl>
      <w:tblPr>
        <w:tblStyle w:val="TableGrid"/>
        <w:tblW w:type="auto" w:w="0"/>
        <w:jc w:val="center"/>
        <w:tblLook w:firstColumn="1" w:firstRow="1" w:lastColumn="0" w:lastRow="0" w:noHBand="0" w:noVBand="1" w:val="04A0"/>
      </w:tblPr>
      <w:tblGrid>
        <w:gridCol w:w="3324"/>
        <w:gridCol w:w="3324"/>
        <w:gridCol w:w="3324"/>
      </w:tblGrid>
      <w:tr>
        <w:tc>
          <w:tcPr>
            <w:tcW w:type="dxa" w:w="3324"/>
            <w:vAlign w:val="center"/>
            <w:shd w:fill="102A43"/>
          </w:tcPr>
          <w:p>
            <w:pPr>
              <w:jc w:val="left"/>
            </w:pPr>
            <w:r/>
            <w:r>
              <w:rPr>
                <w:rFonts w:ascii="DejaVu Sans" w:hAnsi="DejaVu Sans"/>
                <w:b/>
                <w:color w:val="FFFFFF"/>
                <w:sz w:val="19"/>
              </w:rPr>
              <w:t>Metric</w:t>
            </w:r>
          </w:p>
        </w:tc>
        <w:tc>
          <w:tcPr>
            <w:tcW w:type="dxa" w:w="3324"/>
            <w:vAlign w:val="center"/>
            <w:shd w:fill="102A43"/>
          </w:tcPr>
          <w:p>
            <w:pPr>
              <w:jc w:val="left"/>
            </w:pPr>
            <w:r/>
            <w:r>
              <w:rPr>
                <w:rFonts w:ascii="DejaVu Sans" w:hAnsi="DejaVu Sans"/>
                <w:b/>
                <w:color w:val="FFFFFF"/>
                <w:sz w:val="19"/>
              </w:rPr>
              <w:t>Target</w:t>
            </w:r>
          </w:p>
        </w:tc>
        <w:tc>
          <w:tcPr>
            <w:tcW w:type="dxa" w:w="3324"/>
            <w:vAlign w:val="center"/>
            <w:shd w:fill="102A43"/>
          </w:tcPr>
          <w:p>
            <w:pPr>
              <w:jc w:val="left"/>
            </w:pPr>
            <w:r/>
            <w:r>
              <w:rPr>
                <w:rFonts w:ascii="DejaVu Sans" w:hAnsi="DejaVu Sans"/>
                <w:b/>
                <w:color w:val="FFFFFF"/>
                <w:sz w:val="19"/>
              </w:rPr>
              <w:t>Hardware / architecture implication</w:t>
            </w:r>
          </w:p>
        </w:tc>
      </w:tr>
      <w:tr>
        <w:tc>
          <w:tcPr>
            <w:tcW w:type="dxa" w:w="3324"/>
            <w:vAlign w:val="center"/>
          </w:tcPr>
          <w:p>
            <w:pPr>
              <w:jc w:val="left"/>
            </w:pPr>
            <w:r/>
            <w:r>
              <w:rPr>
                <w:rFonts w:ascii="DejaVu Sans" w:hAnsi="DejaVu Sans"/>
                <w:b w:val="0"/>
                <w:color w:val="1E293B"/>
                <w:sz w:val="18"/>
              </w:rPr>
              <w:t>Platform uptime</w:t>
            </w:r>
          </w:p>
        </w:tc>
        <w:tc>
          <w:tcPr>
            <w:tcW w:type="dxa" w:w="3324"/>
            <w:vAlign w:val="center"/>
          </w:tcPr>
          <w:p>
            <w:pPr>
              <w:jc w:val="left"/>
            </w:pPr>
            <w:r/>
            <w:r>
              <w:rPr>
                <w:rFonts w:ascii="DejaVu Sans" w:hAnsi="DejaVu Sans"/>
                <w:b w:val="0"/>
                <w:color w:val="1E293B"/>
                <w:sz w:val="18"/>
              </w:rPr>
              <w:t>99.9% enterprise / 99.95% backbone</w:t>
            </w:r>
          </w:p>
        </w:tc>
        <w:tc>
          <w:tcPr>
            <w:tcW w:type="dxa" w:w="3324"/>
            <w:vAlign w:val="center"/>
          </w:tcPr>
          <w:p>
            <w:pPr>
              <w:jc w:val="left"/>
            </w:pPr>
            <w:r/>
            <w:r>
              <w:rPr>
                <w:rFonts w:ascii="DejaVu Sans" w:hAnsi="DejaVu Sans"/>
                <w:b w:val="0"/>
                <w:color w:val="1E293B"/>
                <w:sz w:val="18"/>
              </w:rPr>
              <w:t>At least two fault domains, rolling upgrades, HA network edge, redundant HSM and storage paths</w:t>
            </w:r>
          </w:p>
        </w:tc>
      </w:tr>
      <w:tr>
        <w:tc>
          <w:tcPr>
            <w:tcW w:type="dxa" w:w="3324"/>
            <w:vAlign w:val="center"/>
          </w:tcPr>
          <w:p>
            <w:pPr>
              <w:jc w:val="left"/>
            </w:pPr>
            <w:r/>
            <w:r>
              <w:rPr>
                <w:rFonts w:ascii="DejaVu Sans" w:hAnsi="DejaVu Sans"/>
                <w:b w:val="0"/>
                <w:color w:val="1E293B"/>
                <w:sz w:val="18"/>
              </w:rPr>
              <w:t>Governance latency overhead</w:t>
            </w:r>
          </w:p>
        </w:tc>
        <w:tc>
          <w:tcPr>
            <w:tcW w:type="dxa" w:w="3324"/>
            <w:vAlign w:val="center"/>
          </w:tcPr>
          <w:p>
            <w:pPr>
              <w:jc w:val="left"/>
            </w:pPr>
            <w:r/>
            <w:r>
              <w:rPr>
                <w:rFonts w:ascii="DejaVu Sans" w:hAnsi="DejaVu Sans"/>
                <w:b w:val="0"/>
                <w:color w:val="1E293B"/>
                <w:sz w:val="18"/>
              </w:rPr>
              <w:t>&lt;50 ms for synchronous path</w:t>
            </w:r>
          </w:p>
        </w:tc>
        <w:tc>
          <w:tcPr>
            <w:tcW w:type="dxa" w:w="3324"/>
            <w:vAlign w:val="center"/>
          </w:tcPr>
          <w:p>
            <w:pPr>
              <w:jc w:val="left"/>
            </w:pPr>
            <w:r/>
            <w:r>
              <w:rPr>
                <w:rFonts w:ascii="DejaVu Sans" w:hAnsi="DejaVu Sans"/>
                <w:b w:val="0"/>
                <w:color w:val="1E293B"/>
                <w:sz w:val="18"/>
              </w:rPr>
              <w:t>Keep policy engines on fast worker nodes close to ingress; reserve CPU headroom</w:t>
            </w:r>
          </w:p>
        </w:tc>
      </w:tr>
      <w:tr>
        <w:tc>
          <w:tcPr>
            <w:tcW w:type="dxa" w:w="3324"/>
            <w:vAlign w:val="center"/>
          </w:tcPr>
          <w:p>
            <w:pPr>
              <w:jc w:val="left"/>
            </w:pPr>
            <w:r/>
            <w:r>
              <w:rPr>
                <w:rFonts w:ascii="DejaVu Sans" w:hAnsi="DejaVu Sans"/>
                <w:b w:val="0"/>
                <w:color w:val="1E293B"/>
                <w:sz w:val="18"/>
              </w:rPr>
              <w:t>Audit verification</w:t>
            </w:r>
          </w:p>
        </w:tc>
        <w:tc>
          <w:tcPr>
            <w:tcW w:type="dxa" w:w="3324"/>
            <w:vAlign w:val="center"/>
          </w:tcPr>
          <w:p>
            <w:pPr>
              <w:jc w:val="left"/>
            </w:pPr>
            <w:r/>
            <w:r>
              <w:rPr>
                <w:rFonts w:ascii="DejaVu Sans" w:hAnsi="DejaVu Sans"/>
                <w:b w:val="0"/>
                <w:color w:val="1E293B"/>
                <w:sz w:val="18"/>
              </w:rPr>
              <w:t>&lt;500 ms typical</w:t>
            </w:r>
          </w:p>
        </w:tc>
        <w:tc>
          <w:tcPr>
            <w:tcW w:type="dxa" w:w="3324"/>
            <w:vAlign w:val="center"/>
          </w:tcPr>
          <w:p>
            <w:pPr>
              <w:jc w:val="left"/>
            </w:pPr>
            <w:r/>
            <w:r>
              <w:rPr>
                <w:rFonts w:ascii="DejaVu Sans" w:hAnsi="DejaVu Sans"/>
                <w:b w:val="0"/>
                <w:color w:val="1E293B"/>
                <w:sz w:val="18"/>
              </w:rPr>
              <w:t>Hot Cassandra partitions, Merkle index in fast store, low-latency search metadata</w:t>
            </w:r>
          </w:p>
        </w:tc>
      </w:tr>
      <w:tr>
        <w:tc>
          <w:tcPr>
            <w:tcW w:type="dxa" w:w="3324"/>
            <w:vAlign w:val="center"/>
          </w:tcPr>
          <w:p>
            <w:pPr>
              <w:jc w:val="left"/>
            </w:pPr>
            <w:r/>
            <w:r>
              <w:rPr>
                <w:rFonts w:ascii="DejaVu Sans" w:hAnsi="DejaVu Sans"/>
                <w:b w:val="0"/>
                <w:color w:val="1E293B"/>
                <w:sz w:val="18"/>
              </w:rPr>
              <w:t>Standard compliance report</w:t>
            </w:r>
          </w:p>
        </w:tc>
        <w:tc>
          <w:tcPr>
            <w:tcW w:type="dxa" w:w="3324"/>
            <w:vAlign w:val="center"/>
          </w:tcPr>
          <w:p>
            <w:pPr>
              <w:jc w:val="left"/>
            </w:pPr>
            <w:r/>
            <w:r>
              <w:rPr>
                <w:rFonts w:ascii="DejaVu Sans" w:hAnsi="DejaVu Sans"/>
                <w:b w:val="0"/>
                <w:color w:val="1E293B"/>
                <w:sz w:val="18"/>
              </w:rPr>
              <w:t>&lt;60 s</w:t>
            </w:r>
          </w:p>
        </w:tc>
        <w:tc>
          <w:tcPr>
            <w:tcW w:type="dxa" w:w="3324"/>
            <w:vAlign w:val="center"/>
          </w:tcPr>
          <w:p>
            <w:pPr>
              <w:jc w:val="left"/>
            </w:pPr>
            <w:r/>
            <w:r>
              <w:rPr>
                <w:rFonts w:ascii="DejaVu Sans" w:hAnsi="DejaVu Sans"/>
                <w:b w:val="0"/>
                <w:color w:val="1E293B"/>
                <w:sz w:val="18"/>
              </w:rPr>
              <w:t>Parallel report workers, indexed data, hot OpenSearch and PostgreSQL metadata</w:t>
            </w:r>
          </w:p>
        </w:tc>
      </w:tr>
      <w:tr>
        <w:tc>
          <w:tcPr>
            <w:tcW w:type="dxa" w:w="3324"/>
            <w:vAlign w:val="center"/>
          </w:tcPr>
          <w:p>
            <w:pPr>
              <w:jc w:val="left"/>
            </w:pPr>
            <w:r/>
            <w:r>
              <w:rPr>
                <w:rFonts w:ascii="DejaVu Sans" w:hAnsi="DejaVu Sans"/>
                <w:b w:val="0"/>
                <w:color w:val="1E293B"/>
                <w:sz w:val="18"/>
              </w:rPr>
              <w:t>Full audit extract (12 months)</w:t>
            </w:r>
          </w:p>
        </w:tc>
        <w:tc>
          <w:tcPr>
            <w:tcW w:type="dxa" w:w="3324"/>
            <w:vAlign w:val="center"/>
          </w:tcPr>
          <w:p>
            <w:pPr>
              <w:jc w:val="left"/>
            </w:pPr>
            <w:r/>
            <w:r>
              <w:rPr>
                <w:rFonts w:ascii="DejaVu Sans" w:hAnsi="DejaVu Sans"/>
                <w:b w:val="0"/>
                <w:color w:val="1E293B"/>
                <w:sz w:val="18"/>
              </w:rPr>
              <w:t>&lt;10 min</w:t>
            </w:r>
          </w:p>
        </w:tc>
        <w:tc>
          <w:tcPr>
            <w:tcW w:type="dxa" w:w="3324"/>
            <w:vAlign w:val="center"/>
          </w:tcPr>
          <w:p>
            <w:pPr>
              <w:jc w:val="left"/>
            </w:pPr>
            <w:r/>
            <w:r>
              <w:rPr>
                <w:rFonts w:ascii="DejaVu Sans" w:hAnsi="DejaVu Sans"/>
                <w:b w:val="0"/>
                <w:color w:val="1E293B"/>
                <w:sz w:val="18"/>
              </w:rPr>
              <w:t>Archive indexing, batch export workers, object-store staging area</w:t>
            </w:r>
          </w:p>
        </w:tc>
      </w:tr>
      <w:tr>
        <w:tc>
          <w:tcPr>
            <w:tcW w:type="dxa" w:w="3324"/>
            <w:vAlign w:val="center"/>
          </w:tcPr>
          <w:p>
            <w:pPr>
              <w:jc w:val="left"/>
            </w:pPr>
            <w:r/>
            <w:r>
              <w:rPr>
                <w:rFonts w:ascii="DejaVu Sans" w:hAnsi="DejaVu Sans"/>
                <w:b w:val="0"/>
                <w:color w:val="1E293B"/>
                <w:sz w:val="18"/>
              </w:rPr>
              <w:t>Incident report</w:t>
            </w:r>
          </w:p>
        </w:tc>
        <w:tc>
          <w:tcPr>
            <w:tcW w:type="dxa" w:w="3324"/>
            <w:vAlign w:val="center"/>
          </w:tcPr>
          <w:p>
            <w:pPr>
              <w:jc w:val="left"/>
            </w:pPr>
            <w:r/>
            <w:r>
              <w:rPr>
                <w:rFonts w:ascii="DejaVu Sans" w:hAnsi="DejaVu Sans"/>
                <w:b w:val="0"/>
                <w:color w:val="1E293B"/>
                <w:sz w:val="18"/>
              </w:rPr>
              <w:t>&lt;5 min</w:t>
            </w:r>
          </w:p>
        </w:tc>
        <w:tc>
          <w:tcPr>
            <w:tcW w:type="dxa" w:w="3324"/>
            <w:vAlign w:val="center"/>
          </w:tcPr>
          <w:p>
            <w:pPr>
              <w:jc w:val="left"/>
            </w:pPr>
            <w:r/>
            <w:r>
              <w:rPr>
                <w:rFonts w:ascii="DejaVu Sans" w:hAnsi="DejaVu Sans"/>
                <w:b w:val="0"/>
                <w:color w:val="1E293B"/>
                <w:sz w:val="18"/>
              </w:rPr>
              <w:t>Predefined templates, hot metadata, queued signing service</w:t>
            </w:r>
          </w:p>
        </w:tc>
      </w:tr>
    </w:tbl>
    <w:p/>
    <w:p>
      <w:pPr>
        <w:pStyle w:val="ListBullet"/>
        <w:ind w:left="0"/>
      </w:pPr>
      <w:r>
        <w:t>Primary and secondary sites should each hold enough independent capacity to run the essential governance functions during the loss of the other site.</w:t>
      </w:r>
    </w:p>
    <w:p>
      <w:pPr>
        <w:pStyle w:val="ListBullet"/>
        <w:ind w:left="0"/>
      </w:pPr>
      <w:r>
        <w:t>Use reserved capacity rather than running every cluster at 80–90% utilisation. For failover-sensitive clusters, stay below 60% steady-state utilisation.</w:t>
      </w:r>
    </w:p>
    <w:p>
      <w:pPr>
        <w:pStyle w:val="ListBullet"/>
        <w:ind w:left="0"/>
      </w:pPr>
      <w:r>
        <w:t>Run quarterly failover exercises for PostgreSQL, Kafka, control-plane recovery, HSM switchover, and offline package import.</w:t>
      </w:r>
    </w:p>
    <w:p>
      <w:pPr>
        <w:pStyle w:val="Heading1"/>
      </w:pPr>
      <w:r>
        <w:t>12. Reference site build: primary, secondary, and secure build enclave</w:t>
      </w:r>
    </w:p>
    <w:p>
      <w:r>
        <w:drawing>
          <wp:inline xmlns:a="http://schemas.openxmlformats.org/drawingml/2006/main" xmlns:pic="http://schemas.openxmlformats.org/drawingml/2006/picture">
            <wp:extent cx="6217920" cy="3497580"/>
            <wp:docPr id="2" name="Picture 2"/>
            <wp:cNvGraphicFramePr>
              <a:graphicFrameLocks noChangeAspect="1"/>
            </wp:cNvGraphicFramePr>
            <a:graphic>
              <a:graphicData uri="http://schemas.openxmlformats.org/drawingml/2006/picture">
                <pic:pic>
                  <pic:nvPicPr>
                    <pic:cNvPr id="0" name="udoc_rack_layout.png"/>
                    <pic:cNvPicPr/>
                  </pic:nvPicPr>
                  <pic:blipFill>
                    <a:blip r:embed="rId10"/>
                    <a:stretch>
                      <a:fillRect/>
                    </a:stretch>
                  </pic:blipFill>
                  <pic:spPr>
                    <a:xfrm>
                      <a:off x="0" y="0"/>
                      <a:ext cx="6217920" cy="3497580"/>
                    </a:xfrm>
                    <a:prstGeom prst="rect"/>
                  </pic:spPr>
                </pic:pic>
              </a:graphicData>
            </a:graphic>
          </wp:inline>
        </w:drawing>
      </w:r>
    </w:p>
    <w:p>
      <w:pPr>
        <w:jc w:val="center"/>
      </w:pPr>
      <w:r>
        <w:t>Figure 2. Illustrative four-rack primary-site layout.</w:t>
      </w:r>
    </w:p>
    <w:p>
      <w:pPr/>
      <w:r>
        <w:t>A serious national deployment should be built from three coordinated environments:</w:t>
      </w:r>
    </w:p>
    <w:p>
      <w:pPr>
        <w:pStyle w:val="ListNumber"/>
      </w:pPr>
      <w:r>
        <w:t>Primary production site. Runs the live control plane, governance plane, data operations core, and security plane.</w:t>
      </w:r>
    </w:p>
    <w:p>
      <w:pPr>
        <w:pStyle w:val="ListNumber"/>
      </w:pPr>
      <w:r>
        <w:t>Secondary production or DR site. Maintains replicated or mirrored capacity for failover, restore, and continuity. It should not be a passive afterthought; it must be testable and promotable.</w:t>
      </w:r>
    </w:p>
    <w:p>
      <w:pPr>
        <w:pStyle w:val="ListNumber"/>
      </w:pPr>
      <w:r>
        <w:t>Secure build/signing enclave. Stays separated from production, especially for air-gapped deployments, and produces all signed release material.</w:t>
      </w:r>
    </w:p>
    <w:p>
      <w:pPr>
        <w:pStyle w:val="Heading3"/>
      </w:pPr>
      <w:r>
        <w:t>Reference site summary</w:t>
      </w:r>
    </w:p>
    <w:tbl>
      <w:tblPr>
        <w:tblStyle w:val="TableGrid"/>
        <w:tblW w:type="auto" w:w="0"/>
        <w:jc w:val="center"/>
        <w:tblLook w:firstColumn="1" w:firstRow="1" w:lastColumn="0" w:lastRow="0" w:noHBand="0" w:noVBand="1" w:val="04A0"/>
      </w:tblPr>
      <w:tblGrid>
        <w:gridCol w:w="2493"/>
        <w:gridCol w:w="2493"/>
        <w:gridCol w:w="2493"/>
        <w:gridCol w:w="2493"/>
      </w:tblGrid>
      <w:tr>
        <w:tc>
          <w:tcPr>
            <w:tcW w:type="dxa" w:w="2493"/>
            <w:vAlign w:val="center"/>
            <w:shd w:fill="102A43"/>
          </w:tcPr>
          <w:p>
            <w:pPr>
              <w:jc w:val="left"/>
            </w:pPr>
            <w:r/>
            <w:r>
              <w:rPr>
                <w:rFonts w:ascii="DejaVu Sans" w:hAnsi="DejaVu Sans"/>
                <w:b/>
                <w:color w:val="FFFFFF"/>
                <w:sz w:val="19"/>
              </w:rPr>
              <w:t>Environment</w:t>
            </w:r>
          </w:p>
        </w:tc>
        <w:tc>
          <w:tcPr>
            <w:tcW w:type="dxa" w:w="2493"/>
            <w:vAlign w:val="center"/>
            <w:shd w:fill="102A43"/>
          </w:tcPr>
          <w:p>
            <w:pPr>
              <w:jc w:val="left"/>
            </w:pPr>
            <w:r/>
            <w:r>
              <w:rPr>
                <w:rFonts w:ascii="DejaVu Sans" w:hAnsi="DejaVu Sans"/>
                <w:b/>
                <w:color w:val="FFFFFF"/>
                <w:sz w:val="19"/>
              </w:rPr>
              <w:t>Indicative racks</w:t>
            </w:r>
          </w:p>
        </w:tc>
        <w:tc>
          <w:tcPr>
            <w:tcW w:type="dxa" w:w="2493"/>
            <w:vAlign w:val="center"/>
            <w:shd w:fill="102A43"/>
          </w:tcPr>
          <w:p>
            <w:pPr>
              <w:jc w:val="left"/>
            </w:pPr>
            <w:r/>
            <w:r>
              <w:rPr>
                <w:rFonts w:ascii="DejaVu Sans" w:hAnsi="DejaVu Sans"/>
                <w:b/>
                <w:color w:val="FFFFFF"/>
                <w:sz w:val="19"/>
              </w:rPr>
              <w:t>Key systems</w:t>
            </w:r>
          </w:p>
        </w:tc>
        <w:tc>
          <w:tcPr>
            <w:tcW w:type="dxa" w:w="2493"/>
            <w:vAlign w:val="center"/>
            <w:shd w:fill="102A43"/>
          </w:tcPr>
          <w:p>
            <w:pPr>
              <w:jc w:val="left"/>
            </w:pPr>
            <w:r/>
            <w:r>
              <w:rPr>
                <w:rFonts w:ascii="DejaVu Sans" w:hAnsi="DejaVu Sans"/>
                <w:b/>
                <w:color w:val="FFFFFF"/>
                <w:sz w:val="19"/>
              </w:rPr>
              <w:t>Notes</w:t>
            </w:r>
          </w:p>
        </w:tc>
      </w:tr>
      <w:tr>
        <w:tc>
          <w:tcPr>
            <w:tcW w:type="dxa" w:w="2493"/>
            <w:vAlign w:val="center"/>
          </w:tcPr>
          <w:p>
            <w:pPr>
              <w:jc w:val="left"/>
            </w:pPr>
            <w:r/>
            <w:r>
              <w:rPr>
                <w:rFonts w:ascii="DejaVu Sans" w:hAnsi="DejaVu Sans"/>
                <w:b w:val="0"/>
                <w:color w:val="1E293B"/>
                <w:sz w:val="18"/>
              </w:rPr>
              <w:t>Primary site</w:t>
            </w:r>
          </w:p>
        </w:tc>
        <w:tc>
          <w:tcPr>
            <w:tcW w:type="dxa" w:w="2493"/>
            <w:vAlign w:val="center"/>
          </w:tcPr>
          <w:p>
            <w:pPr>
              <w:jc w:val="left"/>
            </w:pPr>
            <w:r/>
            <w:r>
              <w:rPr>
                <w:rFonts w:ascii="DejaVu Sans" w:hAnsi="DejaVu Sans"/>
                <w:b w:val="0"/>
                <w:color w:val="1E293B"/>
                <w:sz w:val="18"/>
              </w:rPr>
              <w:t>4 racks</w:t>
            </w:r>
          </w:p>
        </w:tc>
        <w:tc>
          <w:tcPr>
            <w:tcW w:type="dxa" w:w="2493"/>
            <w:vAlign w:val="center"/>
          </w:tcPr>
          <w:p>
            <w:pPr>
              <w:jc w:val="left"/>
            </w:pPr>
            <w:r/>
            <w:r>
              <w:rPr>
                <w:rFonts w:ascii="DejaVu Sans" w:hAnsi="DejaVu Sans"/>
                <w:b w:val="0"/>
                <w:color w:val="1E293B"/>
                <w:sz w:val="18"/>
              </w:rPr>
              <w:t>Full stack including HSM, data core, archive, ops</w:t>
            </w:r>
          </w:p>
        </w:tc>
        <w:tc>
          <w:tcPr>
            <w:tcW w:type="dxa" w:w="2493"/>
            <w:vAlign w:val="center"/>
          </w:tcPr>
          <w:p>
            <w:pPr>
              <w:jc w:val="left"/>
            </w:pPr>
            <w:r/>
            <w:r>
              <w:rPr>
                <w:rFonts w:ascii="DejaVu Sans" w:hAnsi="DejaVu Sans"/>
                <w:b w:val="0"/>
                <w:color w:val="1E293B"/>
                <w:sz w:val="18"/>
              </w:rPr>
              <w:t>Scale to 5–6 racks if multiple ministries or heavy model forensics are expected.</w:t>
            </w:r>
          </w:p>
        </w:tc>
      </w:tr>
      <w:tr>
        <w:tc>
          <w:tcPr>
            <w:tcW w:type="dxa" w:w="2493"/>
            <w:vAlign w:val="center"/>
          </w:tcPr>
          <w:p>
            <w:pPr>
              <w:jc w:val="left"/>
            </w:pPr>
            <w:r/>
            <w:r>
              <w:rPr>
                <w:rFonts w:ascii="DejaVu Sans" w:hAnsi="DejaVu Sans"/>
                <w:b w:val="0"/>
                <w:color w:val="1E293B"/>
                <w:sz w:val="18"/>
              </w:rPr>
              <w:t>Secondary site</w:t>
            </w:r>
          </w:p>
        </w:tc>
        <w:tc>
          <w:tcPr>
            <w:tcW w:type="dxa" w:w="2493"/>
            <w:vAlign w:val="center"/>
          </w:tcPr>
          <w:p>
            <w:pPr>
              <w:jc w:val="left"/>
            </w:pPr>
            <w:r/>
            <w:r>
              <w:rPr>
                <w:rFonts w:ascii="DejaVu Sans" w:hAnsi="DejaVu Sans"/>
                <w:b w:val="0"/>
                <w:color w:val="1E293B"/>
                <w:sz w:val="18"/>
              </w:rPr>
              <w:t>2–3 racks</w:t>
            </w:r>
          </w:p>
        </w:tc>
        <w:tc>
          <w:tcPr>
            <w:tcW w:type="dxa" w:w="2493"/>
            <w:vAlign w:val="center"/>
          </w:tcPr>
          <w:p>
            <w:pPr>
              <w:jc w:val="left"/>
            </w:pPr>
            <w:r/>
            <w:r>
              <w:rPr>
                <w:rFonts w:ascii="DejaVu Sans" w:hAnsi="DejaVu Sans"/>
                <w:b w:val="0"/>
                <w:color w:val="1E293B"/>
                <w:sz w:val="18"/>
              </w:rPr>
              <w:t>Reduced mirror of control, PG, Kafka, Cassandra, HSM, archive</w:t>
            </w:r>
          </w:p>
        </w:tc>
        <w:tc>
          <w:tcPr>
            <w:tcW w:type="dxa" w:w="2493"/>
            <w:vAlign w:val="center"/>
          </w:tcPr>
          <w:p>
            <w:pPr>
              <w:jc w:val="left"/>
            </w:pPr>
            <w:r/>
            <w:r>
              <w:rPr>
                <w:rFonts w:ascii="DejaVu Sans" w:hAnsi="DejaVu Sans"/>
                <w:b w:val="0"/>
                <w:color w:val="1E293B"/>
                <w:sz w:val="18"/>
              </w:rPr>
              <w:t>May omit GPU and some OpenSearch tiers initially.</w:t>
            </w:r>
          </w:p>
        </w:tc>
      </w:tr>
      <w:tr>
        <w:tc>
          <w:tcPr>
            <w:tcW w:type="dxa" w:w="2493"/>
            <w:vAlign w:val="center"/>
          </w:tcPr>
          <w:p>
            <w:pPr>
              <w:jc w:val="left"/>
            </w:pPr>
            <w:r/>
            <w:r>
              <w:rPr>
                <w:rFonts w:ascii="DejaVu Sans" w:hAnsi="DejaVu Sans"/>
                <w:b w:val="0"/>
                <w:color w:val="1E293B"/>
                <w:sz w:val="18"/>
              </w:rPr>
              <w:t>Secure build enclave</w:t>
            </w:r>
          </w:p>
        </w:tc>
        <w:tc>
          <w:tcPr>
            <w:tcW w:type="dxa" w:w="2493"/>
            <w:vAlign w:val="center"/>
          </w:tcPr>
          <w:p>
            <w:pPr>
              <w:jc w:val="left"/>
            </w:pPr>
            <w:r/>
            <w:r>
              <w:rPr>
                <w:rFonts w:ascii="DejaVu Sans" w:hAnsi="DejaVu Sans"/>
                <w:b w:val="0"/>
                <w:color w:val="1E293B"/>
                <w:sz w:val="18"/>
              </w:rPr>
              <w:t>1 rack</w:t>
            </w:r>
          </w:p>
        </w:tc>
        <w:tc>
          <w:tcPr>
            <w:tcW w:type="dxa" w:w="2493"/>
            <w:vAlign w:val="center"/>
          </w:tcPr>
          <w:p>
            <w:pPr>
              <w:jc w:val="left"/>
            </w:pPr>
            <w:r/>
            <w:r>
              <w:rPr>
                <w:rFonts w:ascii="DejaVu Sans" w:hAnsi="DejaVu Sans"/>
                <w:b w:val="0"/>
                <w:color w:val="1E293B"/>
                <w:sz w:val="18"/>
              </w:rPr>
              <w:t>Build, registry, signing, malware scan, release vault</w:t>
            </w:r>
          </w:p>
        </w:tc>
        <w:tc>
          <w:tcPr>
            <w:tcW w:type="dxa" w:w="2493"/>
            <w:vAlign w:val="center"/>
          </w:tcPr>
          <w:p>
            <w:pPr>
              <w:jc w:val="left"/>
            </w:pPr>
            <w:r/>
            <w:r>
              <w:rPr>
                <w:rFonts w:ascii="DejaVu Sans" w:hAnsi="DejaVu Sans"/>
                <w:b w:val="0"/>
                <w:color w:val="1E293B"/>
                <w:sz w:val="18"/>
              </w:rPr>
              <w:t>May live in separate secure room or separate facility.</w:t>
            </w:r>
          </w:p>
        </w:tc>
      </w:tr>
    </w:tbl>
    <w:p/>
    <w:p>
      <w:pPr>
        <w:pStyle w:val="Heading1"/>
      </w:pPr>
      <w:r>
        <w:t>13. Capacity tiers and phased rollout</w:t>
      </w:r>
    </w:p>
    <w:p>
      <w:pPr>
        <w:pStyle w:val="Heading3"/>
      </w:pPr>
      <w:r>
        <w:t>Capacity tiers</w:t>
      </w:r>
    </w:p>
    <w:tbl>
      <w:tblPr>
        <w:tblStyle w:val="TableGrid"/>
        <w:tblW w:type="auto" w:w="0"/>
        <w:jc w:val="center"/>
        <w:tblLook w:firstColumn="1" w:firstRow="1" w:lastColumn="0" w:lastRow="0" w:noHBand="0" w:noVBand="1" w:val="04A0"/>
      </w:tblPr>
      <w:tblGrid>
        <w:gridCol w:w="1994"/>
        <w:gridCol w:w="1994"/>
        <w:gridCol w:w="1994"/>
        <w:gridCol w:w="1994"/>
        <w:gridCol w:w="1994"/>
      </w:tblGrid>
      <w:tr>
        <w:tc>
          <w:tcPr>
            <w:tcW w:type="dxa" w:w="1994"/>
            <w:vAlign w:val="center"/>
            <w:shd w:fill="102A43"/>
          </w:tcPr>
          <w:p>
            <w:pPr>
              <w:jc w:val="left"/>
            </w:pPr>
            <w:r/>
            <w:r>
              <w:rPr>
                <w:rFonts w:ascii="DejaVu Sans" w:hAnsi="DejaVu Sans"/>
                <w:b/>
                <w:color w:val="FFFFFF"/>
                <w:sz w:val="19"/>
              </w:rPr>
              <w:t>Tier</w:t>
            </w:r>
          </w:p>
        </w:tc>
        <w:tc>
          <w:tcPr>
            <w:tcW w:type="dxa" w:w="1994"/>
            <w:vAlign w:val="center"/>
            <w:shd w:fill="102A43"/>
          </w:tcPr>
          <w:p>
            <w:pPr>
              <w:jc w:val="left"/>
            </w:pPr>
            <w:r/>
            <w:r>
              <w:rPr>
                <w:rFonts w:ascii="DejaVu Sans" w:hAnsi="DejaVu Sans"/>
                <w:b/>
                <w:color w:val="FFFFFF"/>
                <w:sz w:val="19"/>
              </w:rPr>
              <w:t>Target scope</w:t>
            </w:r>
          </w:p>
        </w:tc>
        <w:tc>
          <w:tcPr>
            <w:tcW w:type="dxa" w:w="1994"/>
            <w:vAlign w:val="center"/>
            <w:shd w:fill="102A43"/>
          </w:tcPr>
          <w:p>
            <w:pPr>
              <w:jc w:val="left"/>
            </w:pPr>
            <w:r/>
            <w:r>
              <w:rPr>
                <w:rFonts w:ascii="DejaVu Sans" w:hAnsi="DejaVu Sans"/>
                <w:b/>
                <w:color w:val="FFFFFF"/>
                <w:sz w:val="19"/>
              </w:rPr>
              <w:t>Primary site minimum</w:t>
            </w:r>
          </w:p>
        </w:tc>
        <w:tc>
          <w:tcPr>
            <w:tcW w:type="dxa" w:w="1994"/>
            <w:vAlign w:val="center"/>
            <w:shd w:fill="102A43"/>
          </w:tcPr>
          <w:p>
            <w:pPr>
              <w:jc w:val="left"/>
            </w:pPr>
            <w:r/>
            <w:r>
              <w:rPr>
                <w:rFonts w:ascii="DejaVu Sans" w:hAnsi="DejaVu Sans"/>
                <w:b/>
                <w:color w:val="FFFFFF"/>
                <w:sz w:val="19"/>
              </w:rPr>
              <w:t>Secondary site minimum</w:t>
            </w:r>
          </w:p>
        </w:tc>
        <w:tc>
          <w:tcPr>
            <w:tcW w:type="dxa" w:w="1994"/>
            <w:vAlign w:val="center"/>
            <w:shd w:fill="102A43"/>
          </w:tcPr>
          <w:p>
            <w:pPr>
              <w:jc w:val="left"/>
            </w:pPr>
            <w:r/>
            <w:r>
              <w:rPr>
                <w:rFonts w:ascii="DejaVu Sans" w:hAnsi="DejaVu Sans"/>
                <w:b/>
                <w:color w:val="FFFFFF"/>
                <w:sz w:val="19"/>
              </w:rPr>
              <w:t>Recommended start</w:t>
            </w:r>
          </w:p>
        </w:tc>
      </w:tr>
      <w:tr>
        <w:tc>
          <w:tcPr>
            <w:tcW w:type="dxa" w:w="1994"/>
            <w:vAlign w:val="center"/>
          </w:tcPr>
          <w:p>
            <w:pPr>
              <w:jc w:val="left"/>
            </w:pPr>
            <w:r/>
            <w:r>
              <w:rPr>
                <w:rFonts w:ascii="DejaVu Sans" w:hAnsi="DejaVu Sans"/>
                <w:b w:val="0"/>
                <w:color w:val="1E293B"/>
                <w:sz w:val="18"/>
              </w:rPr>
              <w:t>Tier 0</w:t>
            </w:r>
          </w:p>
        </w:tc>
        <w:tc>
          <w:tcPr>
            <w:tcW w:type="dxa" w:w="1994"/>
            <w:vAlign w:val="center"/>
          </w:tcPr>
          <w:p>
            <w:pPr>
              <w:jc w:val="left"/>
            </w:pPr>
            <w:r/>
            <w:r>
              <w:rPr>
                <w:rFonts w:ascii="DejaVu Sans" w:hAnsi="DejaVu Sans"/>
                <w:b w:val="0"/>
                <w:color w:val="1E293B"/>
                <w:sz w:val="18"/>
              </w:rPr>
              <w:t>Proof-of-capability / pilot</w:t>
            </w:r>
          </w:p>
        </w:tc>
        <w:tc>
          <w:tcPr>
            <w:tcW w:type="dxa" w:w="1994"/>
            <w:vAlign w:val="center"/>
          </w:tcPr>
          <w:p>
            <w:pPr>
              <w:jc w:val="left"/>
            </w:pPr>
            <w:r/>
            <w:r>
              <w:rPr>
                <w:rFonts w:ascii="DejaVu Sans" w:hAnsi="DejaVu Sans"/>
                <w:b w:val="0"/>
                <w:color w:val="1E293B"/>
                <w:sz w:val="18"/>
              </w:rPr>
              <w:t>3 control+worker nodes, 3 PG/Kafka combined, no Cassandra cluster yet if pilot only</w:t>
            </w:r>
          </w:p>
        </w:tc>
        <w:tc>
          <w:tcPr>
            <w:tcW w:type="dxa" w:w="1994"/>
            <w:vAlign w:val="center"/>
          </w:tcPr>
          <w:p>
            <w:pPr>
              <w:jc w:val="left"/>
            </w:pPr>
            <w:r/>
            <w:r>
              <w:rPr>
                <w:rFonts w:ascii="DejaVu Sans" w:hAnsi="DejaVu Sans"/>
                <w:b w:val="0"/>
                <w:color w:val="1E293B"/>
                <w:sz w:val="18"/>
              </w:rPr>
              <w:t>1 backup target</w:t>
            </w:r>
          </w:p>
        </w:tc>
        <w:tc>
          <w:tcPr>
            <w:tcW w:type="dxa" w:w="1994"/>
            <w:vAlign w:val="center"/>
          </w:tcPr>
          <w:p>
            <w:pPr>
              <w:jc w:val="left"/>
            </w:pPr>
            <w:r/>
            <w:r>
              <w:rPr>
                <w:rFonts w:ascii="DejaVu Sans" w:hAnsi="DejaVu Sans"/>
                <w:b w:val="0"/>
                <w:color w:val="1E293B"/>
                <w:sz w:val="18"/>
              </w:rPr>
              <w:t>Use only for internal validation, not full sovereign claim.</w:t>
            </w:r>
          </w:p>
        </w:tc>
      </w:tr>
      <w:tr>
        <w:tc>
          <w:tcPr>
            <w:tcW w:type="dxa" w:w="1994"/>
            <w:vAlign w:val="center"/>
          </w:tcPr>
          <w:p>
            <w:pPr>
              <w:jc w:val="left"/>
            </w:pPr>
            <w:r/>
            <w:r>
              <w:rPr>
                <w:rFonts w:ascii="DejaVu Sans" w:hAnsi="DejaVu Sans"/>
                <w:b w:val="0"/>
                <w:color w:val="1E293B"/>
                <w:sz w:val="18"/>
              </w:rPr>
              <w:t>Tier 1</w:t>
            </w:r>
          </w:p>
        </w:tc>
        <w:tc>
          <w:tcPr>
            <w:tcW w:type="dxa" w:w="1994"/>
            <w:vAlign w:val="center"/>
          </w:tcPr>
          <w:p>
            <w:pPr>
              <w:jc w:val="left"/>
            </w:pPr>
            <w:r/>
            <w:r>
              <w:rPr>
                <w:rFonts w:ascii="DejaVu Sans" w:hAnsi="DejaVu Sans"/>
                <w:b w:val="0"/>
                <w:color w:val="1E293B"/>
                <w:sz w:val="18"/>
              </w:rPr>
              <w:t>Enterprise regulated deployment</w:t>
            </w:r>
          </w:p>
        </w:tc>
        <w:tc>
          <w:tcPr>
            <w:tcW w:type="dxa" w:w="1994"/>
            <w:vAlign w:val="center"/>
          </w:tcPr>
          <w:p>
            <w:pPr>
              <w:jc w:val="left"/>
            </w:pPr>
            <w:r/>
            <w:r>
              <w:rPr>
                <w:rFonts w:ascii="DejaVu Sans" w:hAnsi="DejaVu Sans"/>
                <w:b w:val="0"/>
                <w:color w:val="1E293B"/>
                <w:sz w:val="18"/>
              </w:rPr>
              <w:t>3 control, 4 workers, 3 PG, 3 Kafka, 3 Cassandra, 3 Redis/OpenSearch shared</w:t>
            </w:r>
          </w:p>
        </w:tc>
        <w:tc>
          <w:tcPr>
            <w:tcW w:type="dxa" w:w="1994"/>
            <w:vAlign w:val="center"/>
          </w:tcPr>
          <w:p>
            <w:pPr>
              <w:jc w:val="left"/>
            </w:pPr>
            <w:r/>
            <w:r>
              <w:rPr>
                <w:rFonts w:ascii="DejaVu Sans" w:hAnsi="DejaVu Sans"/>
                <w:b w:val="0"/>
                <w:color w:val="1E293B"/>
                <w:sz w:val="18"/>
              </w:rPr>
              <w:t>1–2 racks DR</w:t>
            </w:r>
          </w:p>
        </w:tc>
        <w:tc>
          <w:tcPr>
            <w:tcW w:type="dxa" w:w="1994"/>
            <w:vAlign w:val="center"/>
          </w:tcPr>
          <w:p>
            <w:pPr>
              <w:jc w:val="left"/>
            </w:pPr>
            <w:r/>
            <w:r>
              <w:rPr>
                <w:rFonts w:ascii="DejaVu Sans" w:hAnsi="DejaVu Sans"/>
                <w:b w:val="0"/>
                <w:color w:val="1E293B"/>
                <w:sz w:val="18"/>
              </w:rPr>
              <w:t>Suitable for bank, insurer, hospital network, provincial programme.</w:t>
            </w:r>
          </w:p>
        </w:tc>
      </w:tr>
      <w:tr>
        <w:tc>
          <w:tcPr>
            <w:tcW w:type="dxa" w:w="1994"/>
            <w:vAlign w:val="center"/>
          </w:tcPr>
          <w:p>
            <w:pPr>
              <w:jc w:val="left"/>
            </w:pPr>
            <w:r/>
            <w:r>
              <w:rPr>
                <w:rFonts w:ascii="DejaVu Sans" w:hAnsi="DejaVu Sans"/>
                <w:b w:val="0"/>
                <w:color w:val="1E293B"/>
                <w:sz w:val="18"/>
              </w:rPr>
              <w:t>Tier 2</w:t>
            </w:r>
          </w:p>
        </w:tc>
        <w:tc>
          <w:tcPr>
            <w:tcW w:type="dxa" w:w="1994"/>
            <w:vAlign w:val="center"/>
          </w:tcPr>
          <w:p>
            <w:pPr>
              <w:jc w:val="left"/>
            </w:pPr>
            <w:r/>
            <w:r>
              <w:rPr>
                <w:rFonts w:ascii="DejaVu Sans" w:hAnsi="DejaVu Sans"/>
                <w:b w:val="0"/>
                <w:color w:val="1E293B"/>
                <w:sz w:val="18"/>
              </w:rPr>
              <w:t>National backbone starter</w:t>
            </w:r>
          </w:p>
        </w:tc>
        <w:tc>
          <w:tcPr>
            <w:tcW w:type="dxa" w:w="1994"/>
            <w:vAlign w:val="center"/>
          </w:tcPr>
          <w:p>
            <w:pPr>
              <w:jc w:val="left"/>
            </w:pPr>
            <w:r/>
            <w:r>
              <w:rPr>
                <w:rFonts w:ascii="DejaVu Sans" w:hAnsi="DejaVu Sans"/>
                <w:b w:val="0"/>
                <w:color w:val="1E293B"/>
                <w:sz w:val="18"/>
              </w:rPr>
              <w:t>3 control, 6 workers, 3 PG, 5 Kafka, 6 Cassandra, 3 Redis, 3–5 OpenSearch, 4 object archive, dual HSM</w:t>
            </w:r>
          </w:p>
        </w:tc>
        <w:tc>
          <w:tcPr>
            <w:tcW w:type="dxa" w:w="1994"/>
            <w:vAlign w:val="center"/>
          </w:tcPr>
          <w:p>
            <w:pPr>
              <w:jc w:val="left"/>
            </w:pPr>
            <w:r/>
            <w:r>
              <w:rPr>
                <w:rFonts w:ascii="DejaVu Sans" w:hAnsi="DejaVu Sans"/>
                <w:b w:val="0"/>
                <w:color w:val="1E293B"/>
                <w:sz w:val="18"/>
              </w:rPr>
              <w:t>2–3 racks mirror</w:t>
            </w:r>
          </w:p>
        </w:tc>
        <w:tc>
          <w:tcPr>
            <w:tcW w:type="dxa" w:w="1994"/>
            <w:vAlign w:val="center"/>
          </w:tcPr>
          <w:p>
            <w:pPr>
              <w:jc w:val="left"/>
            </w:pPr>
            <w:r/>
            <w:r>
              <w:rPr>
                <w:rFonts w:ascii="DejaVu Sans" w:hAnsi="DejaVu Sans"/>
                <w:b w:val="0"/>
                <w:color w:val="1E293B"/>
                <w:sz w:val="18"/>
              </w:rPr>
              <w:t>Recommended baseline for serious government rollout.</w:t>
            </w:r>
          </w:p>
        </w:tc>
      </w:tr>
      <w:tr>
        <w:tc>
          <w:tcPr>
            <w:tcW w:type="dxa" w:w="1994"/>
            <w:vAlign w:val="center"/>
          </w:tcPr>
          <w:p>
            <w:pPr>
              <w:jc w:val="left"/>
            </w:pPr>
            <w:r/>
            <w:r>
              <w:rPr>
                <w:rFonts w:ascii="DejaVu Sans" w:hAnsi="DejaVu Sans"/>
                <w:b w:val="0"/>
                <w:color w:val="1E293B"/>
                <w:sz w:val="18"/>
              </w:rPr>
              <w:t>Tier 3</w:t>
            </w:r>
          </w:p>
        </w:tc>
        <w:tc>
          <w:tcPr>
            <w:tcW w:type="dxa" w:w="1994"/>
            <w:vAlign w:val="center"/>
          </w:tcPr>
          <w:p>
            <w:pPr>
              <w:jc w:val="left"/>
            </w:pPr>
            <w:r/>
            <w:r>
              <w:rPr>
                <w:rFonts w:ascii="DejaVu Sans" w:hAnsi="DejaVu Sans"/>
                <w:b w:val="0"/>
                <w:color w:val="1E293B"/>
                <w:sz w:val="18"/>
              </w:rPr>
              <w:t>National multi-domain backbone</w:t>
            </w:r>
          </w:p>
        </w:tc>
        <w:tc>
          <w:tcPr>
            <w:tcW w:type="dxa" w:w="1994"/>
            <w:vAlign w:val="center"/>
          </w:tcPr>
          <w:p>
            <w:pPr>
              <w:jc w:val="left"/>
            </w:pPr>
            <w:r/>
            <w:r>
              <w:rPr>
                <w:rFonts w:ascii="DejaVu Sans" w:hAnsi="DejaVu Sans"/>
                <w:b w:val="0"/>
                <w:color w:val="1E293B"/>
                <w:sz w:val="18"/>
              </w:rPr>
              <w:t>Tier 2 plus extra worker, data, archive, and edge relay capacity</w:t>
            </w:r>
          </w:p>
        </w:tc>
        <w:tc>
          <w:tcPr>
            <w:tcW w:type="dxa" w:w="1994"/>
            <w:vAlign w:val="center"/>
          </w:tcPr>
          <w:p>
            <w:pPr>
              <w:jc w:val="left"/>
            </w:pPr>
            <w:r/>
            <w:r>
              <w:rPr>
                <w:rFonts w:ascii="DejaVu Sans" w:hAnsi="DejaVu Sans"/>
                <w:b w:val="0"/>
                <w:color w:val="1E293B"/>
                <w:sz w:val="18"/>
              </w:rPr>
              <w:t>Full mirror with independent quorum</w:t>
            </w:r>
          </w:p>
        </w:tc>
        <w:tc>
          <w:tcPr>
            <w:tcW w:type="dxa" w:w="1994"/>
            <w:vAlign w:val="center"/>
          </w:tcPr>
          <w:p>
            <w:pPr>
              <w:jc w:val="left"/>
            </w:pPr>
            <w:r/>
            <w:r>
              <w:rPr>
                <w:rFonts w:ascii="DejaVu Sans" w:hAnsi="DejaVu Sans"/>
                <w:b w:val="0"/>
                <w:color w:val="1E293B"/>
                <w:sz w:val="18"/>
              </w:rPr>
              <w:t>Use when multiple ministries or many AI systems are onboarded concurrently.</w:t>
            </w:r>
          </w:p>
        </w:tc>
      </w:tr>
    </w:tbl>
    <w:p/>
    <w:p>
      <w:pPr/>
      <w:r>
        <w:t>Phased rollout:</w:t>
      </w:r>
    </w:p>
    <w:p>
      <w:pPr>
        <w:pStyle w:val="ListNumber"/>
      </w:pPr>
      <w:r>
        <w:t>Phase 1: Build the secure build/signing enclave, control plane, PostgreSQL cluster, Kafka starter ring, and governance worker nodes.</w:t>
      </w:r>
    </w:p>
    <w:p>
      <w:pPr>
        <w:pStyle w:val="ListNumber"/>
      </w:pPr>
      <w:r>
        <w:t>Phase 2: Add Cassandra immutable audit cluster, object archive, OpenSearch, and HSM-backed signing service.</w:t>
      </w:r>
    </w:p>
    <w:p>
      <w:pPr>
        <w:pStyle w:val="ListNumber"/>
      </w:pPr>
      <w:r>
        <w:t>Phase 3: Add secondary site, edge nodes, and formal DR testing.</w:t>
      </w:r>
    </w:p>
    <w:p>
      <w:pPr>
        <w:pStyle w:val="ListNumber"/>
      </w:pPr>
      <w:r>
        <w:t>Phase 4: Add GPU analytics nodes, larger archive tiers, and broader ministry or enterprise integrations.</w:t>
      </w:r>
    </w:p>
    <w:p>
      <w:pPr>
        <w:pStyle w:val="ListNumber"/>
      </w:pPr>
      <w:r>
        <w:t>Phase 5: Expand edge governance appliances and disconnected-site support.</w:t>
      </w:r>
    </w:p>
    <w:p>
      <w:pPr>
        <w:pStyle w:val="Heading1"/>
      </w:pPr>
      <w:r>
        <w:t>14. Acceptance criteria and operational readiness checklist</w:t>
      </w:r>
    </w:p>
    <w:p>
      <w:pPr>
        <w:pStyle w:val="ListBullet"/>
        <w:ind w:left="0"/>
      </w:pPr>
      <w:r>
        <w:t>All critical services survive the loss of any single server without loss of platform availability.</w:t>
      </w:r>
    </w:p>
    <w:p>
      <w:pPr>
        <w:pStyle w:val="ListBullet"/>
        <w:ind w:left="0"/>
      </w:pPr>
      <w:r>
        <w:t>PostgreSQL failover completes inside the agreed database RTO and application reconnection is automatic.</w:t>
      </w:r>
    </w:p>
    <w:p>
      <w:pPr>
        <w:pStyle w:val="ListBullet"/>
        <w:ind w:left="0"/>
      </w:pPr>
      <w:r>
        <w:t>Kafka and Cassandra continue operating after the loss of at least one broker/node pair per fault domain.</w:t>
      </w:r>
    </w:p>
    <w:p>
      <w:pPr>
        <w:pStyle w:val="ListBullet"/>
        <w:ind w:left="0"/>
      </w:pPr>
      <w:r>
        <w:t>HSM switchover and signer failover are demonstrably testable and logged.</w:t>
      </w:r>
    </w:p>
    <w:p>
      <w:pPr>
        <w:pStyle w:val="ListBullet"/>
        <w:ind w:left="0"/>
      </w:pPr>
      <w:r>
        <w:t>Offline release import process produces signed import manifests and retains a full chain of custody.</w:t>
      </w:r>
    </w:p>
    <w:p>
      <w:pPr>
        <w:pStyle w:val="ListBullet"/>
        <w:ind w:left="0"/>
      </w:pPr>
      <w:r>
        <w:t>Governance sidecar or agent deployment templates exist for Kubernetes, VM, and legacy gateway scenarios.</w:t>
      </w:r>
    </w:p>
    <w:p>
      <w:pPr>
        <w:pStyle w:val="ListBullet"/>
        <w:ind w:left="0"/>
      </w:pPr>
      <w:r>
        <w:t>Immutable archive export can be produced, signed, and validated independently from the live UI.</w:t>
      </w:r>
    </w:p>
    <w:p>
      <w:pPr>
        <w:pStyle w:val="ListBullet"/>
        <w:ind w:left="0"/>
      </w:pPr>
      <w:r>
        <w:t>Monthly restore tests, quarterly DR drills, and annual physical penetration tests are scheduled in the operating model.</w:t>
      </w:r>
    </w:p>
    <w:p>
      <w:pPr>
        <w:pStyle w:val="ListBullet"/>
        <w:ind w:left="0"/>
      </w:pPr>
      <w:r>
        <w:t>All physical racks, power feeds, PDUs, patch panels, and switch ports are labelled and mapped to an asset register.</w:t>
      </w:r>
    </w:p>
    <w:p>
      <w:pPr>
        <w:pStyle w:val="ListBullet"/>
        <w:ind w:left="0"/>
      </w:pPr>
      <w:r>
        <w:t>Capacity dashboards report CPU, RAM, disk latency, queue lag, broker health, repair status, and signing-service health for every environment.</w:t>
      </w:r>
    </w:p>
    <w:p>
      <w:pPr>
        <w:pStyle w:val="Heading1"/>
      </w:pPr>
      <w:r>
        <w:t>Appendix A. Sample rack layout</w:t>
      </w:r>
    </w:p>
    <w:p>
      <w:pPr/>
      <w:r>
        <w:t>See Figure 2. The primary-site layout should keep network edge, compute, data core, and archive/operations physically grouped but logically segmented. Where the facility allows, place the security plane and transfer room in separate locked cages or rooms.</w:t>
      </w:r>
    </w:p>
    <w:p>
      <w:pPr>
        <w:pStyle w:val="Heading1"/>
      </w:pPr>
      <w:r>
        <w:t>Appendix B. Data classification to hardware treatment map</w:t>
      </w:r>
    </w:p>
    <w:p>
      <w:pPr>
        <w:pStyle w:val="Heading3"/>
      </w:pPr>
      <w:r>
        <w:t>Classification treatment</w:t>
      </w:r>
    </w:p>
    <w:tbl>
      <w:tblPr>
        <w:tblStyle w:val="TableGrid"/>
        <w:tblW w:type="auto" w:w="0"/>
        <w:jc w:val="center"/>
        <w:tblLook w:firstColumn="1" w:firstRow="1" w:lastColumn="0" w:lastRow="0" w:noHBand="0" w:noVBand="1" w:val="04A0"/>
      </w:tblPr>
      <w:tblGrid>
        <w:gridCol w:w="1994"/>
        <w:gridCol w:w="1994"/>
        <w:gridCol w:w="1994"/>
        <w:gridCol w:w="1994"/>
        <w:gridCol w:w="1994"/>
      </w:tblGrid>
      <w:tr>
        <w:tc>
          <w:tcPr>
            <w:tcW w:type="dxa" w:w="1994"/>
            <w:vAlign w:val="center"/>
            <w:shd w:fill="102A43"/>
          </w:tcPr>
          <w:p>
            <w:pPr>
              <w:jc w:val="left"/>
            </w:pPr>
            <w:r/>
            <w:r>
              <w:rPr>
                <w:rFonts w:ascii="DejaVu Sans" w:hAnsi="DejaVu Sans"/>
                <w:b/>
                <w:color w:val="FFFFFF"/>
                <w:sz w:val="19"/>
              </w:rPr>
              <w:t>Classification</w:t>
            </w:r>
          </w:p>
        </w:tc>
        <w:tc>
          <w:tcPr>
            <w:tcW w:type="dxa" w:w="1994"/>
            <w:vAlign w:val="center"/>
            <w:shd w:fill="102A43"/>
          </w:tcPr>
          <w:p>
            <w:pPr>
              <w:jc w:val="left"/>
            </w:pPr>
            <w:r/>
            <w:r>
              <w:rPr>
                <w:rFonts w:ascii="DejaVu Sans" w:hAnsi="DejaVu Sans"/>
                <w:b/>
                <w:color w:val="FFFFFF"/>
                <w:sz w:val="19"/>
              </w:rPr>
              <w:t>Deployment rule</w:t>
            </w:r>
          </w:p>
        </w:tc>
        <w:tc>
          <w:tcPr>
            <w:tcW w:type="dxa" w:w="1994"/>
            <w:vAlign w:val="center"/>
            <w:shd w:fill="102A43"/>
          </w:tcPr>
          <w:p>
            <w:pPr>
              <w:jc w:val="left"/>
            </w:pPr>
            <w:r/>
            <w:r>
              <w:rPr>
                <w:rFonts w:ascii="DejaVu Sans" w:hAnsi="DejaVu Sans"/>
                <w:b/>
                <w:color w:val="FFFFFF"/>
                <w:sz w:val="19"/>
              </w:rPr>
              <w:t>Crypto rule</w:t>
            </w:r>
          </w:p>
        </w:tc>
        <w:tc>
          <w:tcPr>
            <w:tcW w:type="dxa" w:w="1994"/>
            <w:vAlign w:val="center"/>
            <w:shd w:fill="102A43"/>
          </w:tcPr>
          <w:p>
            <w:pPr>
              <w:jc w:val="left"/>
            </w:pPr>
            <w:r/>
            <w:r>
              <w:rPr>
                <w:rFonts w:ascii="DejaVu Sans" w:hAnsi="DejaVu Sans"/>
                <w:b/>
                <w:color w:val="FFFFFF"/>
                <w:sz w:val="19"/>
              </w:rPr>
              <w:t>Storage rule</w:t>
            </w:r>
          </w:p>
        </w:tc>
        <w:tc>
          <w:tcPr>
            <w:tcW w:type="dxa" w:w="1994"/>
            <w:vAlign w:val="center"/>
            <w:shd w:fill="102A43"/>
          </w:tcPr>
          <w:p>
            <w:pPr>
              <w:jc w:val="left"/>
            </w:pPr>
            <w:r/>
            <w:r>
              <w:rPr>
                <w:rFonts w:ascii="DejaVu Sans" w:hAnsi="DejaVu Sans"/>
                <w:b/>
                <w:color w:val="FFFFFF"/>
                <w:sz w:val="19"/>
              </w:rPr>
              <w:t>Connectivity rule</w:t>
            </w:r>
          </w:p>
        </w:tc>
      </w:tr>
      <w:tr>
        <w:tc>
          <w:tcPr>
            <w:tcW w:type="dxa" w:w="1994"/>
            <w:vAlign w:val="center"/>
          </w:tcPr>
          <w:p>
            <w:pPr>
              <w:jc w:val="left"/>
            </w:pPr>
            <w:r/>
            <w:r>
              <w:rPr>
                <w:rFonts w:ascii="DejaVu Sans" w:hAnsi="DejaVu Sans"/>
                <w:b w:val="0"/>
                <w:color w:val="1E293B"/>
                <w:sz w:val="18"/>
              </w:rPr>
              <w:t>SOVEREIGN-CRITICAL</w:t>
            </w:r>
          </w:p>
        </w:tc>
        <w:tc>
          <w:tcPr>
            <w:tcW w:type="dxa" w:w="1994"/>
            <w:vAlign w:val="center"/>
          </w:tcPr>
          <w:p>
            <w:pPr>
              <w:jc w:val="left"/>
            </w:pPr>
            <w:r/>
            <w:r>
              <w:rPr>
                <w:rFonts w:ascii="DejaVu Sans" w:hAnsi="DejaVu Sans"/>
                <w:b w:val="0"/>
                <w:color w:val="1E293B"/>
                <w:sz w:val="18"/>
              </w:rPr>
              <w:t>Air-gapped only or fully disconnected sovereign enclave</w:t>
            </w:r>
          </w:p>
        </w:tc>
        <w:tc>
          <w:tcPr>
            <w:tcW w:type="dxa" w:w="1994"/>
            <w:vAlign w:val="center"/>
          </w:tcPr>
          <w:p>
            <w:pPr>
              <w:jc w:val="left"/>
            </w:pPr>
            <w:r/>
            <w:r>
              <w:rPr>
                <w:rFonts w:ascii="DejaVu Sans" w:hAnsi="DejaVu Sans"/>
                <w:b w:val="0"/>
                <w:color w:val="1E293B"/>
                <w:sz w:val="18"/>
              </w:rPr>
              <w:t>AES-256 + PQC key exchange/signing, client-held HSM keys</w:t>
            </w:r>
          </w:p>
        </w:tc>
        <w:tc>
          <w:tcPr>
            <w:tcW w:type="dxa" w:w="1994"/>
            <w:vAlign w:val="center"/>
          </w:tcPr>
          <w:p>
            <w:pPr>
              <w:jc w:val="left"/>
            </w:pPr>
            <w:r/>
            <w:r>
              <w:rPr>
                <w:rFonts w:ascii="DejaVu Sans" w:hAnsi="DejaVu Sans"/>
                <w:b w:val="0"/>
                <w:color w:val="1E293B"/>
                <w:sz w:val="18"/>
              </w:rPr>
              <w:t>No public cloud, no shared object archive with lower classes</w:t>
            </w:r>
          </w:p>
        </w:tc>
        <w:tc>
          <w:tcPr>
            <w:tcW w:type="dxa" w:w="1994"/>
            <w:vAlign w:val="center"/>
          </w:tcPr>
          <w:p>
            <w:pPr>
              <w:jc w:val="left"/>
            </w:pPr>
            <w:r/>
            <w:r>
              <w:rPr>
                <w:rFonts w:ascii="DejaVu Sans" w:hAnsi="DejaVu Sans"/>
                <w:b w:val="0"/>
                <w:color w:val="1E293B"/>
                <w:sz w:val="18"/>
              </w:rPr>
              <w:t>No public internet exposure; controlled transfer only</w:t>
            </w:r>
          </w:p>
        </w:tc>
      </w:tr>
      <w:tr>
        <w:tc>
          <w:tcPr>
            <w:tcW w:type="dxa" w:w="1994"/>
            <w:vAlign w:val="center"/>
          </w:tcPr>
          <w:p>
            <w:pPr>
              <w:jc w:val="left"/>
            </w:pPr>
            <w:r/>
            <w:r>
              <w:rPr>
                <w:rFonts w:ascii="DejaVu Sans" w:hAnsi="DejaVu Sans"/>
                <w:b w:val="0"/>
                <w:color w:val="1E293B"/>
                <w:sz w:val="18"/>
              </w:rPr>
              <w:t>SOVEREIGN-HIGH</w:t>
            </w:r>
          </w:p>
        </w:tc>
        <w:tc>
          <w:tcPr>
            <w:tcW w:type="dxa" w:w="1994"/>
            <w:vAlign w:val="center"/>
          </w:tcPr>
          <w:p>
            <w:pPr>
              <w:jc w:val="left"/>
            </w:pPr>
            <w:r/>
            <w:r>
              <w:rPr>
                <w:rFonts w:ascii="DejaVu Sans" w:hAnsi="DejaVu Sans"/>
                <w:b w:val="0"/>
                <w:color w:val="1E293B"/>
                <w:sz w:val="18"/>
              </w:rPr>
              <w:t>Sovereign in-country infrastructure only</w:t>
            </w:r>
          </w:p>
        </w:tc>
        <w:tc>
          <w:tcPr>
            <w:tcW w:type="dxa" w:w="1994"/>
            <w:vAlign w:val="center"/>
          </w:tcPr>
          <w:p>
            <w:pPr>
              <w:jc w:val="left"/>
            </w:pPr>
            <w:r/>
            <w:r>
              <w:rPr>
                <w:rFonts w:ascii="DejaVu Sans" w:hAnsi="DejaVu Sans"/>
                <w:b w:val="0"/>
                <w:color w:val="1E293B"/>
                <w:sz w:val="18"/>
              </w:rPr>
              <w:t>AES-256, mTLS, HSM-backed keys</w:t>
            </w:r>
          </w:p>
        </w:tc>
        <w:tc>
          <w:tcPr>
            <w:tcW w:type="dxa" w:w="1994"/>
            <w:vAlign w:val="center"/>
          </w:tcPr>
          <w:p>
            <w:pPr>
              <w:jc w:val="left"/>
            </w:pPr>
            <w:r/>
            <w:r>
              <w:rPr>
                <w:rFonts w:ascii="DejaVu Sans" w:hAnsi="DejaVu Sans"/>
                <w:b w:val="0"/>
                <w:color w:val="1E293B"/>
                <w:sz w:val="18"/>
              </w:rPr>
              <w:t>Dedicated logical separation, immutable audit path</w:t>
            </w:r>
          </w:p>
        </w:tc>
        <w:tc>
          <w:tcPr>
            <w:tcW w:type="dxa" w:w="1994"/>
            <w:vAlign w:val="center"/>
          </w:tcPr>
          <w:p>
            <w:pPr>
              <w:jc w:val="left"/>
            </w:pPr>
            <w:r/>
            <w:r>
              <w:rPr>
                <w:rFonts w:ascii="DejaVu Sans" w:hAnsi="DejaVu Sans"/>
                <w:b w:val="0"/>
                <w:color w:val="1E293B"/>
                <w:sz w:val="18"/>
              </w:rPr>
              <w:t>No foreign provider, firewall allow-list only</w:t>
            </w:r>
          </w:p>
        </w:tc>
      </w:tr>
      <w:tr>
        <w:tc>
          <w:tcPr>
            <w:tcW w:type="dxa" w:w="1994"/>
            <w:vAlign w:val="center"/>
          </w:tcPr>
          <w:p>
            <w:pPr>
              <w:jc w:val="left"/>
            </w:pPr>
            <w:r/>
            <w:r>
              <w:rPr>
                <w:rFonts w:ascii="DejaVu Sans" w:hAnsi="DejaVu Sans"/>
                <w:b w:val="0"/>
                <w:color w:val="1E293B"/>
                <w:sz w:val="18"/>
              </w:rPr>
              <w:t>GOVERNANCE</w:t>
            </w:r>
          </w:p>
        </w:tc>
        <w:tc>
          <w:tcPr>
            <w:tcW w:type="dxa" w:w="1994"/>
            <w:vAlign w:val="center"/>
          </w:tcPr>
          <w:p>
            <w:pPr>
              <w:jc w:val="left"/>
            </w:pPr>
            <w:r/>
            <w:r>
              <w:rPr>
                <w:rFonts w:ascii="DejaVu Sans" w:hAnsi="DejaVu Sans"/>
                <w:b w:val="0"/>
                <w:color w:val="1E293B"/>
                <w:sz w:val="18"/>
              </w:rPr>
              <w:t>Sovereign or private cloud</w:t>
            </w:r>
          </w:p>
        </w:tc>
        <w:tc>
          <w:tcPr>
            <w:tcW w:type="dxa" w:w="1994"/>
            <w:vAlign w:val="center"/>
          </w:tcPr>
          <w:p>
            <w:pPr>
              <w:jc w:val="left"/>
            </w:pPr>
            <w:r/>
            <w:r>
              <w:rPr>
                <w:rFonts w:ascii="DejaVu Sans" w:hAnsi="DejaVu Sans"/>
                <w:b w:val="0"/>
                <w:color w:val="1E293B"/>
                <w:sz w:val="18"/>
              </w:rPr>
              <w:t>AES-256 at rest, signed records</w:t>
            </w:r>
          </w:p>
        </w:tc>
        <w:tc>
          <w:tcPr>
            <w:tcW w:type="dxa" w:w="1994"/>
            <w:vAlign w:val="center"/>
          </w:tcPr>
          <w:p>
            <w:pPr>
              <w:jc w:val="left"/>
            </w:pPr>
            <w:r/>
            <w:r>
              <w:rPr>
                <w:rFonts w:ascii="DejaVu Sans" w:hAnsi="DejaVu Sans"/>
                <w:b w:val="0"/>
                <w:color w:val="1E293B"/>
                <w:sz w:val="18"/>
              </w:rPr>
              <w:t>Immutable store + searchable metadata + archive</w:t>
            </w:r>
          </w:p>
        </w:tc>
        <w:tc>
          <w:tcPr>
            <w:tcW w:type="dxa" w:w="1994"/>
            <w:vAlign w:val="center"/>
          </w:tcPr>
          <w:p>
            <w:pPr>
              <w:jc w:val="left"/>
            </w:pPr>
            <w:r/>
            <w:r>
              <w:rPr>
                <w:rFonts w:ascii="DejaVu Sans" w:hAnsi="DejaVu Sans"/>
                <w:b w:val="0"/>
                <w:color w:val="1E293B"/>
                <w:sz w:val="18"/>
              </w:rPr>
              <w:t>Private network or mTLS internet if approved</w:t>
            </w:r>
          </w:p>
        </w:tc>
      </w:tr>
      <w:tr>
        <w:tc>
          <w:tcPr>
            <w:tcW w:type="dxa" w:w="1994"/>
            <w:vAlign w:val="center"/>
          </w:tcPr>
          <w:p>
            <w:pPr>
              <w:jc w:val="left"/>
            </w:pPr>
            <w:r/>
            <w:r>
              <w:rPr>
                <w:rFonts w:ascii="DejaVu Sans" w:hAnsi="DejaVu Sans"/>
                <w:b w:val="0"/>
                <w:color w:val="1E293B"/>
                <w:sz w:val="18"/>
              </w:rPr>
              <w:t>OPERATIONAL</w:t>
            </w:r>
          </w:p>
        </w:tc>
        <w:tc>
          <w:tcPr>
            <w:tcW w:type="dxa" w:w="1994"/>
            <w:vAlign w:val="center"/>
          </w:tcPr>
          <w:p>
            <w:pPr>
              <w:jc w:val="left"/>
            </w:pPr>
            <w:r/>
            <w:r>
              <w:rPr>
                <w:rFonts w:ascii="DejaVu Sans" w:hAnsi="DejaVu Sans"/>
                <w:b w:val="0"/>
                <w:color w:val="1E293B"/>
                <w:sz w:val="18"/>
              </w:rPr>
              <w:t>Approved cloud or private infra</w:t>
            </w:r>
          </w:p>
        </w:tc>
        <w:tc>
          <w:tcPr>
            <w:tcW w:type="dxa" w:w="1994"/>
            <w:vAlign w:val="center"/>
          </w:tcPr>
          <w:p>
            <w:pPr>
              <w:jc w:val="left"/>
            </w:pPr>
            <w:r/>
            <w:r>
              <w:rPr>
                <w:rFonts w:ascii="DejaVu Sans" w:hAnsi="DejaVu Sans"/>
                <w:b w:val="0"/>
                <w:color w:val="1E293B"/>
                <w:sz w:val="18"/>
              </w:rPr>
              <w:t>AES-128 minimum, stronger preferred</w:t>
            </w:r>
          </w:p>
        </w:tc>
        <w:tc>
          <w:tcPr>
            <w:tcW w:type="dxa" w:w="1994"/>
            <w:vAlign w:val="center"/>
          </w:tcPr>
          <w:p>
            <w:pPr>
              <w:jc w:val="left"/>
            </w:pPr>
            <w:r/>
            <w:r>
              <w:rPr>
                <w:rFonts w:ascii="DejaVu Sans" w:hAnsi="DejaVu Sans"/>
                <w:b w:val="0"/>
                <w:color w:val="1E293B"/>
                <w:sz w:val="18"/>
              </w:rPr>
              <w:t>Shorter retention, anonymised where possible</w:t>
            </w:r>
          </w:p>
        </w:tc>
        <w:tc>
          <w:tcPr>
            <w:tcW w:type="dxa" w:w="1994"/>
            <w:vAlign w:val="center"/>
          </w:tcPr>
          <w:p>
            <w:pPr>
              <w:jc w:val="left"/>
            </w:pPr>
            <w:r/>
            <w:r>
              <w:rPr>
                <w:rFonts w:ascii="DejaVu Sans" w:hAnsi="DejaVu Sans"/>
                <w:b w:val="0"/>
                <w:color w:val="1E293B"/>
                <w:sz w:val="18"/>
              </w:rPr>
              <w:t>Standard secure enterprise connectivity</w:t>
            </w:r>
          </w:p>
        </w:tc>
      </w:tr>
      <w:tr>
        <w:tc>
          <w:tcPr>
            <w:tcW w:type="dxa" w:w="1994"/>
            <w:vAlign w:val="center"/>
          </w:tcPr>
          <w:p>
            <w:pPr>
              <w:jc w:val="left"/>
            </w:pPr>
            <w:r/>
            <w:r>
              <w:rPr>
                <w:rFonts w:ascii="DejaVu Sans" w:hAnsi="DejaVu Sans"/>
                <w:b w:val="0"/>
                <w:color w:val="1E293B"/>
                <w:sz w:val="18"/>
              </w:rPr>
              <w:t>PUBLIC</w:t>
            </w:r>
          </w:p>
        </w:tc>
        <w:tc>
          <w:tcPr>
            <w:tcW w:type="dxa" w:w="1994"/>
            <w:vAlign w:val="center"/>
          </w:tcPr>
          <w:p>
            <w:pPr>
              <w:jc w:val="left"/>
            </w:pPr>
            <w:r/>
            <w:r>
              <w:rPr>
                <w:rFonts w:ascii="DejaVu Sans" w:hAnsi="DejaVu Sans"/>
                <w:b w:val="0"/>
                <w:color w:val="1E293B"/>
                <w:sz w:val="18"/>
              </w:rPr>
              <w:t>Any approved infra</w:t>
            </w:r>
          </w:p>
        </w:tc>
        <w:tc>
          <w:tcPr>
            <w:tcW w:type="dxa" w:w="1994"/>
            <w:vAlign w:val="center"/>
          </w:tcPr>
          <w:p>
            <w:pPr>
              <w:jc w:val="left"/>
            </w:pPr>
            <w:r/>
            <w:r>
              <w:rPr>
                <w:rFonts w:ascii="DejaVu Sans" w:hAnsi="DejaVu Sans"/>
                <w:b w:val="0"/>
                <w:color w:val="1E293B"/>
                <w:sz w:val="18"/>
              </w:rPr>
              <w:t>TLS in transit</w:t>
            </w:r>
          </w:p>
        </w:tc>
        <w:tc>
          <w:tcPr>
            <w:tcW w:type="dxa" w:w="1994"/>
            <w:vAlign w:val="center"/>
          </w:tcPr>
          <w:p>
            <w:pPr>
              <w:jc w:val="left"/>
            </w:pPr>
            <w:r/>
            <w:r>
              <w:rPr>
                <w:rFonts w:ascii="DejaVu Sans" w:hAnsi="DejaVu Sans"/>
                <w:b w:val="0"/>
                <w:color w:val="1E293B"/>
                <w:sz w:val="18"/>
              </w:rPr>
              <w:t>No special storage restrictions</w:t>
            </w:r>
          </w:p>
        </w:tc>
        <w:tc>
          <w:tcPr>
            <w:tcW w:type="dxa" w:w="1994"/>
            <w:vAlign w:val="center"/>
          </w:tcPr>
          <w:p>
            <w:pPr>
              <w:jc w:val="left"/>
            </w:pPr>
            <w:r/>
            <w:r>
              <w:rPr>
                <w:rFonts w:ascii="DejaVu Sans" w:hAnsi="DejaVu Sans"/>
                <w:b w:val="0"/>
                <w:color w:val="1E293B"/>
                <w:sz w:val="18"/>
              </w:rPr>
              <w:t>May be internet accessible if intended</w:t>
            </w:r>
          </w:p>
        </w:tc>
      </w:tr>
    </w:tbl>
    <w:p/>
    <w:p>
      <w:pPr>
        <w:pStyle w:val="Heading1"/>
      </w:pPr>
      <w:r>
        <w:t>Appendix C. Procurement notes and local adaptation guidance</w:t>
      </w:r>
    </w:p>
    <w:p>
      <w:pPr>
        <w:pStyle w:val="ListBullet"/>
        <w:ind w:left="0"/>
      </w:pPr>
      <w:r>
        <w:t>Do not lock the specification to a single OEM unless the client procurement environment demands it. Define equivalence by CPU class, RAM, storage endurance, NIC speed, PSU redundancy, support SLA, TPM, and firmware controls.</w:t>
      </w:r>
    </w:p>
    <w:p>
      <w:pPr>
        <w:pStyle w:val="ListBullet"/>
        <w:ind w:left="0"/>
      </w:pPr>
      <w:r>
        <w:t>For South Africa or other in-country sovereign deployments, prefer data-centre operators and support contracts that keep hardware replacement, logistics, and spare holding within jurisdiction.</w:t>
      </w:r>
    </w:p>
    <w:p>
      <w:pPr>
        <w:pStyle w:val="ListBullet"/>
        <w:ind w:left="0"/>
      </w:pPr>
      <w:r>
        <w:t>Buy spare disks, NICs, PSUs, and at least one spare server per critical class for sovereign or air-gapped environments where vendor lead time is a strategic risk.</w:t>
      </w:r>
    </w:p>
    <w:p>
      <w:pPr>
        <w:pStyle w:val="ListBullet"/>
        <w:ind w:left="0"/>
      </w:pPr>
      <w:r>
        <w:t>Where budget is constrained, reduce OpenSearch and GPU capacity first. Do not underbuild HSM redundancy, PostgreSQL HA, Kafka quorum, or immutable audit storage.</w:t>
      </w:r>
    </w:p>
    <w:p>
      <w:pPr>
        <w:pStyle w:val="ListBullet"/>
        <w:ind w:left="0"/>
      </w:pPr>
      <w:r>
        <w:t>In a pilot or enterprise deployment, the architecture may begin with fewer nodes, but the topology should still reflect the final trust zones and upgrade path.</w:t>
      </w:r>
    </w:p>
    <w:sectPr w:rsidR="00FC693F" w:rsidRPr="0006063C" w:rsidSect="00034616">
      <w:pgSz w:w="12240" w:h="15840"/>
      <w:pgMar w:top="1020" w:right="1134"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DejaVu Sans" w:hAnsi="DejaVu San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DejaVu Sans" w:hAnsi="DejaVu Sans"/>
      <w:b/>
      <w:bCs/>
      <w:color w:val="102A43"/>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DejaVu Sans" w:hAnsi="DejaVu Sans"/>
      <w:b/>
      <w:bCs/>
      <w:color w:val="102A43"/>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DejaVu Sans" w:hAnsi="DejaVu Sans"/>
      <w:b/>
      <w:bCs/>
      <w:color w:val="46556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ascii="DejaVu Sans" w:hAnsi="DejaVu Sans"/>
      <w:b/>
      <w:color w:val="102A43"/>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DejaVu Sans" w:hAnsi="DejaVu Sans"/>
      <w:i/>
      <w:iCs/>
      <w:color w:val="465569"/>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