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pPr>
      <w:r>
        <w:rPr>
          <w:rFonts w:ascii="Arial" w:cs="Arial" w:eastAsia="Arial" w:hAnsi="Arial"/>
        </w:rPr>
        <w:t xml:space="preserve"/>
      </w:r>
    </w:p>
    <w:p>
      <w:pPr>
        <w:spacing w:after="80"/>
        <w:jc w:val="center"/>
      </w:pPr>
      <w:r>
        <w:rPr>
          <w:rFonts w:ascii="Arial" w:cs="Arial" w:eastAsia="Arial" w:hAnsi="Arial"/>
          <w:b/>
          <w:bCs/>
          <w:color w:val="C9A84C"/>
          <w:sz w:val="64"/>
          <w:szCs w:val="64"/>
        </w:rPr>
        <w:t xml:space="preserve">G . O . D . S</w:t>
      </w:r>
    </w:p>
    <w:p>
      <w:pPr>
        <w:spacing w:after="160"/>
        <w:jc w:val="center"/>
      </w:pPr>
      <w:r>
        <w:rPr>
          <w:rFonts w:ascii="Arial" w:cs="Arial" w:eastAsia="Arial" w:hAnsi="Arial"/>
          <w:b/>
          <w:bCs/>
          <w:color w:val="060E1C"/>
          <w:spacing w:val="80"/>
          <w:sz w:val="24"/>
          <w:szCs w:val="24"/>
        </w:rPr>
        <w:t xml:space="preserve">GOOD ORDERLY DIRECTIONAL SYSTEMS</w:t>
      </w:r>
    </w:p>
    <w:p>
      <w:pPr>
        <w:spacing w:after="80"/>
        <w:jc w:val="center"/>
      </w:pPr>
      <w:r>
        <w:rPr>
          <w:rFonts w:ascii="Arial" w:cs="Arial" w:eastAsia="Arial" w:hAnsi="Arial"/>
          <w:b/>
          <w:bCs/>
          <w:color w:val="0D1E35"/>
          <w:sz w:val="30"/>
          <w:szCs w:val="30"/>
        </w:rPr>
        <w:t xml:space="preserve">STARTUP OPERATIONAL CHECKLIST</w:t>
      </w:r>
    </w:p>
    <w:p>
      <w:pPr>
        <w:spacing w:after="80"/>
        <w:jc w:val="center"/>
      </w:pPr>
      <w:r>
        <w:rPr>
          <w:rFonts w:ascii="Arial" w:cs="Arial" w:eastAsia="Arial" w:hAnsi="Arial"/>
          <w:color w:val="555555"/>
          <w:sz w:val="20"/>
          <w:szCs w:val="20"/>
        </w:rPr>
        <w:t xml:space="preserve">Complete Action Plan · Deadlines · Budgets · Responsibilities</w:t>
      </w:r>
    </w:p>
    <w:p>
      <w:pPr>
        <w:spacing w:after="80"/>
        <w:jc w:val="center"/>
      </w:pPr>
      <w:r>
        <w:rPr>
          <w:rFonts w:ascii="Arial" w:cs="Arial" w:eastAsia="Arial" w:hAnsi="Arial"/>
          <w:b/>
          <w:bCs/>
          <w:color w:val="C9A84C"/>
          <w:sz w:val="20"/>
          <w:szCs w:val="20"/>
        </w:rPr>
        <w:t xml:space="preserve">Sashin J. Singh — Founder &amp; Systems Architect</w:t>
      </w:r>
    </w:p>
    <w:p>
      <w:pPr>
        <w:spacing w:after="400"/>
        <w:jc w:val="center"/>
      </w:pPr>
      <w:r>
        <w:rPr>
          <w:rFonts w:ascii="Arial" w:cs="Arial" w:eastAsia="Arial" w:hAnsi="Arial"/>
          <w:color w:val="777777"/>
          <w:sz w:val="18"/>
          <w:szCs w:val="18"/>
        </w:rPr>
        <w:t xml:space="preserve">G.O.D.S Holdings (Pty) Ltd · Johannesburg, South Africa · 2026</w:t>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3106"/>
        <w:gridCol w:w="3107"/>
        <w:gridCol w:w="3107"/>
      </w:tblGrid>
      <w:tr>
        <w:tc>
          <w:tcPr>
            <w:tcW w:type="dxa" w:w="3106"/>
            <w:tcBorders>
              <w:top w:val="single" w:color="CCCCCC" w:sz="4"/>
              <w:left w:val="single" w:color="CCCCCC" w:sz="4"/>
              <w:bottom w:val="single" w:color="CCCCCC" w:sz="4"/>
              <w:right w:val="single" w:color="CCCCCC" w:sz="4"/>
            </w:tcBorders>
            <w:shd w:fill="C0392B" w:val="clear"/>
            <w:tcMar>
              <w:top w:type="dxa" w:w="100"/>
              <w:left w:type="dxa" w:w="120"/>
              <w:bottom w:type="dxa" w:w="100"/>
              <w:right w:type="dxa" w:w="120"/>
            </w:tcMar>
            <w:vAlign w:val="top"/>
          </w:tcPr>
          <w:p>
            <w:pPr>
              <w:spacing w:after="0"/>
            </w:pPr>
            <w:r>
              <w:rPr>
                <w:rFonts w:ascii="Arial" w:cs="Arial" w:eastAsia="Arial" w:hAnsi="Arial"/>
                <w:b/>
                <w:bCs/>
                <w:color w:val="FFFFFF"/>
                <w:sz w:val="18"/>
                <w:szCs w:val="18"/>
              </w:rPr>
              <w:t xml:space="preserve">🔴  CRITICAL — Do this first. Nothing else is valid without it.</w:t>
            </w:r>
          </w:p>
        </w:tc>
        <w:tc>
          <w:tcPr>
            <w:tcW w:type="dxa" w:w="3107"/>
            <w:tcBorders>
              <w:top w:val="single" w:color="CCCCCC" w:sz="4"/>
              <w:left w:val="single" w:color="CCCCCC" w:sz="4"/>
              <w:bottom w:val="single" w:color="CCCCCC" w:sz="4"/>
              <w:right w:val="single" w:color="CCCCCC" w:sz="4"/>
            </w:tcBorders>
            <w:shd w:fill="B7620A" w:val="clear"/>
            <w:tcMar>
              <w:top w:type="dxa" w:w="100"/>
              <w:left w:type="dxa" w:w="120"/>
              <w:bottom w:type="dxa" w:w="100"/>
              <w:right w:type="dxa" w:w="120"/>
            </w:tcMar>
            <w:vAlign w:val="top"/>
          </w:tcPr>
          <w:p>
            <w:pPr>
              <w:spacing w:after="0"/>
            </w:pPr>
            <w:r>
              <w:rPr>
                <w:rFonts w:ascii="Arial" w:cs="Arial" w:eastAsia="Arial" w:hAnsi="Arial"/>
                <w:b/>
                <w:bCs/>
                <w:color w:val="FFFFFF"/>
                <w:sz w:val="18"/>
                <w:szCs w:val="18"/>
              </w:rPr>
              <w:t xml:space="preserve">🟡  HIGH — Complete within stated timeframe or plan breaks.</w:t>
            </w:r>
          </w:p>
        </w:tc>
        <w:tc>
          <w:tcPr>
            <w:tcW w:type="dxa" w:w="3107"/>
            <w:tcBorders>
              <w:top w:val="single" w:color="CCCCCC" w:sz="4"/>
              <w:left w:val="single" w:color="CCCCCC" w:sz="4"/>
              <w:bottom w:val="single" w:color="CCCCCC" w:sz="4"/>
              <w:right w:val="single" w:color="CCCCCC" w:sz="4"/>
            </w:tcBorders>
            <w:shd w:fill="1A6B3A" w:val="clear"/>
            <w:tcMar>
              <w:top w:type="dxa" w:w="100"/>
              <w:left w:type="dxa" w:w="120"/>
              <w:bottom w:type="dxa" w:w="100"/>
              <w:right w:type="dxa" w:w="120"/>
            </w:tcMar>
            <w:vAlign w:val="top"/>
          </w:tcPr>
          <w:p>
            <w:pPr>
              <w:spacing w:after="0"/>
            </w:pPr>
            <w:r>
              <w:rPr>
                <w:rFonts w:ascii="Arial" w:cs="Arial" w:eastAsia="Arial" w:hAnsi="Arial"/>
                <w:b/>
                <w:bCs/>
                <w:color w:val="FFFFFF"/>
                <w:sz w:val="18"/>
                <w:szCs w:val="18"/>
              </w:rPr>
              <w:t xml:space="preserve">🟢  STANDARD — Important but has more flexibility.</w:t>
            </w:r>
          </w:p>
        </w:tc>
      </w:tr>
    </w:tbl>
    <w:p>
      <w:pPr>
        <w:spacing w:after="160"/>
      </w:pPr>
      <w:r>
        <w:rPr>
          <w:rFonts w:ascii="Arial" w:cs="Arial" w:eastAsia="Arial" w:hAnsi="Arial"/>
        </w:rPr>
        <w:t xml:space="preserve"/>
      </w:r>
    </w:p>
    <w:p>
      <w:pPr>
        <w:shd w:fill="0D1E35" w:val="clear"/>
        <w:spacing w:before="400" w:after="160"/>
        <w:ind w:left="200" w:right="200"/>
      </w:pPr>
      <w:r>
        <w:rPr>
          <w:rFonts w:ascii="Arial" w:cs="Arial" w:eastAsia="Arial" w:hAnsi="Arial"/>
          <w:b/>
          <w:bCs/>
          <w:color w:val="C9A84C"/>
          <w:sz w:val="26"/>
          <w:szCs w:val="26"/>
        </w:rPr>
        <w:t xml:space="preserve">TOTAL BUDGET SUMMARY — ALL PHASES</w:t>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2320"/>
        <w:gridCol w:w="2000"/>
        <w:gridCol w:w="2000"/>
        <w:gridCol w:w="3000"/>
      </w:tblGrid>
      <w:tr>
        <w:tc>
          <w:tcPr>
            <w:tcW w:type="dxa" w:w="232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PHASE</w:t>
            </w:r>
          </w:p>
        </w:tc>
        <w:tc>
          <w:tcPr>
            <w:tcW w:type="dxa" w:w="20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LOW (ZAR)</w:t>
            </w:r>
          </w:p>
        </w:tc>
        <w:tc>
          <w:tcPr>
            <w:tcW w:type="dxa" w:w="20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HIGH (ZAR)</w:t>
            </w:r>
          </w:p>
        </w:tc>
        <w:tc>
          <w:tcPr>
            <w:tcW w:type="dxa" w:w="30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WHAT IT COVERS</w:t>
            </w:r>
          </w:p>
        </w:tc>
      </w:tr>
      <w:tr>
        <w:tc>
          <w:tcPr>
            <w:tcW w:type="dxa" w:w="2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TIER 1 — Day 1–Week 2</w:t>
            </w:r>
          </w:p>
        </w:tc>
        <w:tc>
          <w:tcPr>
            <w:tcW w:type="dxa" w:w="200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18"/>
                <w:szCs w:val="18"/>
              </w:rPr>
              <w:t xml:space="preserve">R 14,500</w:t>
            </w:r>
          </w:p>
        </w:tc>
        <w:tc>
          <w:tcPr>
            <w:tcW w:type="dxa" w:w="20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8"/>
                <w:szCs w:val="18"/>
              </w:rPr>
              <w:t xml:space="preserve">R 35,000</w:t>
            </w:r>
          </w:p>
        </w:tc>
        <w:tc>
          <w:tcPr>
            <w:tcW w:type="dxa" w:w="3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444444"/>
                <w:sz w:val="17"/>
                <w:szCs w:val="17"/>
              </w:rPr>
              <w:t xml:space="preserve">Legal, registration, trademarks, Trust</w:t>
            </w:r>
          </w:p>
        </w:tc>
      </w:tr>
      <w:tr>
        <w:tc>
          <w:tcPr>
            <w:tcW w:type="dxa" w:w="2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TIER 2 — Month 1</w:t>
            </w:r>
          </w:p>
        </w:tc>
        <w:tc>
          <w:tcPr>
            <w:tcW w:type="dxa" w:w="200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18"/>
                <w:szCs w:val="18"/>
              </w:rPr>
              <w:t xml:space="preserve">R 22,000</w:t>
            </w:r>
          </w:p>
        </w:tc>
        <w:tc>
          <w:tcPr>
            <w:tcW w:type="dxa" w:w="20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8"/>
                <w:szCs w:val="18"/>
              </w:rPr>
              <w:t xml:space="preserve">R 58,000</w:t>
            </w:r>
          </w:p>
        </w:tc>
        <w:tc>
          <w:tcPr>
            <w:tcW w:type="dxa" w:w="3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444444"/>
                <w:sz w:val="17"/>
                <w:szCs w:val="17"/>
              </w:rPr>
              <w:t xml:space="preserve">Banking, insurance, compliance registrations</w:t>
            </w:r>
          </w:p>
        </w:tc>
      </w:tr>
      <w:tr>
        <w:tc>
          <w:tcPr>
            <w:tcW w:type="dxa" w:w="2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TIER 3 — Month 2–3</w:t>
            </w:r>
          </w:p>
        </w:tc>
        <w:tc>
          <w:tcPr>
            <w:tcW w:type="dxa" w:w="200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18"/>
                <w:szCs w:val="18"/>
              </w:rPr>
              <w:t xml:space="preserve">R 48,000</w:t>
            </w:r>
          </w:p>
        </w:tc>
        <w:tc>
          <w:tcPr>
            <w:tcW w:type="dxa" w:w="20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8"/>
                <w:szCs w:val="18"/>
              </w:rPr>
              <w:t xml:space="preserve">R 105,000</w:t>
            </w:r>
          </w:p>
        </w:tc>
        <w:tc>
          <w:tcPr>
            <w:tcW w:type="dxa" w:w="3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444444"/>
                <w:sz w:val="17"/>
                <w:szCs w:val="17"/>
              </w:rPr>
              <w:t xml:space="preserve">SETA, B-BBEE, auditor, premises deposit</w:t>
            </w:r>
          </w:p>
        </w:tc>
      </w:tr>
      <w:tr>
        <w:tc>
          <w:tcPr>
            <w:tcW w:type="dxa" w:w="2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TIER 4 — Month 3–6</w:t>
            </w:r>
          </w:p>
        </w:tc>
        <w:tc>
          <w:tcPr>
            <w:tcW w:type="dxa" w:w="200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18"/>
                <w:szCs w:val="18"/>
              </w:rPr>
              <w:t xml:space="preserve">R 185,000</w:t>
            </w:r>
          </w:p>
        </w:tc>
        <w:tc>
          <w:tcPr>
            <w:tcW w:type="dxa" w:w="20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8"/>
                <w:szCs w:val="18"/>
              </w:rPr>
              <w:t xml:space="preserve">R 420,000</w:t>
            </w:r>
          </w:p>
        </w:tc>
        <w:tc>
          <w:tcPr>
            <w:tcW w:type="dxa" w:w="3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444444"/>
                <w:sz w:val="17"/>
                <w:szCs w:val="17"/>
              </w:rPr>
              <w:t xml:space="preserve">FSCA, CIDB, engineering, HR, pilot setup</w:t>
            </w:r>
          </w:p>
        </w:tc>
      </w:tr>
      <w:tr>
        <w:tc>
          <w:tcPr>
            <w:tcW w:type="dxa" w:w="2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PHASE 1 OPERATIONS (Yr 1)</w:t>
            </w:r>
          </w:p>
        </w:tc>
        <w:tc>
          <w:tcPr>
            <w:tcW w:type="dxa" w:w="200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18"/>
                <w:szCs w:val="18"/>
              </w:rPr>
              <w:t xml:space="preserve">R 8,778,000</w:t>
            </w:r>
          </w:p>
        </w:tc>
        <w:tc>
          <w:tcPr>
            <w:tcW w:type="dxa" w:w="20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8"/>
                <w:szCs w:val="18"/>
              </w:rPr>
              <w:t xml:space="preserve">R 13,467,000</w:t>
            </w:r>
          </w:p>
        </w:tc>
        <w:tc>
          <w:tcPr>
            <w:tcW w:type="dxa" w:w="3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444444"/>
                <w:sz w:val="17"/>
                <w:szCs w:val="17"/>
              </w:rPr>
              <w:t xml:space="preserve">Full team, facility, programme, technology</w:t>
            </w:r>
          </w:p>
        </w:tc>
      </w:tr>
      <w:tr>
        <w:tc>
          <w:tcPr>
            <w:tcW w:type="dxa" w:w="2320"/>
            <w:tcBorders>
              <w:top w:val="single" w:color="CCCCCC" w:sz="4"/>
              <w:left w:val="single" w:color="CCCCCC" w:sz="4"/>
              <w:bottom w:val="single" w:color="CCCCCC" w:sz="4"/>
              <w:right w:val="single" w:color="CCCCCC" w:sz="4"/>
            </w:tcBorders>
            <w:shd w:fill="C9A84C"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TOTAL PRE-OPERATIONAL SPEND</w:t>
            </w:r>
          </w:p>
        </w:tc>
        <w:tc>
          <w:tcPr>
            <w:tcW w:type="dxa" w:w="2000"/>
            <w:tcBorders>
              <w:top w:val="single" w:color="CCCCCC" w:sz="4"/>
              <w:left w:val="single" w:color="CCCCCC" w:sz="4"/>
              <w:bottom w:val="single" w:color="CCCCCC" w:sz="4"/>
              <w:right w:val="single" w:color="CCCCCC" w:sz="4"/>
            </w:tcBorders>
            <w:shd w:fill="1A6B3A" w:val="clear"/>
            <w:tcMar>
              <w:top w:type="dxa" w:w="100"/>
              <w:left w:type="dxa" w:w="120"/>
              <w:bottom w:type="dxa" w:w="100"/>
              <w:right w:type="dxa" w:w="120"/>
            </w:tcMar>
            <w:vAlign w:val="top"/>
          </w:tcPr>
          <w:p>
            <w:pPr>
              <w:spacing w:after="0"/>
            </w:pPr>
            <w:r>
              <w:rPr>
                <w:rFonts w:ascii="Arial" w:cs="Arial" w:eastAsia="Arial" w:hAnsi="Arial"/>
                <w:b/>
                <w:bCs/>
                <w:color w:val="FFFFFF"/>
                <w:sz w:val="18"/>
                <w:szCs w:val="18"/>
              </w:rPr>
              <w:t xml:space="preserve">R 270,000</w:t>
            </w:r>
          </w:p>
        </w:tc>
        <w:tc>
          <w:tcPr>
            <w:tcW w:type="dxa" w:w="2000"/>
            <w:tcBorders>
              <w:top w:val="single" w:color="CCCCCC" w:sz="4"/>
              <w:left w:val="single" w:color="CCCCCC" w:sz="4"/>
              <w:bottom w:val="single" w:color="CCCCCC" w:sz="4"/>
              <w:right w:val="single" w:color="CCCCCC" w:sz="4"/>
            </w:tcBorders>
            <w:shd w:fill="C0392B" w:val="clear"/>
            <w:tcMar>
              <w:top w:type="dxa" w:w="100"/>
              <w:left w:type="dxa" w:w="120"/>
              <w:bottom w:type="dxa" w:w="100"/>
              <w:right w:type="dxa" w:w="120"/>
            </w:tcMar>
            <w:vAlign w:val="top"/>
          </w:tcPr>
          <w:p>
            <w:pPr>
              <w:spacing w:after="0"/>
            </w:pPr>
            <w:r>
              <w:rPr>
                <w:rFonts w:ascii="Arial" w:cs="Arial" w:eastAsia="Arial" w:hAnsi="Arial"/>
                <w:b/>
                <w:bCs/>
                <w:color w:val="FFFFFF"/>
                <w:sz w:val="18"/>
                <w:szCs w:val="18"/>
              </w:rPr>
              <w:t xml:space="preserve">R 618,000</w:t>
            </w:r>
          </w:p>
        </w:tc>
        <w:tc>
          <w:tcPr>
            <w:tcW w:type="dxa" w:w="3000"/>
            <w:tcBorders>
              <w:top w:val="single" w:color="CCCCCC" w:sz="4"/>
              <w:left w:val="single" w:color="CCCCCC" w:sz="4"/>
              <w:bottom w:val="single" w:color="CCCCCC" w:sz="4"/>
              <w:right w:val="single" w:color="CCCCCC" w:sz="4"/>
            </w:tcBorders>
            <w:shd w:fill="FFF9EC"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Before hiring first employee or launching S.E.T.H.S pilot</w:t>
            </w:r>
          </w:p>
        </w:tc>
      </w:tr>
    </w:tbl>
    <w:p>
      <w:pPr>
        <w:spacing w:after="160"/>
      </w:pPr>
      <w:r>
        <w:rPr>
          <w:rFonts w:ascii="Arial" w:cs="Arial" w:eastAsia="Arial" w:hAnsi="Arial"/>
        </w:rPr>
        <w:t xml:space="preserve"/>
      </w:r>
    </w:p>
    <w:p>
      <w:pPr>
        <w:shd w:fill="060E1C" w:val="clear"/>
        <w:spacing w:before="600" w:after="200"/>
        <w:ind w:left="240" w:right="240"/>
      </w:pPr>
      <w:r>
        <w:rPr>
          <w:rFonts w:ascii="Arial" w:cs="Arial" w:eastAsia="Arial" w:hAnsi="Arial"/>
          <w:b/>
          <w:bCs/>
          <w:color w:val="C9A84C"/>
          <w:sz w:val="36"/>
          <w:szCs w:val="36"/>
        </w:rPr>
        <w:t xml:space="preserve">TIER 1 — DAY 1 TO WEEK 2</w:t>
      </w:r>
    </w:p>
    <w:p>
      <w:pPr>
        <w:spacing w:after="80" w:before="0"/>
      </w:pPr>
      <w:r>
        <w:rPr>
          <w:rFonts w:ascii="Arial" w:cs="Arial" w:eastAsia="Arial" w:hAnsi="Arial"/>
          <w:color w:val="C0392B"/>
          <w:sz w:val="18"/>
          <w:szCs w:val="18"/>
        </w:rPr>
        <w:t xml:space="preserve">These are absolute prerequisites. Nothing else is legally valid until these are complete. Do not schedule any investor meetings, government engagements, or team hires until Tier 1 is done.</w:t>
      </w:r>
    </w:p>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520"/>
        <w:gridCol w:w="440"/>
        <w:gridCol w:w="3400"/>
        <w:gridCol w:w="1100"/>
        <w:gridCol w:w="1100"/>
        <w:gridCol w:w="900"/>
        <w:gridCol w:w="860"/>
      </w:tblGrid>
      <w:tr>
        <w:trPr>
          <w:tblHeader/>
        </w:trPr>
        <w:tc>
          <w:tcPr>
            <w:tcW w:type="dxa" w:w="52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w:t>
            </w:r>
          </w:p>
        </w:tc>
        <w:tc>
          <w:tcPr>
            <w:tcW w:type="dxa" w:w="44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w:t>
            </w:r>
          </w:p>
        </w:tc>
        <w:tc>
          <w:tcPr>
            <w:tcW w:type="dxa" w:w="34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ACTION REQUIRED</w:t>
            </w:r>
          </w:p>
        </w:tc>
        <w:tc>
          <w:tcPr>
            <w:tcW w:type="dxa" w:w="11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DEADLINE</w:t>
            </w:r>
          </w:p>
        </w:tc>
        <w:tc>
          <w:tcPr>
            <w:tcW w:type="dxa" w:w="11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BUDGET (ZAR)</w:t>
            </w:r>
          </w:p>
        </w:tc>
        <w:tc>
          <w:tcPr>
            <w:tcW w:type="dxa" w:w="9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OWNER</w:t>
            </w:r>
          </w:p>
        </w:tc>
        <w:tc>
          <w:tcPr>
            <w:tcW w:type="dxa" w:w="86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PRIORITY</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1.1</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G.O.D.S Holdings (Pty) Ltd with CIPC — file custom MOI (already drafted)</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175 + legal</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 + Legal</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1.2</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G.O.D.S TS Holdings (Pty) Ltd with CIPC</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175 + legal</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 + Legal</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1.3</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S.E.T.H.S (Pty) Ltd with CIPC</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1–5</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175 + legal</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 + Legal</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1.4</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UDOC Technologies (Pty) Ltd with CIPC</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1–5</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175 + legal</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 + Legal</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1.5</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File Beneficial Ownership Register for all entities (CIPC portal — required within 10 days of incorporation, criminal offence if missed)</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1–10</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Free</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1.6</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Activate SARS eFiling for each entity immediately after CIPC certificate issued</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3–7</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Free</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 / CFO</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1.7</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File G.O.D.S IP Trust deed with Master of the High Court, Johannesburg — finalise deed with trust counsel first</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1–10</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5,000–R 15,000</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 + Trustees</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1.8</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File trademark — G.O.D.S word mark (CIPC Trade Marks Office, Class 35, 42, 45)</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590 per class</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1.9</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File trademark — S.E.T.H.S word mark (Classes 41, 42, 45)</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590 per class</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1.10</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File trademark — UDOC word mark (Classes 35, 38, 42)</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590 per class</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1.11</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File trademark — M.A.D.I.B.A word mark (Classes 35, 36, 42)</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590 per class</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1.12</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File trademark — GOOD ORDERLY DIRECTIONAL SYSTEMS word mark (Class 35)</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590</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1.13</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Confirm gods.systems domain is registered and controlled by SJS — if not, register immediately</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150–R 400 / yr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1.14</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Appoint and brief legal counsel (corporate commercial, trust law experience) — brief on MOI, SHA, Trust deed priority</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5,000–R 15,000 retainer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bl>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1800"/>
        <w:gridCol w:w="7520"/>
      </w:tblGrid>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CIPC</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Register online at cipc.co.za. Upload MOI (custom — already drafted). Director ID documents required. Each entity: R175 fee. Expect 5–21 business days per entity. Register all simultaneously.</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Trademarks</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File at cipc.co.za/trade-marks. Each class = separate filing fee of R590. Priority 1A–1D cover all 4 brand names across core classes. Budget R7,080–R9,440 for all filings. Trademark protection is provisional from filing date.</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IP Trust</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Appoint trust counsel (specialist in Trust Property Control Act 57/1988). Finalise trust deed. Register with Master of the High Court, Johannesburg. File trust deed + trustee acceptance + founding documents. Receive IT number.</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SARS eFiling</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Go to sars.gov.za. Register each entity for Income Tax after receiving CIPC certificate. Auto-triggers from CIPC for some entities — verify all are activated.</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RISK IF SKIPPED</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Beneficial Ownership filing: criminal offence, fines, director liability. Trademarks: no legal protection — names can be registered by competitors. IP Trust: investor capital cannot be accepted without mission custody structure in place.</w:t>
            </w:r>
          </w:p>
        </w:tc>
      </w:tr>
    </w:tbl>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2000"/>
        <w:gridCol w:w="2320"/>
      </w:tblGrid>
      <w:tr>
        <w:tc>
          <w:tcPr>
            <w:tcW w:type="dxa" w:w="3000"/>
            <w:tcBorders>
              <w:top w:val="single" w:color="CCCCCC" w:sz="4"/>
              <w:left w:val="single" w:color="CCCCCC" w:sz="4"/>
              <w:bottom w:val="single" w:color="CCCCCC" w:sz="4"/>
              <w:right w:val="single" w:color="CCCCCC" w:sz="4"/>
            </w:tcBorders>
            <w:shd w:fill="C9A84C"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PHASE TOTAL — TIER 1 — Day 1 to Week 2</w:t>
            </w:r>
          </w:p>
        </w:tc>
        <w:tc>
          <w:tcPr>
            <w:tcW w:type="dxa" w:w="2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LOW ESTIMATE</w:t>
            </w:r>
          </w:p>
        </w:tc>
        <w:tc>
          <w:tcPr>
            <w:tcW w:type="dxa" w:w="2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HIGH ESTIMATE</w:t>
            </w:r>
          </w:p>
        </w:tc>
        <w:tc>
          <w:tcPr>
            <w:tcW w:type="dxa" w:w="23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NOTES</w:t>
            </w:r>
          </w:p>
        </w:tc>
      </w:tr>
      <w:tr>
        <w:tc>
          <w:tcPr>
            <w:tcW w:type="dxa" w:w="3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Registrations, trademarks, trust, legal counsel brief. Excludes ongoing legal retainer.</w:t>
            </w:r>
          </w:p>
        </w:tc>
        <w:tc>
          <w:tcPr>
            <w:tcW w:type="dxa" w:w="200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20"/>
                <w:szCs w:val="20"/>
              </w:rPr>
              <w:t xml:space="preserve">R 14,500</w:t>
            </w:r>
          </w:p>
        </w:tc>
        <w:tc>
          <w:tcPr>
            <w:tcW w:type="dxa" w:w="20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20"/>
                <w:szCs w:val="20"/>
              </w:rPr>
              <w:t xml:space="preserve">R 35,000</w:t>
            </w:r>
          </w:p>
        </w:tc>
        <w:tc>
          <w:tcPr>
            <w:tcW w:type="dxa" w:w="2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777777"/>
                <w:sz w:val="16"/>
                <w:szCs w:val="16"/>
              </w:rPr>
              <w:t xml:space="preserve">Excludes professional fees unless stated</w:t>
            </w:r>
          </w:p>
        </w:tc>
      </w:tr>
    </w:tbl>
    <w:p>
      <w:pPr>
        <w:spacing w:after="240"/>
      </w:pPr>
      <w:r>
        <w:rPr>
          <w:rFonts w:ascii="Arial" w:cs="Arial" w:eastAsia="Arial" w:hAnsi="Arial"/>
        </w:rPr>
        <w:t xml:space="preserve"/>
      </w:r>
    </w:p>
    <w:p>
      <w:pPr>
        <w:shd w:fill="060E1C" w:val="clear"/>
        <w:spacing w:before="600" w:after="200"/>
        <w:ind w:left="240" w:right="240"/>
      </w:pPr>
      <w:r>
        <w:rPr>
          <w:rFonts w:ascii="Arial" w:cs="Arial" w:eastAsia="Arial" w:hAnsi="Arial"/>
          <w:b/>
          <w:bCs/>
          <w:color w:val="C9A84C"/>
          <w:sz w:val="36"/>
          <w:szCs w:val="36"/>
        </w:rPr>
        <w:t xml:space="preserve">TIER 2 — MONTH 1</w:t>
      </w:r>
    </w:p>
    <w:p>
      <w:pPr>
        <w:spacing w:after="80" w:before="0"/>
      </w:pPr>
      <w:r>
        <w:rPr>
          <w:rFonts w:ascii="Arial" w:cs="Arial" w:eastAsia="Arial" w:hAnsi="Arial"/>
          <w:color w:val="B7620A"/>
          <w:sz w:val="18"/>
          <w:szCs w:val="18"/>
        </w:rPr>
        <w:t xml:space="preserve">Complete before first hire, first investor meeting, or first government engagement. These registrations are prerequisites for receiving capital and deploying staff.</w:t>
      </w:r>
    </w:p>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520"/>
        <w:gridCol w:w="440"/>
        <w:gridCol w:w="3400"/>
        <w:gridCol w:w="1100"/>
        <w:gridCol w:w="1100"/>
        <w:gridCol w:w="900"/>
        <w:gridCol w:w="860"/>
      </w:tblGrid>
      <w:tr>
        <w:trPr>
          <w:tblHeader/>
        </w:trPr>
        <w:tc>
          <w:tcPr>
            <w:tcW w:type="dxa" w:w="52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w:t>
            </w:r>
          </w:p>
        </w:tc>
        <w:tc>
          <w:tcPr>
            <w:tcW w:type="dxa" w:w="44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w:t>
            </w:r>
          </w:p>
        </w:tc>
        <w:tc>
          <w:tcPr>
            <w:tcW w:type="dxa" w:w="34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ACTION REQUIRED</w:t>
            </w:r>
          </w:p>
        </w:tc>
        <w:tc>
          <w:tcPr>
            <w:tcW w:type="dxa" w:w="11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DEADLINE</w:t>
            </w:r>
          </w:p>
        </w:tc>
        <w:tc>
          <w:tcPr>
            <w:tcW w:type="dxa" w:w="11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BUDGET (ZAR)</w:t>
            </w:r>
          </w:p>
        </w:tc>
        <w:tc>
          <w:tcPr>
            <w:tcW w:type="dxa" w:w="9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OWNER</w:t>
            </w:r>
          </w:p>
        </w:tc>
        <w:tc>
          <w:tcPr>
            <w:tcW w:type="dxa" w:w="86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PRIORITY</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2.1</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Open corporate bank account — Standard Bank Business, FNB Business, or Nedbank Business. Requires CIPC cert + MOI + director IDs.</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Week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200–R 400 / mo</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 + CFO</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2.2</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all entities for PAYE with SARS (required before first employee salary payment)</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Week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Free</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 / Bookkeeper</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2.3</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for UIF (Unemployment Insurance Fund) at labour.gov.za — compulsory from first hire</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Week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Free</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 / HR</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2.4</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for SDL (Skills Development Levy) — automatically attached to PAYE registration</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Week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Free</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 / HR</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2.5</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for COIDA (Compensation for Occupational Injuries and Diseases) with Department of Labour — required before staff enter any workplace</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Week 2–4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Free to register (assessment after)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HR / COO</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2.6</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as Information Officer with the Information Regulator (POPIA) at inforegulator.org.za — required before ANY personal data is collected</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Week 1–2</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Free</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 / Legal</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2.7</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Draft and adopt POPIA Compliance Framework — data processing register, retention schedules, participant consent forms for S.E.T.H.S</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1</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8,000–R 20,000 (legal)</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 + UDOC Lead</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2.8</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Take out Professional Indemnity Insurance — minimum R5M cover. Required before any government meeting, MOU signing, or client engagement.</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Week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8,000–R 18,000 / yr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2.9</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Take out Directors &amp; Officers (D&amp;O) Insurance — covers SJS and future COB members from first investor conversation</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Week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12,000–R 35,000 / yr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2.10</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Take out Public Liability Insurance (required for any physical SDU facility or site visits)</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1</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5,000–R 12,000 / yr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2.11</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Appoint bookkeeper / accounting firm — must be operational from first transaction. Brief on G.O.D.S multi-entity structure.</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Week 2</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3,500–R 8,000 / mo</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2.12</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Establish dual-signature bank controls — all transactions above R50,000 require dual authorisation (per constitutional anti-corruption architecture)</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Week 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Free (bank configuration)</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 + SJS</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2.13</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Set up basic accounting system — Xero or Sage Business Cloud. Chart of accounts structured per 8-division architecture.</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Week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400–R 800 / mo</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 / Bookkeeper</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2.14</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gods.systems email domain — Google Workspace or Microsoft 365. Minimum: sjs@gods.systems, info@gods.systems, legal@gods.systems</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Day 1–3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180–R 350 / user / mo</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2.15</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Appoint independent COB members 1–3 (target: Month 2 per Operating Plan but recruitment must start Week 1)</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1–2</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5,000–R 15,000 / mo stipend each</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bl>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1800"/>
        <w:gridCol w:w="7520"/>
      </w:tblGrid>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Bank account</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Bring: CIPC certificate, certified MOI, certified IDs of all directors, proof of business address, resolution appointing account signatories. Standard Bank Business Current Account or FNB Easy Business Account are recommended for startup entities. Allow 5–10 business days.</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PAYE/UIF/SDL</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Register at sars.gov.za under 'Employer Registration'. Alternatively walk into any SARS branch. Takes 5–10 business days. SDL (1% of payroll) is included in PAYE registration automatically.</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COIDA</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Register at workmenscompensation.co.za or at any Department of Labour office. Obtain a Letter of Good Standing annually. Required for all government contracts and before any employee works on-site.</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POPIA Information Officer</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Register at inforegulator.org.za. Click 'Register as Information Officer'. Takes 1 day. This is one of the most overlooked registrations — enforcement action has been active since 2023.</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Insurance</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Contact a commercial insurance broker (not personal insurer). Describe: professional services, human capital programme delivery, government contracts, sensitive participant data. Request PI + D&amp;O + Public Liability bundle for startup discount.</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COB RECRUITMENT</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COB members must be demonstrably independent — no financial interest in G.O.D.S commercial entities. Target profiles: retired judge or senior advocate; academic in governance or technology ethics; senior civil society leader; international development institution alumnus. LinkedIn outreach + referral network. COB stipend is a governance cost, not operational salary.</w:t>
            </w:r>
          </w:p>
        </w:tc>
      </w:tr>
    </w:tbl>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2000"/>
        <w:gridCol w:w="2320"/>
      </w:tblGrid>
      <w:tr>
        <w:tc>
          <w:tcPr>
            <w:tcW w:type="dxa" w:w="3000"/>
            <w:tcBorders>
              <w:top w:val="single" w:color="CCCCCC" w:sz="4"/>
              <w:left w:val="single" w:color="CCCCCC" w:sz="4"/>
              <w:bottom w:val="single" w:color="CCCCCC" w:sz="4"/>
              <w:right w:val="single" w:color="CCCCCC" w:sz="4"/>
            </w:tcBorders>
            <w:shd w:fill="C9A84C"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PHASE TOTAL — TIER 2 — Month 1</w:t>
            </w:r>
          </w:p>
        </w:tc>
        <w:tc>
          <w:tcPr>
            <w:tcW w:type="dxa" w:w="2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LOW ESTIMATE</w:t>
            </w:r>
          </w:p>
        </w:tc>
        <w:tc>
          <w:tcPr>
            <w:tcW w:type="dxa" w:w="2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HIGH ESTIMATE</w:t>
            </w:r>
          </w:p>
        </w:tc>
        <w:tc>
          <w:tcPr>
            <w:tcW w:type="dxa" w:w="23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NOTES</w:t>
            </w:r>
          </w:p>
        </w:tc>
      </w:tr>
      <w:tr>
        <w:tc>
          <w:tcPr>
            <w:tcW w:type="dxa" w:w="3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Banking, insurance, POPIA, accounting, COB stipends. Excludes ongoing monthly costs.</w:t>
            </w:r>
          </w:p>
        </w:tc>
        <w:tc>
          <w:tcPr>
            <w:tcW w:type="dxa" w:w="200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20"/>
                <w:szCs w:val="20"/>
              </w:rPr>
              <w:t xml:space="preserve">R 22,000</w:t>
            </w:r>
          </w:p>
        </w:tc>
        <w:tc>
          <w:tcPr>
            <w:tcW w:type="dxa" w:w="20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20"/>
                <w:szCs w:val="20"/>
              </w:rPr>
              <w:t xml:space="preserve">R 58,000</w:t>
            </w:r>
          </w:p>
        </w:tc>
        <w:tc>
          <w:tcPr>
            <w:tcW w:type="dxa" w:w="2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777777"/>
                <w:sz w:val="16"/>
                <w:szCs w:val="16"/>
              </w:rPr>
              <w:t xml:space="preserve">Excludes professional fees unless stated</w:t>
            </w:r>
          </w:p>
        </w:tc>
      </w:tr>
    </w:tbl>
    <w:p>
      <w:pPr>
        <w:spacing w:after="240"/>
      </w:pPr>
      <w:r>
        <w:rPr>
          <w:rFonts w:ascii="Arial" w:cs="Arial" w:eastAsia="Arial" w:hAnsi="Arial"/>
        </w:rPr>
        <w:t xml:space="preserve"/>
      </w:r>
    </w:p>
    <w:p>
      <w:pPr>
        <w:shd w:fill="060E1C" w:val="clear"/>
        <w:spacing w:before="600" w:after="200"/>
        <w:ind w:left="240" w:right="240"/>
      </w:pPr>
      <w:r>
        <w:rPr>
          <w:rFonts w:ascii="Arial" w:cs="Arial" w:eastAsia="Arial" w:hAnsi="Arial"/>
          <w:b/>
          <w:bCs/>
          <w:color w:val="C9A84C"/>
          <w:sz w:val="36"/>
          <w:szCs w:val="36"/>
        </w:rPr>
        <w:t xml:space="preserve">TIER 3 — MONTHS 2 AND 3</w:t>
      </w:r>
    </w:p>
    <w:p>
      <w:pPr>
        <w:spacing w:after="80" w:before="0"/>
      </w:pPr>
      <w:r>
        <w:rPr>
          <w:rFonts w:ascii="Arial" w:cs="Arial" w:eastAsia="Arial" w:hAnsi="Arial"/>
          <w:color w:val="B7620A"/>
          <w:sz w:val="18"/>
          <w:szCs w:val="18"/>
        </w:rPr>
        <w:t xml:space="preserve">Complete before the S.E.T.H.S pilot launches and before first government contract submission. These take time — start the processes now, they run in parallel.</w:t>
      </w:r>
    </w:p>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520"/>
        <w:gridCol w:w="440"/>
        <w:gridCol w:w="3400"/>
        <w:gridCol w:w="1100"/>
        <w:gridCol w:w="1100"/>
        <w:gridCol w:w="900"/>
        <w:gridCol w:w="860"/>
      </w:tblGrid>
      <w:tr>
        <w:trPr>
          <w:tblHeader/>
        </w:trPr>
        <w:tc>
          <w:tcPr>
            <w:tcW w:type="dxa" w:w="52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w:t>
            </w:r>
          </w:p>
        </w:tc>
        <w:tc>
          <w:tcPr>
            <w:tcW w:type="dxa" w:w="44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w:t>
            </w:r>
          </w:p>
        </w:tc>
        <w:tc>
          <w:tcPr>
            <w:tcW w:type="dxa" w:w="34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ACTION REQUIRED</w:t>
            </w:r>
          </w:p>
        </w:tc>
        <w:tc>
          <w:tcPr>
            <w:tcW w:type="dxa" w:w="11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DEADLINE</w:t>
            </w:r>
          </w:p>
        </w:tc>
        <w:tc>
          <w:tcPr>
            <w:tcW w:type="dxa" w:w="11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BUDGET (ZAR)</w:t>
            </w:r>
          </w:p>
        </w:tc>
        <w:tc>
          <w:tcPr>
            <w:tcW w:type="dxa" w:w="9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OWNER</w:t>
            </w:r>
          </w:p>
        </w:tc>
        <w:tc>
          <w:tcPr>
            <w:tcW w:type="dxa" w:w="86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PRIORITY</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3.1</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Initiate SETA accreditation application — Services SETA (primary) or MerSETA depending on sector. Process takes 3–6 months — START IMMEDIATELY. Without this S.E.T.H.S cannot deliver accredited training.</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Start Month 2 (approve Month 5–7)</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5,000–R 15,000 (consultant)</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 + Legal</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3.2</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Initiate QCTO (Quality Council for Trades and Occupations) programme registration — required for occupational qualifications. Parallel to SETA.</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Start Month 2</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3,000–R 8,000</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3.3</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Engage B-BBEE verification agency — required for all government procurement bids. Commission verification at entity registration (founding team demographics determine score).</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8,000–R 15,000</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 + Legal</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3.4</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Identify and appoint IRBA-registered auditing firm — brief on multi-entity structure. First audit is Year 2 but some DFIs require named auditor in data room before investing.</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2</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2,000–R 5,000 / mo retainer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3.5</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Draft BCEA-compliant employment contracts for all Phase 1 hires — template covering: basic conditions, IP assignment, confidentiality, post-employment restrictions</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2</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8,000–R 15,000 (legal)</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 + COO</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3.6</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Draft Employee Share Participation scheme (Class D shares per constitutional design) — long-horizon equity for all Phase 1 staff</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10,000–R 20,000 (legal)</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 + CFO</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3.7</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Begin SDU facility search — Gauteng priority. 50-participant capacity. Spec: 3 training rooms, 2 counselling rooms, admin space, 200sqm outdoor. Leased, not owned.</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2</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Deposit: R 20,000–R 60,000</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COO + S.E.T.H.S Head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3.8</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Begin COO recruitment if not yet appointed — operations management of all divisions, SDU network, government engagement</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1–2</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600,000–R 900,000 CTC / yr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3.9</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Begin CFO recruitment if not yet appointed — DFI funding, multi-entity finance, investor relations</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1–2</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600,000–R 840,000 CTC / yr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3.10</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First government engagement meetings — DSD, DoL, DCS. Relationship-building only, not contract closing. Bring institutional brief, COB composition, CIPC registration.</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Travel / presentation costs: R 2,000–R 5,000</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 + COO</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3.11</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Develop first employer partnership LOIs — target 10 employer commitments before S.E.T.H.S cohort Phase 0 intake begins</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1,000–R 3,000 (legal review)</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3.12</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SASSA / community organisation referral partnerships for S.E.T.H.S participant pipeline — community organisations, correctional services liaison</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No cost</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3.13</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Initiate FSCA Financial Services Provider (FSP) licence for M.A.D.I.B.A Capital — 6–12 month process. Start Month 3 even though M.A.D.I.B.A is Phase 4 division.</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Start Month 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1,500 application fee + R 50,000–R 150,000 legal/compliance</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 + CFO</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3.14</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Complete shareholder agreements for all entities — already drafted, require legal counsel review and execution</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15,000–R 30,000 (legal)</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3.15</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Establish anonymous whistleblower reporting channel (constitutional requirement under Pillar XI) — can be a simple encrypted email or third-party service</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0–R 2,000 / mo (service)</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 + COB</w:t>
            </w:r>
          </w:p>
        </w:tc>
        <w:tc>
          <w:tcPr>
            <w:tcW w:type="dxa" w:w="86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16"/>
                <w:szCs w:val="16"/>
              </w:rPr>
              <w:t xml:space="preserve">STANDARD</w:t>
            </w:r>
          </w:p>
        </w:tc>
      </w:tr>
    </w:tbl>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1800"/>
        <w:gridCol w:w="7520"/>
      </w:tblGrid>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SETA</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Contact Services SETA (servicesseta.org.za) or MerSETA (merseta.org.za). Download Provider Accreditation Pack. Submit completed application + quality management system + facilitator CVs + programme outline. Assessors visit site. Budget 3–6 months from submission to approval. Use an accreditation consultant to accelerate.</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B-BBEE</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Appoint a SANAS-accredited B-BBEE verification agency. They audit: ownership, management control, skills development, enterprise development, and socio-economic development. S.E.T.H.S's target population qualifies as enterprise development spend. First verification establishes baseline — score improves with operational proof.</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HOW — FSCA FSP</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Download FSP application form from fsca.co.za. Categories needed for M.A.D.I.B.A: Category I (advice), Category II (discretionary management). Appoint Key Individual (KI) with required qualifications and experience. Submit fit and proper declarations. Allow 6–12 months. Start the process now — the licence does not activate until M.A.D.I.B.A launches but the process cannot be rushed.</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SDU FACILITY</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Target: Johannesburg South, Soweto, Tembisa, or Midrand for proximity to target population. Industrial/commercial lease preferred over retail. Look for existing training centre leases — these often have the right configuration. Budget R 15,000–R 40,000 / month rent plus 2-month deposit.</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EMPLOYER PARTNERS</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Target Sectors: construction (Stream A), BPO/admin (Stream B), agriculture/food (Stream C), community health (Stream D). Start with companies that have existing CSI/transformation commitments — the S.E.T.H.S placement is a B-BBEE enterprise development credit for them.</w:t>
            </w:r>
          </w:p>
        </w:tc>
      </w:tr>
    </w:tbl>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2000"/>
        <w:gridCol w:w="2320"/>
      </w:tblGrid>
      <w:tr>
        <w:tc>
          <w:tcPr>
            <w:tcW w:type="dxa" w:w="3000"/>
            <w:tcBorders>
              <w:top w:val="single" w:color="CCCCCC" w:sz="4"/>
              <w:left w:val="single" w:color="CCCCCC" w:sz="4"/>
              <w:bottom w:val="single" w:color="CCCCCC" w:sz="4"/>
              <w:right w:val="single" w:color="CCCCCC" w:sz="4"/>
            </w:tcBorders>
            <w:shd w:fill="C9A84C"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PHASE TOTAL — TIER 3 — Months 2–3</w:t>
            </w:r>
          </w:p>
        </w:tc>
        <w:tc>
          <w:tcPr>
            <w:tcW w:type="dxa" w:w="2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LOW ESTIMATE</w:t>
            </w:r>
          </w:p>
        </w:tc>
        <w:tc>
          <w:tcPr>
            <w:tcW w:type="dxa" w:w="2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HIGH ESTIMATE</w:t>
            </w:r>
          </w:p>
        </w:tc>
        <w:tc>
          <w:tcPr>
            <w:tcW w:type="dxa" w:w="23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NOTES</w:t>
            </w:r>
          </w:p>
        </w:tc>
      </w:tr>
      <w:tr>
        <w:tc>
          <w:tcPr>
            <w:tcW w:type="dxa" w:w="3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SETA, B-BBEE, legal docs, premises deposit, FSCA initiation. Excludes executive salaries.</w:t>
            </w:r>
          </w:p>
        </w:tc>
        <w:tc>
          <w:tcPr>
            <w:tcW w:type="dxa" w:w="200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20"/>
                <w:szCs w:val="20"/>
              </w:rPr>
              <w:t xml:space="preserve">R 48,000</w:t>
            </w:r>
          </w:p>
        </w:tc>
        <w:tc>
          <w:tcPr>
            <w:tcW w:type="dxa" w:w="20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20"/>
                <w:szCs w:val="20"/>
              </w:rPr>
              <w:t xml:space="preserve">R 105,000</w:t>
            </w:r>
          </w:p>
        </w:tc>
        <w:tc>
          <w:tcPr>
            <w:tcW w:type="dxa" w:w="2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777777"/>
                <w:sz w:val="16"/>
                <w:szCs w:val="16"/>
              </w:rPr>
              <w:t xml:space="preserve">Excludes professional fees unless stated</w:t>
            </w:r>
          </w:p>
        </w:tc>
      </w:tr>
    </w:tbl>
    <w:p>
      <w:pPr>
        <w:spacing w:after="240"/>
      </w:pPr>
      <w:r>
        <w:rPr>
          <w:rFonts w:ascii="Arial" w:cs="Arial" w:eastAsia="Arial" w:hAnsi="Arial"/>
        </w:rPr>
        <w:t xml:space="preserve"/>
      </w:r>
    </w:p>
    <w:p>
      <w:pPr>
        <w:shd w:fill="060E1C" w:val="clear"/>
        <w:spacing w:before="600" w:after="200"/>
        <w:ind w:left="240" w:right="240"/>
      </w:pPr>
      <w:r>
        <w:rPr>
          <w:rFonts w:ascii="Arial" w:cs="Arial" w:eastAsia="Arial" w:hAnsi="Arial"/>
          <w:b/>
          <w:bCs/>
          <w:color w:val="C9A84C"/>
          <w:sz w:val="36"/>
          <w:szCs w:val="36"/>
        </w:rPr>
        <w:t xml:space="preserve">TIER 4 — MONTHS 3 TO 6 (PRE-LAUNCH BUILD)</w:t>
      </w:r>
    </w:p>
    <w:p>
      <w:pPr>
        <w:spacing w:after="80" w:before="0"/>
      </w:pPr>
      <w:r>
        <w:rPr>
          <w:rFonts w:ascii="Arial" w:cs="Arial" w:eastAsia="Arial" w:hAnsi="Arial"/>
          <w:color w:val="060E1C"/>
          <w:sz w:val="18"/>
          <w:szCs w:val="18"/>
        </w:rPr>
        <w:t xml:space="preserve">The operational build phase. Every action here directly enables revenue generation or government contract qualification. Critical path: UDOC engineering and S.E.T.H.S staffing.</w:t>
      </w:r>
    </w:p>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520"/>
        <w:gridCol w:w="440"/>
        <w:gridCol w:w="3400"/>
        <w:gridCol w:w="1100"/>
        <w:gridCol w:w="1100"/>
        <w:gridCol w:w="900"/>
        <w:gridCol w:w="860"/>
      </w:tblGrid>
      <w:tr>
        <w:trPr>
          <w:tblHeader/>
        </w:trPr>
        <w:tc>
          <w:tcPr>
            <w:tcW w:type="dxa" w:w="52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w:t>
            </w:r>
          </w:p>
        </w:tc>
        <w:tc>
          <w:tcPr>
            <w:tcW w:type="dxa" w:w="44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w:t>
            </w:r>
          </w:p>
        </w:tc>
        <w:tc>
          <w:tcPr>
            <w:tcW w:type="dxa" w:w="34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ACTION REQUIRED</w:t>
            </w:r>
          </w:p>
        </w:tc>
        <w:tc>
          <w:tcPr>
            <w:tcW w:type="dxa" w:w="11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DEADLINE</w:t>
            </w:r>
          </w:p>
        </w:tc>
        <w:tc>
          <w:tcPr>
            <w:tcW w:type="dxa" w:w="11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BUDGET (ZAR)</w:t>
            </w:r>
          </w:p>
        </w:tc>
        <w:tc>
          <w:tcPr>
            <w:tcW w:type="dxa" w:w="9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OWNER</w:t>
            </w:r>
          </w:p>
        </w:tc>
        <w:tc>
          <w:tcPr>
            <w:tcW w:type="dxa" w:w="86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PRIORITY</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4.1</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Hire S.E.T.H.S Programme Head — 10+ years workforce development, government liaison, team leadership. This is the highest-impact hire in Phase 1.</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480,000–R 720,000 / yr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 + COO</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4.2</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Hire UDOC Engineering Lead / CTO — enterprise SaaS architecture, security-first design, Python/React, post-quantum crypto experience preferred</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960,000–R 1,440,000 / yr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4.3</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Hire 2 Senior S.E.T.H.S Facilitators — adult facilitation, life skills, workplace readiness delivery</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240,000–R 360,000 / yr each</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4.4</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Hire 4 Stream-specific S.E.T.H.S Facilitators — Streams A (Construction), B (Digital), C (Agriculture), D (Community Health)</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180,000–R 240,000 / yr each</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4.5</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Hire 3 S.E.T.H.S Case Managers — social work or case management background, crisis intervention, participant support</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192,000–R 264,000 / yr each</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4.6</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Hire Psychosocial Counsellor — registered counsellor or psychologist, trauma-informed practice. Contracted minimum 2 days/week if full-time not viable.</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264,000–R 360,000 / yr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4.7</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Hire Monitoring &amp; Evaluation Officer — social impact measurement, SETA-aligned reporting, data systems</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240,000–R 300,000 / yr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4.8</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Hire 2 UDOC Backend Engineers (Python / FastAPI / PostgreSQL / Kafka)</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480,000–R 720,000 / yr each</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UDOC Lead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4.9</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Hire 1 UDOC Frontend Engineer (React / TypeScript / compliance dashboards)</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420,000–R 600,000 / yr</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UDOC Lead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4.10</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Hire Compliance &amp; Legal Advisor (POPIA, EU AI Act, data governance, government contracts) — can be contracted initially</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480,000–R 720,000 / yr or R 800–R 1,500 / hr contracted</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Legal + UDOC Lead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4.11</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T.S Industries with CIDB (Construction Industry Development Board) — required for government construction bids. Register at cidb.org.za</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750–R 2,500</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T.S Director + Legal</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4.12</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T.S Industries with NHBRC (National Home Builders Registration Council) — required for housing projects. nhbrc.org.za</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1,500–R 3,500</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T.S Director</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4.13</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Clarify NERSA licence requirements for T.S Energy — registration/exemption threshold for solar installations. nersa.org.za</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0–R 5,000 (legal advice)</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T.S Director + Legal</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4.14</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Complete UDOC Phase 1 MVP — Modules: AI Decision Audit Log + Bias Detection engine + Model Registry. First enterprise client beta ready by Month 6.</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3–6</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120,000–R 280,000 (dev costs)</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UDOC Lead</w:t>
            </w:r>
          </w:p>
        </w:tc>
        <w:tc>
          <w:tcPr>
            <w:tcW w:type="dxa" w:w="86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6"/>
                <w:szCs w:val="16"/>
              </w:rPr>
              <w:t xml:space="preserve">CRITICAL</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4.15</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Identify and approach 3 UDOC enterprise beta clients — South African financial services or healthcare organisations with documented AI compliance pressure</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4–5</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0 (relationship cost)</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 + UDOC Lead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4.16</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SDU facility fit-out and equipment — training rooms, counselling rooms, biometric check-in system, technology setup</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4–5</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80,000–R 200,000</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COO + S.E.T.H.S Head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4.17</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Finalise S.E.T.H.S assessment tools — Foundational Accountability Interview, psychometric battery, Personal Recovery Contract. External behavioural science review.</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15,000–R 35,000</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 + Psychologist</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4.18</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Draft S.E.T.H.S Employer Partnership Agreement template — culture assessment, supervisor training commitment, monitoring protocol, 30/60/90 day review schedule</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5,000–R 10,000 (legal)</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 + Legal</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4.19</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Establish participant referral agreements with rehabilitation organisations and community partners in Gauteng</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0–R 5,000 (MOU legal)</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S.E.T.H.S Head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4.20</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Submit first government proposal — S.E.T.H.S pilot to DSD or DoL based on strongest MOU lead from Month 2–3 engagement</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5–6</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3,000–R 8,000 (proposal production)</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SJS + COO + S.E.T.H.S Head</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4.21</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Apply for National Treasury Social Employment Fund (SEF) grant for S.E.T.H.S Phase 1 — key public funding instrument</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Free to apply</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 + SJS</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4.22</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Initiate DBSA / IDC social grant applications — seed funding for Phase 1. Book introductory meetings immediately.</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2–3</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Free to apply</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 + SJS</w:t>
            </w:r>
          </w:p>
        </w:tc>
        <w:tc>
          <w:tcPr>
            <w:tcW w:type="dxa" w:w="860"/>
            <w:tcBorders>
              <w:top w:val="single" w:color="CCCCCC" w:sz="4"/>
              <w:left w:val="single" w:color="CCCCCC" w:sz="4"/>
              <w:bottom w:val="single" w:color="CCCCCC" w:sz="4"/>
              <w:right w:val="single" w:color="CCCCCC" w:sz="4"/>
            </w:tcBorders>
            <w:shd w:fill="FEF6EC" w:val="clear"/>
            <w:tcMar>
              <w:top w:type="dxa" w:w="100"/>
              <w:left w:type="dxa" w:w="120"/>
              <w:bottom w:type="dxa" w:w="100"/>
              <w:right w:type="dxa" w:w="120"/>
            </w:tcMar>
            <w:vAlign w:val="top"/>
          </w:tcPr>
          <w:p>
            <w:pPr>
              <w:spacing w:after="0"/>
              <w:jc w:val="center"/>
            </w:pPr>
            <w:r>
              <w:rPr>
                <w:rFonts w:ascii="Arial" w:cs="Arial" w:eastAsia="Arial" w:hAnsi="Arial"/>
                <w:b/>
                <w:bCs/>
                <w:color w:val="B7620A"/>
                <w:sz w:val="16"/>
                <w:szCs w:val="16"/>
              </w:rPr>
              <w:t xml:space="preserve">HIGH</w:t>
            </w:r>
          </w:p>
        </w:tc>
      </w:tr>
      <w:tr>
        <w:tc>
          <w:tcPr>
            <w:tcW w:type="dxa" w:w="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sz w:val="20"/>
                <w:szCs w:val="20"/>
              </w:rPr>
              <w:t xml:space="preserve">☐</w:t>
            </w:r>
          </w:p>
        </w:tc>
        <w:tc>
          <w:tcPr>
            <w:tcW w:type="dxa" w:w="44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4.23</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for VAT with SARS (compulsory once projected revenue exceeds R1M; voluntary registration recommended from Month 3 for credibility)</w:t>
            </w:r>
          </w:p>
        </w:tc>
        <w:tc>
          <w:tcPr>
            <w:tcW w:type="dxa" w:w="11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D1E35"/>
                <w:sz w:val="17"/>
                <w:szCs w:val="17"/>
              </w:rPr>
              <w:t xml:space="preserve">Month 3–4</w:t>
            </w:r>
          </w:p>
        </w:tc>
        <w:tc>
          <w:tcPr>
            <w:tcW w:type="dxa" w:w="11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Free</w:t>
            </w:r>
          </w:p>
        </w:tc>
        <w:tc>
          <w:tcPr>
            <w:tcW w:type="dxa" w:w="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6"/>
                <w:szCs w:val="16"/>
              </w:rPr>
              <w:t xml:space="preserve">CFO</w:t>
            </w:r>
          </w:p>
        </w:tc>
        <w:tc>
          <w:tcPr>
            <w:tcW w:type="dxa" w:w="86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16"/>
                <w:szCs w:val="16"/>
              </w:rPr>
              <w:t xml:space="preserve">STANDARD</w:t>
            </w:r>
          </w:p>
        </w:tc>
      </w:tr>
    </w:tbl>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1800"/>
        <w:gridCol w:w="7520"/>
      </w:tblGrid>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CRITICAL PATH NOTE</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The UDOC engineering hire (4.2) and S.E.T.H.S Programme Head hire (4.1) are the two actions that unlock everything else. Without the engineering lead, UDOC MVP cannot be built. Without the Programme Head, S.E.T.H.S cannot launch. These must be done before Month 4. Use your network first — equity compensation makes these roles attractive to the right candidates.</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FUNDING TIMING</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Phase 1 seed capital (R12–18M) must be secured before the full team is assembled. Apply to DBSA, IDC, and National Treasury SEF in parallel from Month 2. Do not wait for one response before initiating others. The data room is ready. The COB gives credibility. The documents are complete.</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UDOC MVP SCOPE</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Phase 1 MVP: Module 1 (AI Decision Audit Log) + Module 2 (Bias Detection Engine) + Module 5 (Compliance Dashboard). Three modules. Not the full platform. This is what gets you the first 3 enterprise clients by Month 12. Full platform is Phase 2. Build what generates revenue first.</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HIRING STRATEGY</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G.O.D.S cannot compete on immediate salary. The equity component (Class D shares, 4-year vest) is the differentiator. Candidates who value long-horizon contribution over immediate maximisation are the target. Be explicit about this in every hire conversation. Brief candidates on the constitutional architecture — this either excites them or filters them. Both are the correct outcome.</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CIDB GRADING</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T.S Industries starts at Grade 1 (no track record). This limits bid value to R500,000. Grade improves with demonstrated turnover and experience. Register now and begin building the track record on small projects. Target Grade 3 (R2M bid value) by Year 2 based on first solar installation projects.</w:t>
            </w:r>
          </w:p>
        </w:tc>
      </w:tr>
    </w:tbl>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2000"/>
        <w:gridCol w:w="2320"/>
      </w:tblGrid>
      <w:tr>
        <w:tc>
          <w:tcPr>
            <w:tcW w:type="dxa" w:w="3000"/>
            <w:tcBorders>
              <w:top w:val="single" w:color="CCCCCC" w:sz="4"/>
              <w:left w:val="single" w:color="CCCCCC" w:sz="4"/>
              <w:bottom w:val="single" w:color="CCCCCC" w:sz="4"/>
              <w:right w:val="single" w:color="CCCCCC" w:sz="4"/>
            </w:tcBorders>
            <w:shd w:fill="C9A84C"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PHASE TOTAL — TIER 4 — Months 3–6</w:t>
            </w:r>
          </w:p>
        </w:tc>
        <w:tc>
          <w:tcPr>
            <w:tcW w:type="dxa" w:w="2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LOW ESTIMATE</w:t>
            </w:r>
          </w:p>
        </w:tc>
        <w:tc>
          <w:tcPr>
            <w:tcW w:type="dxa" w:w="2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HIGH ESTIMATE</w:t>
            </w:r>
          </w:p>
        </w:tc>
        <w:tc>
          <w:tcPr>
            <w:tcW w:type="dxa" w:w="23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NOTES</w:t>
            </w:r>
          </w:p>
        </w:tc>
      </w:tr>
      <w:tr>
        <w:tc>
          <w:tcPr>
            <w:tcW w:type="dxa" w:w="3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UDOC MVP, CIDB/NHBRC, fit-out deposit, assessment tools, proposal costs. Excludes salaries.</w:t>
            </w:r>
          </w:p>
        </w:tc>
        <w:tc>
          <w:tcPr>
            <w:tcW w:type="dxa" w:w="200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20"/>
                <w:szCs w:val="20"/>
              </w:rPr>
              <w:t xml:space="preserve">R 185,000</w:t>
            </w:r>
          </w:p>
        </w:tc>
        <w:tc>
          <w:tcPr>
            <w:tcW w:type="dxa" w:w="20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20"/>
                <w:szCs w:val="20"/>
              </w:rPr>
              <w:t xml:space="preserve">R 420,000</w:t>
            </w:r>
          </w:p>
        </w:tc>
        <w:tc>
          <w:tcPr>
            <w:tcW w:type="dxa" w:w="2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777777"/>
                <w:sz w:val="16"/>
                <w:szCs w:val="16"/>
              </w:rPr>
              <w:t xml:space="preserve">Excludes professional fees unless stated</w:t>
            </w:r>
          </w:p>
        </w:tc>
      </w:tr>
    </w:tbl>
    <w:p>
      <w:pPr>
        <w:spacing w:after="240"/>
      </w:pPr>
      <w:r>
        <w:rPr>
          <w:rFonts w:ascii="Arial" w:cs="Arial" w:eastAsia="Arial" w:hAnsi="Arial"/>
        </w:rPr>
        <w:t xml:space="preserve"/>
      </w:r>
    </w:p>
    <w:p>
      <w:pPr>
        <w:shd w:fill="060E1C" w:val="clear"/>
        <w:spacing w:before="600" w:after="200"/>
        <w:ind w:left="240" w:right="240"/>
      </w:pPr>
      <w:r>
        <w:rPr>
          <w:rFonts w:ascii="Arial" w:cs="Arial" w:eastAsia="Arial" w:hAnsi="Arial"/>
          <w:b/>
          <w:bCs/>
          <w:color w:val="C9A84C"/>
          <w:sz w:val="36"/>
          <w:szCs w:val="36"/>
        </w:rPr>
        <w:t xml:space="preserve">YEAR 1 FULL OPERATING BUDGET BREAKDOWN</w:t>
      </w:r>
    </w:p>
    <w:p>
      <w:pPr>
        <w:spacing w:after="80" w:before="0"/>
      </w:pPr>
      <w:r>
        <w:rPr>
          <w:rFonts w:ascii="Arial" w:cs="Arial" w:eastAsia="Arial" w:hAnsi="Arial"/>
          <w:color w:val="060E1C"/>
          <w:sz w:val="18"/>
          <w:szCs w:val="18"/>
        </w:rPr>
        <w:t xml:space="preserve">This is the complete Phase 1 operating cost structure for 12 months of G.O.D.S Holdings operations, including S.E.T.H.S pilot (50 participants) and UDOC MVP build.</w:t>
      </w:r>
    </w:p>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300"/>
        <w:gridCol w:w="3200"/>
        <w:gridCol w:w="1000"/>
        <w:gridCol w:w="2900"/>
        <w:gridCol w:w="1920"/>
      </w:tblGrid>
      <w:tr>
        <w:tc>
          <w:tcPr>
            <w:tcW w:type="dxa" w:w="3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
            </w:r>
          </w:p>
        </w:tc>
        <w:tc>
          <w:tcPr>
            <w:tcW w:type="dxa" w:w="32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COST ITEM</w:t>
            </w:r>
          </w:p>
        </w:tc>
        <w:tc>
          <w:tcPr>
            <w:tcW w:type="dxa" w:w="10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UNITS</w:t>
            </w:r>
          </w:p>
        </w:tc>
        <w:tc>
          <w:tcPr>
            <w:tcW w:type="dxa" w:w="29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MONTHLY / UNIT COST</w:t>
            </w:r>
          </w:p>
        </w:tc>
        <w:tc>
          <w:tcPr>
            <w:tcW w:type="dxa" w:w="192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ANNUAL TOTAL</w:t>
            </w:r>
          </w:p>
        </w:tc>
      </w:tr>
      <w:tr>
        <w:tc>
          <w:tcPr>
            <w:tcW w:type="dxa" w:w="3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jc w:val="center"/>
            </w:pPr>
            <w:r>
              <w:rPr>
                <w:rFonts w:ascii="Arial" w:cs="Arial" w:eastAsia="Arial" w:hAnsi="Arial"/>
                <w:b/>
                <w:bCs/>
                <w:color w:val="C9A84C"/>
                <w:sz w:val="17"/>
                <w:szCs w:val="17"/>
              </w:rPr>
              <w:t xml:space="preserve">A</w:t>
            </w:r>
          </w:p>
        </w:tc>
        <w:tc>
          <w:tcPr>
            <w:tcW w:type="dxa" w:w="32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PEOPLE — EXECUTIVE &amp; GROUP</w:t>
            </w:r>
          </w:p>
        </w:tc>
        <w:tc>
          <w:tcPr>
            <w:tcW w:type="dxa" w:w="1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
            </w:r>
          </w:p>
        </w:tc>
        <w:tc>
          <w:tcPr>
            <w:tcW w:type="dxa" w:w="29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
            </w:r>
          </w:p>
        </w:tc>
        <w:tc>
          <w:tcPr>
            <w:tcW w:type="dxa" w:w="19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COO (if hired Month 2)</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62,500–R 75,000 / mo</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750,000–R 900,000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CFO (if hired Month 3)</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55,000–R 70,000 / mo</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660,000–R 840,000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Legal Counsel / Company Secretary</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40,000–R 60,000 / mo</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480,000–R 720,000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Chief of Staff (Month 4)</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30,000–R 45,000 / mo</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360,000–R 540,000</w:t>
            </w:r>
          </w:p>
        </w:tc>
      </w:tr>
      <w:tr>
        <w:tc>
          <w:tcPr>
            <w:tcW w:type="dxa" w:w="3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jc w:val="center"/>
            </w:pPr>
            <w:r>
              <w:rPr>
                <w:rFonts w:ascii="Arial" w:cs="Arial" w:eastAsia="Arial" w:hAnsi="Arial"/>
                <w:b/>
                <w:bCs/>
                <w:color w:val="C9A84C"/>
                <w:sz w:val="17"/>
                <w:szCs w:val="17"/>
              </w:rPr>
              <w:t xml:space="preserve">B</w:t>
            </w:r>
          </w:p>
        </w:tc>
        <w:tc>
          <w:tcPr>
            <w:tcW w:type="dxa" w:w="32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PEOPLE — S.E.T.H.S (14 FTE)</w:t>
            </w:r>
          </w:p>
        </w:tc>
        <w:tc>
          <w:tcPr>
            <w:tcW w:type="dxa" w:w="1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
            </w:r>
          </w:p>
        </w:tc>
        <w:tc>
          <w:tcPr>
            <w:tcW w:type="dxa" w:w="29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
            </w:r>
          </w:p>
        </w:tc>
        <w:tc>
          <w:tcPr>
            <w:tcW w:type="dxa" w:w="19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S.E.T.H.S Programme Head</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40,000–R 60,000 / mo</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480,000–R 720,000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Senior Facilitators</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2</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20,000–R 30,000 / mo each</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480,000–R 720,000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Stream Facilitators (A, B, C, D)</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4</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15,000–R 20,000 / mo each</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720,000–R 960,000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Case Managers</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3</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16,000–R 22,000 / mo each</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576,000–R 792,000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Psychosocial Counsellor</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22,000–R 30,000 / mo</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264,000–R 360,000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M&amp;E Officer</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20,000–R 25,000 / mo</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240,000–R 300,000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Finance Officer</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18,000–R 25,000 / mo</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216,000–R 300,000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Admin &amp; Communications</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12,000–R 16,000 / mo</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144,000–R 192,000</w:t>
            </w:r>
          </w:p>
        </w:tc>
      </w:tr>
      <w:tr>
        <w:tc>
          <w:tcPr>
            <w:tcW w:type="dxa" w:w="3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jc w:val="center"/>
            </w:pPr>
            <w:r>
              <w:rPr>
                <w:rFonts w:ascii="Arial" w:cs="Arial" w:eastAsia="Arial" w:hAnsi="Arial"/>
                <w:b/>
                <w:bCs/>
                <w:color w:val="C9A84C"/>
                <w:sz w:val="17"/>
                <w:szCs w:val="17"/>
              </w:rPr>
              <w:t xml:space="preserve">C</w:t>
            </w:r>
          </w:p>
        </w:tc>
        <w:tc>
          <w:tcPr>
            <w:tcW w:type="dxa" w:w="32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PEOPLE — UDOC (4 FTE from Month 3)</w:t>
            </w:r>
          </w:p>
        </w:tc>
        <w:tc>
          <w:tcPr>
            <w:tcW w:type="dxa" w:w="1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
            </w:r>
          </w:p>
        </w:tc>
        <w:tc>
          <w:tcPr>
            <w:tcW w:type="dxa" w:w="29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
            </w:r>
          </w:p>
        </w:tc>
        <w:tc>
          <w:tcPr>
            <w:tcW w:type="dxa" w:w="19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UDOC Engineering Lead / CTO</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80,000–R 120,000 / mo</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960,000–R 1,440,000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Senior Backend Engineers</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2</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40,000–R 60,000 / mo each</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960,000–R 1,440,000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Frontend Engineer</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35,000–R 50,000 / mo</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420,000–R 600,000</w:t>
            </w:r>
          </w:p>
        </w:tc>
      </w:tr>
      <w:tr>
        <w:tc>
          <w:tcPr>
            <w:tcW w:type="dxa" w:w="3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jc w:val="center"/>
            </w:pPr>
            <w:r>
              <w:rPr>
                <w:rFonts w:ascii="Arial" w:cs="Arial" w:eastAsia="Arial" w:hAnsi="Arial"/>
                <w:b/>
                <w:bCs/>
                <w:color w:val="C9A84C"/>
                <w:sz w:val="17"/>
                <w:szCs w:val="17"/>
              </w:rPr>
              <w:t xml:space="preserve">D</w:t>
            </w:r>
          </w:p>
        </w:tc>
        <w:tc>
          <w:tcPr>
            <w:tcW w:type="dxa" w:w="32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FACILITIES &amp; INFRASTRUCTURE</w:t>
            </w:r>
          </w:p>
        </w:tc>
        <w:tc>
          <w:tcPr>
            <w:tcW w:type="dxa" w:w="1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
            </w:r>
          </w:p>
        </w:tc>
        <w:tc>
          <w:tcPr>
            <w:tcW w:type="dxa" w:w="29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
            </w:r>
          </w:p>
        </w:tc>
        <w:tc>
          <w:tcPr>
            <w:tcW w:type="dxa" w:w="19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SDU facility lease (Gauteng)</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15,000–R 40,000 / mo</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180,000–R 480,000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SDU fit-out (once-off)</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80,000–R 200,000 once</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80,000–R 200,000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Office premises (G.O.D.S Holdings)</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8,000–R 20,000 / mo</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96,000–R 240,000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IT infrastructure (cloud, devices, software)</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120,000–R 280,000</w:t>
            </w:r>
          </w:p>
        </w:tc>
      </w:tr>
      <w:tr>
        <w:tc>
          <w:tcPr>
            <w:tcW w:type="dxa" w:w="3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jc w:val="center"/>
            </w:pPr>
            <w:r>
              <w:rPr>
                <w:rFonts w:ascii="Arial" w:cs="Arial" w:eastAsia="Arial" w:hAnsi="Arial"/>
                <w:b/>
                <w:bCs/>
                <w:color w:val="C9A84C"/>
                <w:sz w:val="17"/>
                <w:szCs w:val="17"/>
              </w:rPr>
              <w:t xml:space="preserve">E</w:t>
            </w:r>
          </w:p>
        </w:tc>
        <w:tc>
          <w:tcPr>
            <w:tcW w:type="dxa" w:w="32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PROGRAMME COSTS — S.E.T.H.S</w:t>
            </w:r>
          </w:p>
        </w:tc>
        <w:tc>
          <w:tcPr>
            <w:tcW w:type="dxa" w:w="1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
            </w:r>
          </w:p>
        </w:tc>
        <w:tc>
          <w:tcPr>
            <w:tcW w:type="dxa" w:w="29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
            </w:r>
          </w:p>
        </w:tc>
        <w:tc>
          <w:tcPr>
            <w:tcW w:type="dxa" w:w="19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Participant stipends (50 × R2,500 / mo × 6 months)</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50</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2,500 / mo per participant</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1A6B3A"/>
                <w:sz w:val="17"/>
                <w:szCs w:val="17"/>
              </w:rPr>
              <w:t xml:space="preserve">R 1,500,000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Training materials, assessment tools, printing</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480,000–R 720,000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Contracted clinical psychologist (2 days/wk)</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1,500–R 2,500 / day</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180,000–R 300,000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Employer engagement and placement logistics</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120,000–R 200,000</w:t>
            </w:r>
          </w:p>
        </w:tc>
      </w:tr>
      <w:tr>
        <w:tc>
          <w:tcPr>
            <w:tcW w:type="dxa" w:w="3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jc w:val="center"/>
            </w:pPr>
            <w:r>
              <w:rPr>
                <w:rFonts w:ascii="Arial" w:cs="Arial" w:eastAsia="Arial" w:hAnsi="Arial"/>
                <w:b/>
                <w:bCs/>
                <w:color w:val="C9A84C"/>
                <w:sz w:val="17"/>
                <w:szCs w:val="17"/>
              </w:rPr>
              <w:t xml:space="preserve">F</w:t>
            </w:r>
          </w:p>
        </w:tc>
        <w:tc>
          <w:tcPr>
            <w:tcW w:type="dxa" w:w="32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LEGAL, COMPLIANCE &amp; INSURANCE</w:t>
            </w:r>
          </w:p>
        </w:tc>
        <w:tc>
          <w:tcPr>
            <w:tcW w:type="dxa" w:w="1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
            </w:r>
          </w:p>
        </w:tc>
        <w:tc>
          <w:tcPr>
            <w:tcW w:type="dxa" w:w="29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
            </w:r>
          </w:p>
        </w:tc>
        <w:tc>
          <w:tcPr>
            <w:tcW w:type="dxa" w:w="19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Legal counsel retainer (ongoing)</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1</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20,000–R 40,000 / mo</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240,000–R 480,000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Professional Indemnity insurance</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8,000–R 18,000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D&amp;O insurance</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12,000–R 35,000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Public Liability insurance</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5,000–R 12,000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SETA accreditation consultant</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5,000–R 15,000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B-BBEE verification</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8,000–R 15,000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Auditor retainer (pre-audit)</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24,000–R 60,000</w:t>
            </w:r>
          </w:p>
        </w:tc>
      </w:tr>
      <w:tr>
        <w:tc>
          <w:tcPr>
            <w:tcW w:type="dxa" w:w="3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jc w:val="center"/>
            </w:pPr>
            <w:r>
              <w:rPr>
                <w:rFonts w:ascii="Arial" w:cs="Arial" w:eastAsia="Arial" w:hAnsi="Arial"/>
                <w:b/>
                <w:bCs/>
                <w:color w:val="C9A84C"/>
                <w:sz w:val="17"/>
                <w:szCs w:val="17"/>
              </w:rPr>
              <w:t xml:space="preserve">G</w:t>
            </w:r>
          </w:p>
        </w:tc>
        <w:tc>
          <w:tcPr>
            <w:tcW w:type="dxa" w:w="32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INSTITUTIONAL &amp; GOVERNANCE</w:t>
            </w:r>
          </w:p>
        </w:tc>
        <w:tc>
          <w:tcPr>
            <w:tcW w:type="dxa" w:w="1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
            </w:r>
          </w:p>
        </w:tc>
        <w:tc>
          <w:tcPr>
            <w:tcW w:type="dxa" w:w="29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
            </w:r>
          </w:p>
        </w:tc>
        <w:tc>
          <w:tcPr>
            <w:tcW w:type="dxa" w:w="19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COB stipends (3 members × R10,000 / mo)</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3</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5,000–R 15,000 / mo each</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180,000–R 540,000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COB meetings, travel, venue</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4 meetings</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R 5,000–R 15,000 per meeting</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20,000–R 60,000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Government engagement costs</w:t>
            </w:r>
          </w:p>
        </w:tc>
        <w:tc>
          <w:tcPr>
            <w:tcW w:type="dxa" w:w="10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w:t>
            </w:r>
          </w:p>
        </w:tc>
        <w:tc>
          <w:tcPr>
            <w:tcW w:type="dxa" w:w="29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w:t>
            </w:r>
          </w:p>
        </w:tc>
        <w:tc>
          <w:tcPr>
            <w:tcW w:type="dxa" w:w="19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30,000–R 80,000</w:t>
            </w:r>
          </w:p>
        </w:tc>
      </w:tr>
      <w:tr>
        <w:tc>
          <w:tcPr>
            <w:tcW w:type="dxa" w:w="3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jc w:val="center"/>
            </w:pPr>
            <w:r>
              <w:rPr>
                <w:rFonts w:ascii="Arial" w:cs="Arial" w:eastAsia="Arial" w:hAnsi="Arial"/>
                <w:b/>
                <w:bCs/>
                <w:color w:val="999999"/>
                <w:sz w:val="17"/>
                <w:szCs w:val="17"/>
              </w:rPr>
              <w:t xml:space="preserve"/>
            </w:r>
          </w:p>
        </w:tc>
        <w:tc>
          <w:tcPr>
            <w:tcW w:type="dxa" w:w="32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val="false"/>
                <w:bCs w:val="false"/>
                <w:color w:val="060E1C"/>
                <w:sz w:val="17"/>
                <w:szCs w:val="17"/>
              </w:rPr>
              <w:t xml:space="preserve">Bookkeeping + accounting system</w:t>
            </w:r>
          </w:p>
        </w:tc>
        <w:tc>
          <w:tcPr>
            <w:tcW w:type="dxa" w:w="10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w:t>
            </w:r>
          </w:p>
        </w:tc>
        <w:tc>
          <w:tcPr>
            <w:tcW w:type="dxa" w:w="29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w:t>
            </w:r>
          </w:p>
        </w:tc>
        <w:tc>
          <w:tcPr>
            <w:tcW w:type="dxa" w:w="19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 66,000–R 144,000</w:t>
            </w:r>
          </w:p>
        </w:tc>
      </w:tr>
      <w:tr>
        <w:tc>
          <w:tcPr>
            <w:tcW w:type="dxa" w:w="3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jc w:val="center"/>
            </w:pPr>
            <w:r>
              <w:rPr>
                <w:rFonts w:ascii="Arial" w:cs="Arial" w:eastAsia="Arial" w:hAnsi="Arial"/>
                <w:b/>
                <w:bCs/>
                <w:color w:val="C9A84C"/>
                <w:sz w:val="17"/>
                <w:szCs w:val="17"/>
              </w:rPr>
              <w:t xml:space="preserve">H</w:t>
            </w:r>
          </w:p>
        </w:tc>
        <w:tc>
          <w:tcPr>
            <w:tcW w:type="dxa" w:w="32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CONTINGENCY (15%)</w:t>
            </w:r>
          </w:p>
        </w:tc>
        <w:tc>
          <w:tcPr>
            <w:tcW w:type="dxa" w:w="10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jc w:val="center"/>
            </w:pPr>
            <w:r>
              <w:rPr>
                <w:rFonts w:ascii="Arial" w:cs="Arial" w:eastAsia="Arial" w:hAnsi="Arial"/>
                <w:color w:val="555555"/>
                <w:sz w:val="17"/>
                <w:szCs w:val="17"/>
              </w:rPr>
              <w:t xml:space="preserve"/>
            </w:r>
          </w:p>
        </w:tc>
        <w:tc>
          <w:tcPr>
            <w:tcW w:type="dxa" w:w="290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color w:val="555555"/>
                <w:sz w:val="17"/>
                <w:szCs w:val="17"/>
              </w:rPr>
              <w:t xml:space="preserve"/>
            </w:r>
          </w:p>
        </w:tc>
        <w:tc>
          <w:tcPr>
            <w:tcW w:type="dxa" w:w="19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R 1,197,000–R 2,016,000</w:t>
            </w:r>
          </w:p>
        </w:tc>
      </w:tr>
      <w:tr>
        <w:tc>
          <w:tcPr>
            <w:tcW w:type="dxa" w:w="300"/>
            <w:tcBorders>
              <w:top w:val="single" w:color="CCCCCC" w:sz="4"/>
              <w:left w:val="single" w:color="CCCCCC" w:sz="4"/>
              <w:bottom w:val="single" w:color="CCCCCC" w:sz="4"/>
              <w:right w:val="single" w:color="CCCCCC" w:sz="4"/>
            </w:tcBorders>
            <w:shd w:fill="C9A84C"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
            </w:r>
          </w:p>
        </w:tc>
        <w:tc>
          <w:tcPr>
            <w:tcW w:type="dxa" w:w="3200"/>
            <w:tcBorders>
              <w:top w:val="single" w:color="CCCCCC" w:sz="4"/>
              <w:left w:val="single" w:color="CCCCCC" w:sz="4"/>
              <w:bottom w:val="single" w:color="CCCCCC" w:sz="4"/>
              <w:right w:val="single" w:color="CCCCCC" w:sz="4"/>
            </w:tcBorders>
            <w:shd w:fill="C9A84C"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TOTAL YEAR 1 OPERATING BUDGET</w:t>
            </w:r>
          </w:p>
        </w:tc>
        <w:tc>
          <w:tcPr>
            <w:tcW w:type="dxa" w:w="1000"/>
            <w:tcBorders>
              <w:top w:val="single" w:color="CCCCCC" w:sz="4"/>
              <w:left w:val="single" w:color="CCCCCC" w:sz="4"/>
              <w:bottom w:val="single" w:color="CCCCCC" w:sz="4"/>
              <w:right w:val="single" w:color="CCCCCC" w:sz="4"/>
            </w:tcBorders>
            <w:shd w:fill="C9A84C"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
            </w:r>
          </w:p>
        </w:tc>
        <w:tc>
          <w:tcPr>
            <w:tcW w:type="dxa" w:w="2900"/>
            <w:tcBorders>
              <w:top w:val="single" w:color="CCCCCC" w:sz="4"/>
              <w:left w:val="single" w:color="CCCCCC" w:sz="4"/>
              <w:bottom w:val="single" w:color="CCCCCC" w:sz="4"/>
              <w:right w:val="single" w:color="CCCCCC" w:sz="4"/>
            </w:tcBorders>
            <w:shd w:fill="C9A84C" w:val="clear"/>
            <w:tcMar>
              <w:top w:type="dxa" w:w="100"/>
              <w:left w:type="dxa" w:w="120"/>
              <w:bottom w:type="dxa" w:w="100"/>
              <w:right w:type="dxa" w:w="120"/>
            </w:tcMar>
            <w:vAlign w:val="top"/>
          </w:tcPr>
          <w:p>
            <w:pPr>
              <w:spacing w:after="0"/>
            </w:pPr>
            <w:r>
              <w:rPr>
                <w:rFonts w:ascii="Arial" w:cs="Arial" w:eastAsia="Arial" w:hAnsi="Arial"/>
                <w:b/>
                <w:bCs/>
                <w:color w:val="060E1C"/>
                <w:sz w:val="18"/>
                <w:szCs w:val="18"/>
              </w:rPr>
              <w:t xml:space="preserve"/>
            </w:r>
          </w:p>
        </w:tc>
        <w:tc>
          <w:tcPr>
            <w:tcW w:type="dxa" w:w="1920"/>
            <w:tcBorders>
              <w:top w:val="single" w:color="CCCCCC" w:sz="4"/>
              <w:left w:val="single" w:color="CCCCCC" w:sz="4"/>
              <w:bottom w:val="single" w:color="CCCCCC" w:sz="4"/>
              <w:right w:val="single" w:color="CCCCCC" w:sz="4"/>
            </w:tcBorders>
            <w:shd w:fill="1A6B3A" w:val="clear"/>
            <w:tcMar>
              <w:top w:type="dxa" w:w="100"/>
              <w:left w:type="dxa" w:w="120"/>
              <w:bottom w:type="dxa" w:w="100"/>
              <w:right w:type="dxa" w:w="120"/>
            </w:tcMar>
            <w:vAlign w:val="top"/>
          </w:tcPr>
          <w:p>
            <w:pPr>
              <w:spacing w:after="0"/>
            </w:pPr>
            <w:r>
              <w:rPr>
                <w:rFonts w:ascii="Arial" w:cs="Arial" w:eastAsia="Arial" w:hAnsi="Arial"/>
                <w:b/>
                <w:bCs/>
                <w:color w:val="FFFFFF"/>
                <w:sz w:val="18"/>
                <w:szCs w:val="18"/>
              </w:rPr>
              <w:t xml:space="preserve">R 8.78M – R 13.47M</w:t>
            </w:r>
          </w:p>
        </w:tc>
      </w:tr>
    </w:tbl>
    <w:p>
      <w:pPr>
        <w:spacing w:after="160"/>
      </w:pPr>
      <w:r>
        <w:rPr>
          <w:rFonts w:ascii="Arial" w:cs="Arial" w:eastAsia="Arial" w:hAnsi="Arial"/>
        </w:rPr>
        <w:t xml:space="preserve"/>
      </w:r>
    </w:p>
    <w:p>
      <w:pPr>
        <w:spacing w:after="80" w:before="0"/>
      </w:pPr>
      <w:r>
        <w:rPr>
          <w:rFonts w:ascii="Arial" w:cs="Arial" w:eastAsia="Arial" w:hAnsi="Arial"/>
          <w:color w:val="555555"/>
          <w:sz w:val="17"/>
          <w:szCs w:val="17"/>
        </w:rPr>
        <w:t xml:space="preserve">NOTE: This budget assumes Phase 1 seed capital of R12M–R18M is secured from DFI + grant + angel sources. The conservative scenario (R8.78M) assumes some senior roles are contracted rather than full-time employed. Full operating costs commence Month 3 when hiring is complete. Adjust the COO and CFO start dates to manage cash burn in Months 1–2.</w:t>
      </w:r>
    </w:p>
    <w:p>
      <w:pPr>
        <w:spacing w:after="240"/>
      </w:pPr>
      <w:r>
        <w:rPr>
          <w:rFonts w:ascii="Arial" w:cs="Arial" w:eastAsia="Arial" w:hAnsi="Arial"/>
        </w:rPr>
        <w:t xml:space="preserve"/>
      </w:r>
    </w:p>
    <w:p>
      <w:pPr>
        <w:shd w:fill="060E1C" w:val="clear"/>
        <w:spacing w:before="600" w:after="200"/>
        <w:ind w:left="240" w:right="240"/>
      </w:pPr>
      <w:r>
        <w:rPr>
          <w:rFonts w:ascii="Arial" w:cs="Arial" w:eastAsia="Arial" w:hAnsi="Arial"/>
          <w:b/>
          <w:bCs/>
          <w:color w:val="C9A84C"/>
          <w:sz w:val="36"/>
          <w:szCs w:val="36"/>
        </w:rPr>
        <w:t xml:space="preserve">MONTH-BY-MONTH EXECUTION TIMELINE</w:t>
      </w:r>
    </w:p>
    <w:p>
      <w:pPr>
        <w:spacing w:after="80"/>
      </w:pPr>
      <w:r>
        <w:rPr>
          <w:rFonts w:ascii="Arial" w:cs="Arial" w:eastAsia="Arial" w:hAnsi="Arial"/>
        </w:rPr>
        <w:t xml:space="preserve"/>
      </w:r>
    </w:p>
    <w:p>
      <w:pPr>
        <w:shd w:fill="0D1E35" w:val="clear"/>
        <w:spacing w:before="400" w:after="160"/>
        <w:ind w:left="200" w:right="200"/>
      </w:pPr>
      <w:r>
        <w:rPr>
          <w:rFonts w:ascii="Arial" w:cs="Arial" w:eastAsia="Arial" w:hAnsi="Arial"/>
          <w:b/>
          <w:bCs/>
          <w:color w:val="C9A84C"/>
          <w:sz w:val="26"/>
          <w:szCs w:val="26"/>
        </w:rPr>
        <w:t xml:space="preserve">MONTH 1</w:t>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9320"/>
      </w:tblGrid>
      <w:tr>
        <w:tc>
          <w:tcPr>
            <w:tcW w:type="dxa" w:w="93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TARGET: Entity exists. Bank account open. Insurance active. First government meetings booked.</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Register all 4 entities with CIPC</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File Beneficial Ownership declarations</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Activate SARS eFiling for all entities</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Register IP Trust with Master of the High Court</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File all trademark applications (Priority 1A–1F)</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Open corporate bank accounts</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Register gods.systems email domain</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Engage legal counsel</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Apply for Professional Indemnity + D&amp;O insurance</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Register as POPIA Information Officer</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Appoint bookkeeper / accounting firm</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Set up dual-signature bank controls</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Begin COB member recruitment</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Register PAYE / UIF / SDL with SARS</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Register for COIDA</w:t>
            </w:r>
          </w:p>
        </w:tc>
      </w:tr>
    </w:tbl>
    <w:p>
      <w:pPr>
        <w:spacing w:after="80"/>
      </w:pPr>
      <w:r>
        <w:rPr>
          <w:rFonts w:ascii="Arial" w:cs="Arial" w:eastAsia="Arial" w:hAnsi="Arial"/>
        </w:rPr>
        <w:t xml:space="preserve"/>
      </w:r>
    </w:p>
    <w:p>
      <w:pPr>
        <w:shd w:fill="0D1E35" w:val="clear"/>
        <w:spacing w:before="400" w:after="160"/>
        <w:ind w:left="200" w:right="200"/>
      </w:pPr>
      <w:r>
        <w:rPr>
          <w:rFonts w:ascii="Arial" w:cs="Arial" w:eastAsia="Arial" w:hAnsi="Arial"/>
          <w:b/>
          <w:bCs/>
          <w:color w:val="C9A84C"/>
          <w:sz w:val="26"/>
          <w:szCs w:val="26"/>
        </w:rPr>
        <w:t xml:space="preserve">MONTH 2</w:t>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9320"/>
      </w:tblGrid>
      <w:tr>
        <w:tc>
          <w:tcPr>
            <w:tcW w:type="dxa" w:w="93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TARGET: COB operational. First government meetings held. SETA application submitted. Key hires identified.</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Appoint first 3 COB members — hold first COB meeting</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Hold government engagement meetings: DSD, DoL, DCS</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Submit SETA accreditation application</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Submit QCTO programme registration</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Commission B-BBEE verification</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Identify and brief auditing firm</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Begin SDU facility search in Gauteng</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Begin COO and CFO recruitment</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Draft POPIA Compliance Framework</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Apply to DBSA Social Grant and IDC Social</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Apply to National Treasury Social Employment Fund</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Draft employment contract templates</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Draft employer partnership agreement template</w:t>
            </w:r>
          </w:p>
        </w:tc>
      </w:tr>
    </w:tbl>
    <w:p>
      <w:pPr>
        <w:spacing w:after="80"/>
      </w:pPr>
      <w:r>
        <w:rPr>
          <w:rFonts w:ascii="Arial" w:cs="Arial" w:eastAsia="Arial" w:hAnsi="Arial"/>
        </w:rPr>
        <w:t xml:space="preserve"/>
      </w:r>
    </w:p>
    <w:p>
      <w:pPr>
        <w:shd w:fill="0D1E35" w:val="clear"/>
        <w:spacing w:before="400" w:after="160"/>
        <w:ind w:left="200" w:right="200"/>
      </w:pPr>
      <w:r>
        <w:rPr>
          <w:rFonts w:ascii="Arial" w:cs="Arial" w:eastAsia="Arial" w:hAnsi="Arial"/>
          <w:b/>
          <w:bCs/>
          <w:color w:val="C9A84C"/>
          <w:sz w:val="26"/>
          <w:szCs w:val="26"/>
        </w:rPr>
        <w:t xml:space="preserve">MONTH 3</w:t>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9320"/>
      </w:tblGrid>
      <w:tr>
        <w:tc>
          <w:tcPr>
            <w:tcW w:type="dxa" w:w="93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TARGET: Team building. UDOC development begins. Seed capital in pipeline. SDU facility identified.</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Hire COO (if not Month 2)</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Hire CFO (if not Month 2)</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Hire S.E.T.H.S Programme Head</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Hire UDOC Engineering Lead</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UDOC Phase 1 development sprint begins</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Initiate FSCA FSP licence application for M.A.D.I.B.A</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SDU facility lease signed (or shortlist to 2)</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Register T.S Industries with CIDB</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Register T.S Industries with NHBRC</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NERSA licence requirements clarified for T.S Energy</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Register for VAT</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Execute shareholder agreements across all entities</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First employer partnership LOIs secured (target: 5 of 10)</w:t>
            </w:r>
          </w:p>
        </w:tc>
      </w:tr>
    </w:tbl>
    <w:p>
      <w:pPr>
        <w:spacing w:after="80"/>
      </w:pPr>
      <w:r>
        <w:rPr>
          <w:rFonts w:ascii="Arial" w:cs="Arial" w:eastAsia="Arial" w:hAnsi="Arial"/>
        </w:rPr>
        <w:t xml:space="preserve"/>
      </w:r>
    </w:p>
    <w:p>
      <w:pPr>
        <w:shd w:fill="0D1E35" w:val="clear"/>
        <w:spacing w:before="400" w:after="160"/>
        <w:ind w:left="200" w:right="200"/>
      </w:pPr>
      <w:r>
        <w:rPr>
          <w:rFonts w:ascii="Arial" w:cs="Arial" w:eastAsia="Arial" w:hAnsi="Arial"/>
          <w:b/>
          <w:bCs/>
          <w:color w:val="C9A84C"/>
          <w:sz w:val="26"/>
          <w:szCs w:val="26"/>
        </w:rPr>
        <w:t xml:space="preserve">MONTH 4</w:t>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9320"/>
      </w:tblGrid>
      <w:tr>
        <w:tc>
          <w:tcPr>
            <w:tcW w:type="dxa" w:w="93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TARGET: Full S.E.T.H.S team. UDOC MVP in build. Government proposals in preparation.</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Hire 4 x Stream Facilitators (A, B, C, D)</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Hire 3 x Case Managers</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Hire Psychosocial Counsellor</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Hire M&amp;E Officer</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Hire 2 x UDOC Backend Engineers</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Hire UDOC Frontend Engineer</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SDU fit-out and equipment installation</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S.E.T.H.S assessment tools finalised and reviewed</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Employer partnership LOIs — target 10 secured</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Participant referral agreements with rehabilitation organisations</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UDOC MVP Modules 1 and 2 — development milestone review</w:t>
            </w:r>
          </w:p>
        </w:tc>
      </w:tr>
    </w:tbl>
    <w:p>
      <w:pPr>
        <w:spacing w:after="80"/>
      </w:pPr>
      <w:r>
        <w:rPr>
          <w:rFonts w:ascii="Arial" w:cs="Arial" w:eastAsia="Arial" w:hAnsi="Arial"/>
        </w:rPr>
        <w:t xml:space="preserve"/>
      </w:r>
    </w:p>
    <w:p>
      <w:pPr>
        <w:shd w:fill="0D1E35" w:val="clear"/>
        <w:spacing w:before="400" w:after="160"/>
        <w:ind w:left="200" w:right="200"/>
      </w:pPr>
      <w:r>
        <w:rPr>
          <w:rFonts w:ascii="Arial" w:cs="Arial" w:eastAsia="Arial" w:hAnsi="Arial"/>
          <w:b/>
          <w:bCs/>
          <w:color w:val="C9A84C"/>
          <w:sz w:val="26"/>
          <w:szCs w:val="26"/>
        </w:rPr>
        <w:t xml:space="preserve">MONTH 5</w:t>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9320"/>
      </w:tblGrid>
      <w:tr>
        <w:tc>
          <w:tcPr>
            <w:tcW w:type="dxa" w:w="93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TARGET: UDOC MVP ready. Government proposal submitted. S.E.T.H.S ready for intake.</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UDOC MVP private beta begins (first 2 enterprise clients)</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S.E.T.H.S — begin participant recruitment from referral partners</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Submit first formal government proposal (DSD or DoL)</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B-BBEE verification certificate received</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Series A investor data room assembled and shared</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COB 6-month review: constitutional compliance assessment</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SETA accreditation — assessor visit scheduled</w:t>
            </w:r>
          </w:p>
        </w:tc>
      </w:tr>
    </w:tbl>
    <w:p>
      <w:pPr>
        <w:spacing w:after="80"/>
      </w:pPr>
      <w:r>
        <w:rPr>
          <w:rFonts w:ascii="Arial" w:cs="Arial" w:eastAsia="Arial" w:hAnsi="Arial"/>
        </w:rPr>
        <w:t xml:space="preserve"/>
      </w:r>
    </w:p>
    <w:p>
      <w:pPr>
        <w:shd w:fill="0D1E35" w:val="clear"/>
        <w:spacing w:before="400" w:after="160"/>
        <w:ind w:left="200" w:right="200"/>
      </w:pPr>
      <w:r>
        <w:rPr>
          <w:rFonts w:ascii="Arial" w:cs="Arial" w:eastAsia="Arial" w:hAnsi="Arial"/>
          <w:b/>
          <w:bCs/>
          <w:color w:val="C9A84C"/>
          <w:sz w:val="26"/>
          <w:szCs w:val="26"/>
        </w:rPr>
        <w:t xml:space="preserve">MONTH 6</w:t>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9320"/>
      </w:tblGrid>
      <w:tr>
        <w:tc>
          <w:tcPr>
            <w:tcW w:type="dxa" w:w="9320"/>
            <w:tcBorders>
              <w:top w:val="single" w:color="CCCCCC" w:sz="4"/>
              <w:left w:val="single" w:color="CCCCCC" w:sz="4"/>
              <w:bottom w:val="single" w:color="CCCCCC" w:sz="4"/>
              <w:right w:val="single" w:color="CCCCCC" w:sz="4"/>
            </w:tcBorders>
            <w:shd w:fill="0D1E35"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TARGET: S.E.T.H.S pilot live. UDOC first client paying. Seed capital closed.</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S.E.T.H.S pilot cohort 1 — 50 participants enter Phase 0</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UDOC first enterprise client goes live (paying contract)</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Seed capital close (R12M–R18M target)</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Government MOU signed (DSD, DoL, or DCS)</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UDOC MVP Module 3 (Model Registry) — development begins</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External auditor confirmed and briefed</w:t>
            </w:r>
          </w:p>
        </w:tc>
      </w:tr>
      <w:tr>
        <w:tc>
          <w:tcPr>
            <w:tcW w:type="dxa" w:w="93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First POPIA compliance audit (internal)</w:t>
            </w:r>
          </w:p>
        </w:tc>
      </w:tr>
      <w:tr>
        <w:tc>
          <w:tcPr>
            <w:tcW w:type="dxa" w:w="93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  All entity annual returns and compliance filings confirmed</w:t>
            </w:r>
          </w:p>
        </w:tc>
      </w:tr>
    </w:tbl>
    <w:p>
      <w:pPr>
        <w:spacing w:after="80"/>
      </w:pPr>
      <w:r>
        <w:rPr>
          <w:rFonts w:ascii="Arial" w:cs="Arial" w:eastAsia="Arial" w:hAnsi="Arial"/>
        </w:rPr>
        <w:t xml:space="preserve"/>
      </w:r>
    </w:p>
    <w:p>
      <w:pPr>
        <w:shd w:fill="060E1C" w:val="clear"/>
        <w:spacing w:before="600" w:after="200"/>
        <w:ind w:left="240" w:right="240"/>
      </w:pPr>
      <w:r>
        <w:rPr>
          <w:rFonts w:ascii="Arial" w:cs="Arial" w:eastAsia="Arial" w:hAnsi="Arial"/>
          <w:b/>
          <w:bCs/>
          <w:color w:val="C9A84C"/>
          <w:sz w:val="36"/>
          <w:szCs w:val="36"/>
        </w:rPr>
        <w:t xml:space="preserve">THE ONE MISSING DOCUMENT</w:t>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9320"/>
      </w:tblGrid>
      <w:tr>
        <w:tc>
          <w:tcPr>
            <w:tcW w:type="dxa" w:w="932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22"/>
                <w:szCs w:val="22"/>
              </w:rPr>
              <w:t xml:space="preserve">POPIA COMPLIANCE FRAMEWORK — NOT YET DRAFTED</w:t>
            </w:r>
          </w:p>
        </w:tc>
      </w:tr>
    </w:tbl>
    <w:p>
      <w:pPr>
        <w:spacing w:after="80"/>
      </w:pPr>
      <w:r>
        <w:rPr>
          <w:rFonts w:ascii="Arial" w:cs="Arial" w:eastAsia="Arial" w:hAnsi="Arial"/>
        </w:rPr>
        <w:t xml:space="preserve"/>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1800"/>
        <w:gridCol w:w="7520"/>
      </w:tblGrid>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WHAT IT IS</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A formal, written data protection compliance framework covering: (1) personal information register — all data collected by S.E.T.H.S and UDOC, lawful basis, retention periods, third-party sharing; (2) participant consent forms — explicit informed consent for highly sensitive data including addiction history, criminal records, psychometric profiling; (3) data breach response protocol; (4) subject access request procedure; (5) DPIA (Data Protection Impact Assessment) for S.E.T.H.S high-risk processing.</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WHY IT'S CRITICAL</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S.E.T.H.S collects Special Personal Information under POPIA Section 26 — health data, criminal records, biometric data. Processing this without a compliant framework exposes G.O.D.S to fines of up to R10M or 10 years imprisonment. The Information Regulator has been active in enforcement since 2023. No DFI will disburse funding into a programme that processes sensitive data without this.</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WHO DRAFTS IT</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Legal Counsel in partnership with the UDOC Engineering Lead (for technical data architecture alignment). Brief: data mapping of all 5 data streams (S.E.T.H.S intake, S.E.T.H.S monitoring, UDOC enterprise, UDOC government, M.A.D.I.B.A capital). Estimated legal cost: R15,000–R30,000.</w:t>
            </w:r>
          </w:p>
        </w:tc>
      </w:tr>
      <w:tr>
        <w:tc>
          <w:tcPr>
            <w:tcW w:type="dxa" w:w="18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DEADLINE</w:t>
            </w:r>
          </w:p>
        </w:tc>
        <w:tc>
          <w:tcPr>
            <w:tcW w:type="dxa" w:w="75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333333"/>
                <w:sz w:val="17"/>
                <w:szCs w:val="17"/>
              </w:rPr>
              <w:t xml:space="preserve">This must be complete before the first S.E.T.H.S participant application form is issued. Target: Month 2. Initiate in Month 1.</w:t>
            </w:r>
          </w:p>
        </w:tc>
      </w:tr>
    </w:tbl>
    <w:p>
      <w:pPr>
        <w:spacing w:after="240"/>
      </w:pPr>
      <w:r>
        <w:rPr>
          <w:rFonts w:ascii="Arial" w:cs="Arial" w:eastAsia="Arial" w:hAnsi="Arial"/>
        </w:rPr>
        <w:t xml:space="preserve"/>
      </w:r>
    </w:p>
    <w:p>
      <w:pPr>
        <w:shd w:fill="060E1C" w:val="clear"/>
        <w:spacing w:before="600" w:after="200"/>
        <w:ind w:left="240" w:right="240"/>
      </w:pPr>
      <w:r>
        <w:rPr>
          <w:rFonts w:ascii="Arial" w:cs="Arial" w:eastAsia="Arial" w:hAnsi="Arial"/>
          <w:b/>
          <w:bCs/>
          <w:color w:val="C9A84C"/>
          <w:sz w:val="36"/>
          <w:szCs w:val="36"/>
        </w:rPr>
        <w:t xml:space="preserve">SUMMARY — WHERE YOU STAND</w:t>
      </w:r>
    </w:p>
    <w:tbl>
      <w:tblPr>
        <w:tblW w:type="dxa" w:w="9320"/>
        <w:tblBorders>
          <w:top w:val="single" w:color="auto" w:sz="4"/>
          <w:left w:val="single" w:color="auto" w:sz="4"/>
          <w:bottom w:val="single" w:color="auto" w:sz="4"/>
          <w:right w:val="single" w:color="auto" w:sz="4"/>
          <w:insideH w:val="single" w:color="auto" w:sz="4"/>
          <w:insideV w:val="single" w:color="auto" w:sz="4"/>
        </w:tblBorders>
      </w:tblPr>
      <w:tblGrid>
        <w:gridCol w:w="3500"/>
        <w:gridCol w:w="1700"/>
        <w:gridCol w:w="4120"/>
      </w:tblGrid>
      <w:tr>
        <w:tc>
          <w:tcPr>
            <w:tcW w:type="dxa" w:w="35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CATEGORY</w:t>
            </w:r>
          </w:p>
        </w:tc>
        <w:tc>
          <w:tcPr>
            <w:tcW w:type="dxa" w:w="17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STATUS</w:t>
            </w:r>
          </w:p>
        </w:tc>
        <w:tc>
          <w:tcPr>
            <w:tcW w:type="dxa" w:w="412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8"/>
                <w:szCs w:val="18"/>
              </w:rPr>
              <w:t xml:space="preserve">NEXT ACTION</w:t>
            </w:r>
          </w:p>
        </w:tc>
      </w:tr>
      <w:tr>
        <w:tc>
          <w:tcPr>
            <w:tcW w:type="dxa" w:w="35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Institutional documents</w:t>
            </w:r>
          </w:p>
        </w:tc>
        <w:tc>
          <w:tcPr>
            <w:tcW w:type="dxa" w:w="1700"/>
            <w:tcBorders>
              <w:top w:val="single" w:color="CCCCCC" w:sz="4"/>
              <w:left w:val="single" w:color="CCCCCC" w:sz="4"/>
              <w:bottom w:val="single" w:color="CCCCCC" w:sz="4"/>
              <w:right w:val="single" w:color="CCCCCC" w:sz="4"/>
            </w:tcBorders>
            <w:shd w:fill="EAF4ED" w:val="clear"/>
            <w:tcMar>
              <w:top w:type="dxa" w:w="100"/>
              <w:left w:type="dxa" w:w="120"/>
              <w:bottom w:type="dxa" w:w="100"/>
              <w:right w:type="dxa" w:w="120"/>
            </w:tcMar>
            <w:vAlign w:val="top"/>
          </w:tcPr>
          <w:p>
            <w:pPr>
              <w:spacing w:after="0"/>
              <w:jc w:val="center"/>
            </w:pPr>
            <w:r>
              <w:rPr>
                <w:rFonts w:ascii="Arial" w:cs="Arial" w:eastAsia="Arial" w:hAnsi="Arial"/>
                <w:b/>
                <w:bCs/>
                <w:color w:val="1A6B3A"/>
                <w:sz w:val="17"/>
                <w:szCs w:val="17"/>
              </w:rPr>
              <w:t xml:space="preserve">✅ COMPLETE</w:t>
            </w:r>
          </w:p>
        </w:tc>
        <w:tc>
          <w:tcPr>
            <w:tcW w:type="dxa" w:w="41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Done. Exceptional quality. Use them.</w:t>
            </w:r>
          </w:p>
        </w:tc>
      </w:tr>
      <w:tr>
        <w:tc>
          <w:tcPr>
            <w:tcW w:type="dxa" w:w="35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Legal entity — registration</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DONE</w:t>
            </w:r>
          </w:p>
        </w:tc>
        <w:tc>
          <w:tcPr>
            <w:tcW w:type="dxa" w:w="41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Register with CIPC — Day 1 action</w:t>
            </w:r>
          </w:p>
        </w:tc>
      </w:tr>
      <w:tr>
        <w:tc>
          <w:tcPr>
            <w:tcW w:type="dxa" w:w="35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IP Trust — constitution</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DONE</w:t>
            </w:r>
          </w:p>
        </w:tc>
        <w:tc>
          <w:tcPr>
            <w:tcW w:type="dxa" w:w="41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Finalise deed with trust counsel — Week 1</w:t>
            </w:r>
          </w:p>
        </w:tc>
      </w:tr>
      <w:tr>
        <w:tc>
          <w:tcPr>
            <w:tcW w:type="dxa" w:w="35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Trademark filings</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DONE</w:t>
            </w:r>
          </w:p>
        </w:tc>
        <w:tc>
          <w:tcPr>
            <w:tcW w:type="dxa" w:w="41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File all Priority 1 marks — Day 1</w:t>
            </w:r>
          </w:p>
        </w:tc>
      </w:tr>
      <w:tr>
        <w:tc>
          <w:tcPr>
            <w:tcW w:type="dxa" w:w="35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POPIA compliance framework</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DONE</w:t>
            </w:r>
          </w:p>
        </w:tc>
        <w:tc>
          <w:tcPr>
            <w:tcW w:type="dxa" w:w="41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Brief legal counsel — Month 1</w:t>
            </w:r>
          </w:p>
        </w:tc>
      </w:tr>
      <w:tr>
        <w:tc>
          <w:tcPr>
            <w:tcW w:type="dxa" w:w="35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Regulatory registrations (SARS, UIF, COIDA)</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DONE</w:t>
            </w:r>
          </w:p>
        </w:tc>
        <w:tc>
          <w:tcPr>
            <w:tcW w:type="dxa" w:w="41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After CIPC registration — Week 2</w:t>
            </w:r>
          </w:p>
        </w:tc>
      </w:tr>
      <w:tr>
        <w:tc>
          <w:tcPr>
            <w:tcW w:type="dxa" w:w="35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Bank account</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DONE</w:t>
            </w:r>
          </w:p>
        </w:tc>
        <w:tc>
          <w:tcPr>
            <w:tcW w:type="dxa" w:w="41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After CIPC certificate — Week 2</w:t>
            </w:r>
          </w:p>
        </w:tc>
      </w:tr>
      <w:tr>
        <w:tc>
          <w:tcPr>
            <w:tcW w:type="dxa" w:w="35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Insurance (PI, D&amp;O, PL)</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DONE</w:t>
            </w:r>
          </w:p>
        </w:tc>
        <w:tc>
          <w:tcPr>
            <w:tcW w:type="dxa" w:w="41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Engage broker — Month 1</w:t>
            </w:r>
          </w:p>
        </w:tc>
      </w:tr>
      <w:tr>
        <w:tc>
          <w:tcPr>
            <w:tcW w:type="dxa" w:w="35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Constitutional Oversight Board</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DONE</w:t>
            </w:r>
          </w:p>
        </w:tc>
        <w:tc>
          <w:tcPr>
            <w:tcW w:type="dxa" w:w="41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Begin recruitment — Week 1</w:t>
            </w:r>
          </w:p>
        </w:tc>
      </w:tr>
      <w:tr>
        <w:tc>
          <w:tcPr>
            <w:tcW w:type="dxa" w:w="35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SETA accreditation</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DONE</w:t>
            </w:r>
          </w:p>
        </w:tc>
        <w:tc>
          <w:tcPr>
            <w:tcW w:type="dxa" w:w="41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Submit application — Month 2</w:t>
            </w:r>
          </w:p>
        </w:tc>
      </w:tr>
      <w:tr>
        <w:tc>
          <w:tcPr>
            <w:tcW w:type="dxa" w:w="35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FSCA FSP licence (M.A.D.I.B.A)</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DONE</w:t>
            </w:r>
          </w:p>
        </w:tc>
        <w:tc>
          <w:tcPr>
            <w:tcW w:type="dxa" w:w="41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Initiate process — Month 3</w:t>
            </w:r>
          </w:p>
        </w:tc>
      </w:tr>
      <w:tr>
        <w:tc>
          <w:tcPr>
            <w:tcW w:type="dxa" w:w="35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UDOC platform — technology</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BUILT</w:t>
            </w:r>
          </w:p>
        </w:tc>
        <w:tc>
          <w:tcPr>
            <w:tcW w:type="dxa" w:w="41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Hire engineering lead — Month 2–3</w:t>
            </w:r>
          </w:p>
        </w:tc>
      </w:tr>
      <w:tr>
        <w:tc>
          <w:tcPr>
            <w:tcW w:type="dxa" w:w="35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Seed capital — raised</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RAISED</w:t>
            </w:r>
          </w:p>
        </w:tc>
        <w:tc>
          <w:tcPr>
            <w:tcW w:type="dxa" w:w="41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Apply to DBSA, IDC, SEF — Month 2</w:t>
            </w:r>
          </w:p>
        </w:tc>
      </w:tr>
      <w:tr>
        <w:tc>
          <w:tcPr>
            <w:tcW w:type="dxa" w:w="35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Team — hired</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HIRED</w:t>
            </w:r>
          </w:p>
        </w:tc>
        <w:tc>
          <w:tcPr>
            <w:tcW w:type="dxa" w:w="41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COO, CFO, Programme Head — priority</w:t>
            </w:r>
          </w:p>
        </w:tc>
      </w:tr>
      <w:tr>
        <w:tc>
          <w:tcPr>
            <w:tcW w:type="dxa" w:w="35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SDU facility — secured</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SECURED</w:t>
            </w:r>
          </w:p>
        </w:tc>
        <w:tc>
          <w:tcPr>
            <w:tcW w:type="dxa" w:w="412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Begin search — Month 2</w:t>
            </w:r>
          </w:p>
        </w:tc>
      </w:tr>
      <w:tr>
        <w:tc>
          <w:tcPr>
            <w:tcW w:type="dxa" w:w="350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b/>
                <w:bCs/>
                <w:color w:val="060E1C"/>
                <w:sz w:val="17"/>
                <w:szCs w:val="17"/>
              </w:rPr>
              <w:t xml:space="preserve">First government meetings</w:t>
            </w:r>
          </w:p>
        </w:tc>
        <w:tc>
          <w:tcPr>
            <w:tcW w:type="dxa" w:w="1700"/>
            <w:tcBorders>
              <w:top w:val="single" w:color="CCCCCC" w:sz="4"/>
              <w:left w:val="single" w:color="CCCCCC" w:sz="4"/>
              <w:bottom w:val="single" w:color="CCCCCC" w:sz="4"/>
              <w:right w:val="single" w:color="CCCCCC" w:sz="4"/>
            </w:tcBorders>
            <w:shd w:fill="FDECEA" w:val="clear"/>
            <w:tcMar>
              <w:top w:type="dxa" w:w="100"/>
              <w:left w:type="dxa" w:w="120"/>
              <w:bottom w:type="dxa" w:w="100"/>
              <w:right w:type="dxa" w:w="120"/>
            </w:tcMar>
            <w:vAlign w:val="top"/>
          </w:tcPr>
          <w:p>
            <w:pPr>
              <w:spacing w:after="0"/>
              <w:jc w:val="center"/>
            </w:pPr>
            <w:r>
              <w:rPr>
                <w:rFonts w:ascii="Arial" w:cs="Arial" w:eastAsia="Arial" w:hAnsi="Arial"/>
                <w:b/>
                <w:bCs/>
                <w:color w:val="C0392B"/>
                <w:sz w:val="17"/>
                <w:szCs w:val="17"/>
              </w:rPr>
              <w:t xml:space="preserve">❌ NOT HELD</w:t>
            </w:r>
          </w:p>
        </w:tc>
        <w:tc>
          <w:tcPr>
            <w:tcW w:type="dxa" w:w="4120"/>
            <w:tcBorders>
              <w:top w:val="single" w:color="CCCCCC" w:sz="4"/>
              <w:left w:val="single" w:color="CCCCCC" w:sz="4"/>
              <w:bottom w:val="single" w:color="CCCCCC" w:sz="4"/>
              <w:right w:val="single" w:color="CCCCCC" w:sz="4"/>
            </w:tcBorders>
            <w:shd w:fill="FFFFFF" w:val="clear"/>
            <w:tcMar>
              <w:top w:type="dxa" w:w="100"/>
              <w:left w:type="dxa" w:w="120"/>
              <w:bottom w:type="dxa" w:w="100"/>
              <w:right w:type="dxa" w:w="120"/>
            </w:tcMar>
            <w:vAlign w:val="top"/>
          </w:tcPr>
          <w:p>
            <w:pPr>
              <w:spacing w:after="0"/>
            </w:pPr>
            <w:r>
              <w:rPr>
                <w:rFonts w:ascii="Arial" w:cs="Arial" w:eastAsia="Arial" w:hAnsi="Arial"/>
                <w:color w:val="060E1C"/>
                <w:sz w:val="17"/>
                <w:szCs w:val="17"/>
              </w:rPr>
              <w:t xml:space="preserve">Book after entity registered — Month 2</w:t>
            </w:r>
          </w:p>
        </w:tc>
      </w:tr>
    </w:tbl>
    <w:p>
      <w:pPr>
        <w:spacing w:after="160"/>
      </w:pPr>
      <w:r>
        <w:rPr>
          <w:rFonts w:ascii="Arial" w:cs="Arial" w:eastAsia="Arial" w:hAnsi="Arial"/>
        </w:rPr>
        <w:t xml:space="preserve"/>
      </w:r>
    </w:p>
    <w:p>
      <w:pPr>
        <w:spacing w:before="200" w:after="80"/>
        <w:jc w:val="center"/>
      </w:pPr>
      <w:r>
        <w:rPr>
          <w:rFonts w:ascii="Arial" w:cs="Arial" w:eastAsia="Arial" w:hAnsi="Arial"/>
          <w:b/>
          <w:bCs/>
          <w:i/>
          <w:iCs/>
          <w:color w:val="C9A84C"/>
          <w:sz w:val="26"/>
          <w:szCs w:val="26"/>
        </w:rPr>
        <w:t xml:space="preserve">"The documents are done. The work starts now."</w:t>
      </w:r>
    </w:p>
    <w:p>
      <w:pPr>
        <w:spacing w:after="200"/>
        <w:jc w:val="center"/>
      </w:pPr>
      <w:r>
        <w:rPr>
          <w:rFonts w:ascii="Arial" w:cs="Arial" w:eastAsia="Arial" w:hAnsi="Arial"/>
          <w:color w:val="777777"/>
          <w:sz w:val="18"/>
          <w:szCs w:val="18"/>
        </w:rPr>
        <w:t xml:space="preserve">— G.O.D.S Holdings Operational Checklist · Sashin J. Singh · 2026</w:t>
      </w:r>
    </w:p>
    <w:sectPr>
      <w:headerReference w:type="default" r:id="rId6"/>
      <w:footerReference w:type="default" r:id="rId7"/>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Arial" w:cs="Arial" w:eastAsia="Arial" w:hAnsi="Arial"/>
        <w:color w:val="888888"/>
        <w:sz w:val="14"/>
        <w:szCs w:val="14"/>
      </w:rPr>
      <w:t xml:space="preserve">G.O.D.S Holdings (Pty) Ltd · Johannesburg, South Africa · info@gods.systems · www.gods.systems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5400"/>
      <w:gridCol w:w="5400"/>
    </w:tblGrid>
    <w:tr>
      <w:tc>
        <w:tcPr>
          <w:tcW w:type="dxa" w:w="5400"/>
          <w:tcBorders>
            <w:top w:val="single" w:color="CCCCCC" w:sz="4"/>
            <w:left w:val="single" w:color="CCCCCC" w:sz="4"/>
            <w:bottom w:val="single" w:color="CCCCCC" w:sz="4"/>
            <w:right w:val="single" w:color="CCCCCC" w:sz="4"/>
          </w:tcBorders>
          <w:shd w:fill="060E1C" w:val="clear"/>
          <w:tcMar>
            <w:top w:type="dxa" w:w="100"/>
            <w:left w:type="dxa" w:w="120"/>
            <w:bottom w:type="dxa" w:w="100"/>
            <w:right w:type="dxa" w:w="120"/>
          </w:tcMar>
          <w:vAlign w:val="top"/>
        </w:tcPr>
        <w:p>
          <w:pPr>
            <w:spacing w:after="0"/>
          </w:pPr>
          <w:r>
            <w:rPr>
              <w:rFonts w:ascii="Arial" w:cs="Arial" w:eastAsia="Arial" w:hAnsi="Arial"/>
              <w:b/>
              <w:bCs/>
              <w:color w:val="C9A84C"/>
              <w:sz w:val="14"/>
              <w:szCs w:val="14"/>
            </w:rPr>
            <w:t xml:space="preserve">G.O.D.S HOLDINGS  |  STARTUP OPERATIONAL CHECKLIST  |  CONFIDENTIAL</w:t>
          </w:r>
        </w:p>
      </w:tc>
      <w:tc>
        <w:tcPr>
          <w:tcW w:type="dxa" w:w="5400"/>
          <w:tcBorders>
            <w:top w:val="single" w:color="CCCCCC" w:sz="4"/>
            <w:left w:val="single" w:color="CCCCCC" w:sz="4"/>
            <w:bottom w:val="single" w:color="CCCCCC" w:sz="4"/>
            <w:right w:val="single" w:color="CCCCCC" w:sz="4"/>
          </w:tcBorders>
          <w:shd w:fill="F4F4F4" w:val="clear"/>
          <w:tcMar>
            <w:top w:type="dxa" w:w="100"/>
            <w:left w:type="dxa" w:w="120"/>
            <w:bottom w:type="dxa" w:w="100"/>
            <w:right w:type="dxa" w:w="120"/>
          </w:tcMar>
          <w:vAlign w:val="top"/>
        </w:tcPr>
        <w:p>
          <w:pPr>
            <w:spacing w:after="0"/>
            <w:jc w:val="right"/>
          </w:pPr>
          <w:r>
            <w:rPr>
              <w:rFonts w:ascii="Arial" w:cs="Arial" w:eastAsia="Arial" w:hAnsi="Arial"/>
              <w:color w:val="888888"/>
              <w:sz w:val="14"/>
              <w:szCs w:val="14"/>
            </w:rPr>
            <w:t xml:space="preserve">Sashin J. Singh — Founder &amp; Systems Architect · 2026</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2026-03-20T08:43:24.422Z</dcterms:created>
  <dcterms:modified xsi:type="dcterms:W3CDTF">2026-03-20T08:43:24.423Z</dcterms:modified>
</cp:coreProperties>
</file>

<file path=docProps/custom.xml><?xml version="1.0" encoding="utf-8"?>
<Properties xmlns="http://schemas.openxmlformats.org/officeDocument/2006/custom-properties" xmlns:vt="http://schemas.openxmlformats.org/officeDocument/2006/docPropsVTypes"/>
</file>