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BB230" w14:textId="77777777" w:rsidR="00967E2F" w:rsidRPr="00967E2F" w:rsidRDefault="00967E2F" w:rsidP="00967E2F">
      <w:pPr>
        <w:spacing w:after="120" w:line="240" w:lineRule="auto"/>
        <w:outlineLvl w:val="0"/>
        <w:rPr>
          <w:rFonts w:ascii="Arial" w:eastAsia="Times New Roman" w:hAnsi="Arial" w:cs="Arial"/>
          <w:b/>
          <w:bCs/>
          <w:color w:val="1F1F1F"/>
          <w:kern w:val="36"/>
          <w:sz w:val="48"/>
          <w:szCs w:val="48"/>
          <w:lang w:eastAsia="en-ZA"/>
          <w14:ligatures w14:val="none"/>
        </w:rPr>
      </w:pPr>
      <w:r w:rsidRPr="00967E2F">
        <w:rPr>
          <w:rFonts w:ascii="Arial" w:eastAsia="Times New Roman" w:hAnsi="Arial" w:cs="Arial"/>
          <w:b/>
          <w:bCs/>
          <w:color w:val="1F1F1F"/>
          <w:kern w:val="36"/>
          <w:sz w:val="48"/>
          <w:szCs w:val="48"/>
          <w:lang w:eastAsia="en-ZA"/>
          <w14:ligatures w14:val="none"/>
        </w:rPr>
        <w:t>The Bio-Industrial Decentralization Protocol: A Strategic Framework for Resource Sovereignty in the Age of Competition</w:t>
      </w:r>
    </w:p>
    <w:p w14:paraId="5AFF9654"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The Geopolitical Inflection Point of 2026: Fragmentation and Confrontation</w:t>
      </w:r>
    </w:p>
    <w:p w14:paraId="1A370BE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global landscape in the first quarter of 2026 is defined by a systemic transition from a multilateral international order to what strategic analysts term the "Age of Competition". This period is characterized by a "multipolarity without multilateralism," where the erosion of international cooperation has left the world in a state of heightened uncertainty and systemic risk. Geoeconomic confrontation has emerged as the preeminent short-term threat, driven by the weaponization of trade, investment, and supply chains in a broader Great-Power competition between the United States and China. This confrontation is no longer a peripheral concern; it is perceived as the risk most likely to trigger a material global crisis in 2026, with 18% of global risk experts identifying it as the primary catalyst for impending instability.</w:t>
      </w:r>
    </w:p>
    <w:p w14:paraId="4CCF77C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collapse of the postwar economic order is manifest in the proliferation of protectionist policies and strategic industrial agendas. Governments are increasingly taking active control of critical supply chains, prioritizing national security and domestic competitiveness over collective global stability. As a result, the multilateral system is under unprecedented pressure, with only a marginal 6% of leaders expecting a revival of the traditional international order. This fragmentation has created a "K-shaped" global economy, where inequalities are becoming entrenched and social contracts are faltering under the weight of cost-of-living pressures and faltering social mobility.</w:t>
      </w:r>
    </w:p>
    <w:tbl>
      <w:tblPr>
        <w:tblW w:w="0" w:type="auto"/>
        <w:tblCellSpacing w:w="15" w:type="dxa"/>
        <w:tblCellMar>
          <w:left w:w="0" w:type="dxa"/>
          <w:right w:w="0" w:type="dxa"/>
        </w:tblCellMar>
        <w:tblLook w:val="04A0" w:firstRow="1" w:lastRow="0" w:firstColumn="1" w:lastColumn="0" w:noHBand="0" w:noVBand="1"/>
      </w:tblPr>
      <w:tblGrid>
        <w:gridCol w:w="3673"/>
        <w:gridCol w:w="2219"/>
        <w:gridCol w:w="3118"/>
      </w:tblGrid>
      <w:tr w:rsidR="00967E2F" w:rsidRPr="00967E2F" w14:paraId="037E6C64"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32DA3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Global Risk Indicator (2-Year Horizon)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EB6B4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Severity Rank (2026)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7EFB6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Trend from 2025</w:t>
            </w:r>
          </w:p>
        </w:tc>
      </w:tr>
      <w:tr w:rsidR="00967E2F" w:rsidRPr="00967E2F" w14:paraId="0DE8726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10FBF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Geoeconomic Confrontation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A9FF39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1</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50200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+8 positions </w:t>
            </w:r>
          </w:p>
        </w:tc>
      </w:tr>
      <w:tr w:rsidR="00967E2F" w:rsidRPr="00967E2F" w14:paraId="4251FEB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7A6B9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Mis- and Disinformation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7DFE8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2</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9990B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Stable High </w:t>
            </w:r>
          </w:p>
        </w:tc>
      </w:tr>
      <w:tr w:rsidR="00967E2F" w:rsidRPr="00967E2F" w14:paraId="4CDEEEB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A4C54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Societal Polarization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324EF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0BA5A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Stable High </w:t>
            </w:r>
          </w:p>
        </w:tc>
      </w:tr>
      <w:tr w:rsidR="00967E2F" w:rsidRPr="00967E2F" w14:paraId="42D0C1B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F79477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State-Based Armed Conflict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B7574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4</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69D123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Fluctuating </w:t>
            </w:r>
          </w:p>
        </w:tc>
      </w:tr>
      <w:tr w:rsidR="00967E2F" w:rsidRPr="00967E2F" w14:paraId="78AA4C5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A54FD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Extreme Weather Events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F5DA2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5</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7BFEB1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Declining Rank, Increasing Impact </w:t>
            </w:r>
          </w:p>
        </w:tc>
      </w:tr>
    </w:tbl>
    <w:p w14:paraId="383F529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economic reckoning associated with this shift is profound. Persistent inflation, mounting debt sustainability concerns, and the potential bursting of asset bubbles in frontier technologies are creating a volatile environment. Economic risks, collectively, have seen the sharpest rise in severity over the past year, with downturn and inflation both climbing eight positions in the global risk rankings. In this context, 50% </w:t>
      </w:r>
      <w:r w:rsidRPr="00967E2F">
        <w:rPr>
          <w:rFonts w:ascii="Arial" w:eastAsia="Times New Roman" w:hAnsi="Arial" w:cs="Arial"/>
          <w:color w:val="1F1F1F"/>
          <w:kern w:val="0"/>
          <w:bdr w:val="none" w:sz="0" w:space="0" w:color="auto" w:frame="1"/>
          <w:lang w:eastAsia="en-ZA"/>
          <w14:ligatures w14:val="none"/>
        </w:rPr>
        <w:lastRenderedPageBreak/>
        <w:t>of surveyed experts anticipate a "turbulent" or "stormy" outlook for the next two years, a sentiment that worsens to 57% when looking toward a 10-year horizon.</w:t>
      </w:r>
    </w:p>
    <w:p w14:paraId="704F378D"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The Anatomy of Systemic Failure: The Dual Crisis of Food and Health</w:t>
      </w:r>
    </w:p>
    <w:p w14:paraId="2A1302E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As geoeconomic fragmentation accelerates, the most immediate and life-threatening impacts are concentrated in the sectors of food security and pharmaceutical access. The current paradigm of centralized, long-lead-time, and forecast-driven manufacturing is proving incapable of responding to the "here and now" risks of 2026.</w:t>
      </w:r>
    </w:p>
    <w:p w14:paraId="36621F85"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The Food and Malnutrition Emergency</w:t>
      </w:r>
    </w:p>
    <w:p w14:paraId="6D600A7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In early 2026, acute food insecurity and malnutrition have reached alarmingly high levels. The 2025 Global Report on Food Crises indicated that acute hunger increased for the sixth consecutive year, with 295 million people facing critical food shortages. This represents a tripling of hunger levels since 2016. The crisis is driven by a convergence of conflict, climate extremes, and economic shocks, which are underpinned by deep structural fragilities in global aid.</w:t>
      </w:r>
    </w:p>
    <w:p w14:paraId="187EF05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situation in 16 "Hunger Hotspots" is particularly dire, with populations in several regions facing the imminent risk of famine. Sudan currently hosts the world's largest internal displacement crisis, with 10 million people forced from their homes and famine conditions already triggered in late 2024. Similarly, in the Gaza Strip, nearly 641,000 people face starvation due to the destruction of the basic conditions needed to sustain life.</w:t>
      </w:r>
    </w:p>
    <w:tbl>
      <w:tblPr>
        <w:tblW w:w="0" w:type="auto"/>
        <w:tblCellSpacing w:w="15" w:type="dxa"/>
        <w:tblCellMar>
          <w:left w:w="0" w:type="dxa"/>
          <w:right w:w="0" w:type="dxa"/>
        </w:tblCellMar>
        <w:tblLook w:val="04A0" w:firstRow="1" w:lastRow="0" w:firstColumn="1" w:lastColumn="0" w:noHBand="0" w:noVBand="1"/>
      </w:tblPr>
      <w:tblGrid>
        <w:gridCol w:w="2296"/>
        <w:gridCol w:w="3090"/>
        <w:gridCol w:w="3624"/>
      </w:tblGrid>
      <w:tr w:rsidR="00967E2F" w:rsidRPr="00967E2F" w14:paraId="5C5B9F27"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D81E56"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Hunger Hotspot Context (2026)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10C16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Population Impacted (IPC Phase 3+)</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D959E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Key Drivers of Deterioration</w:t>
            </w:r>
          </w:p>
        </w:tc>
      </w:tr>
      <w:tr w:rsidR="00967E2F" w:rsidRPr="00967E2F" w14:paraId="6F9E2B6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1F5951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Sudan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64E80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24.6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B26EEA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Civil war, gold outflows, advanced drone warfare </w:t>
            </w:r>
          </w:p>
        </w:tc>
      </w:tr>
      <w:tr w:rsidR="00967E2F" w:rsidRPr="00967E2F" w14:paraId="41A9E98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F4B54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South Sudan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3DA9BE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7.7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r w:rsidRPr="00967E2F">
              <w:rPr>
                <w:rFonts w:ascii="Arial" w:eastAsia="Times New Roman" w:hAnsi="Arial" w:cs="Arial"/>
                <w:color w:val="1F1F1F"/>
                <w:kern w:val="0"/>
                <w:bdr w:val="none" w:sz="0" w:space="0" w:color="auto" w:frame="1"/>
                <w:lang w:eastAsia="en-ZA"/>
                <w14:ligatures w14:val="none"/>
              </w:rPr>
              <w:t xml:space="preserve"> (57% of pop.)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49B376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Violence, flooding, famine risk in Upper Nile State </w:t>
            </w:r>
          </w:p>
        </w:tc>
      </w:tr>
      <w:tr w:rsidR="00967E2F" w:rsidRPr="00967E2F" w14:paraId="4D3B769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718C5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Yemen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22597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18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r w:rsidRPr="00967E2F">
              <w:rPr>
                <w:rFonts w:ascii="Arial" w:eastAsia="Times New Roman" w:hAnsi="Arial" w:cs="Arial"/>
                <w:color w:val="1F1F1F"/>
                <w:kern w:val="0"/>
                <w:bdr w:val="none" w:sz="0" w:space="0" w:color="auto" w:frame="1"/>
                <w:lang w:eastAsia="en-ZA"/>
                <w14:ligatures w14:val="none"/>
              </w:rPr>
              <w:t xml:space="preserve"> (52% of pop.)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D0403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Escalating conflict, economic decline, shipping disruptions </w:t>
            </w:r>
          </w:p>
        </w:tc>
      </w:tr>
      <w:tr w:rsidR="00967E2F" w:rsidRPr="00967E2F" w14:paraId="348F77D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D4129B6"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Haiti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EA276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5.9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r w:rsidRPr="00967E2F">
              <w:rPr>
                <w:rFonts w:ascii="Arial" w:eastAsia="Times New Roman" w:hAnsi="Arial" w:cs="Arial"/>
                <w:color w:val="1F1F1F"/>
                <w:kern w:val="0"/>
                <w:bdr w:val="none" w:sz="0" w:space="0" w:color="auto" w:frame="1"/>
                <w:lang w:eastAsia="en-ZA"/>
                <w14:ligatures w14:val="none"/>
              </w:rPr>
              <w:t xml:space="preserve"> (50% of pop.)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F7414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Gang violence, 34% food inflation, supply chain collapse </w:t>
            </w:r>
          </w:p>
        </w:tc>
      </w:tr>
      <w:tr w:rsidR="00967E2F" w:rsidRPr="00967E2F" w14:paraId="1D4B7E5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EF443B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DR Congo</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D5FB6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8.2M children/pregnant women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B1A5C1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Failed peace agreements, health system failure </w:t>
            </w:r>
          </w:p>
        </w:tc>
      </w:tr>
      <w:tr w:rsidR="00967E2F" w:rsidRPr="00967E2F" w14:paraId="547B348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43B0BA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Mali</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3BC28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1.5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7A3081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Armed group control of 95% of fuel highways </w:t>
            </w:r>
          </w:p>
        </w:tc>
      </w:tr>
    </w:tbl>
    <w:p w14:paraId="159AD96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failure of the current food system is not merely a lack of production but a failure of distribution and financing. Humanitarian funding is declining even as needs rise, forcing aid programs to cut targets by 25% in countries like Chad, Somalia, and </w:t>
      </w:r>
      <w:r w:rsidRPr="00967E2F">
        <w:rPr>
          <w:rFonts w:ascii="Arial" w:eastAsia="Times New Roman" w:hAnsi="Arial" w:cs="Arial"/>
          <w:color w:val="1F1F1F"/>
          <w:kern w:val="0"/>
          <w:bdr w:val="none" w:sz="0" w:space="0" w:color="auto" w:frame="1"/>
          <w:lang w:eastAsia="en-ZA"/>
          <w14:ligatures w14:val="none"/>
        </w:rPr>
        <w:lastRenderedPageBreak/>
        <w:t>Mozambique. Most current financing focuses on the symptoms of hunger rather than the root causes of agricultural fragility. Furthermore, the potential return of El Niño conditions in the second half of 2026 threatens to further raise food prices and heighten political instability in the developing world.</w:t>
      </w:r>
    </w:p>
    <w:p w14:paraId="70937E16"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The Pharmaceutical and Health Infrastructure Collapse</w:t>
      </w:r>
    </w:p>
    <w:p w14:paraId="6559163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Parallel to the food crisis is a mounting emergency in medicine accessibility. Approximately 2 billion people currently lack reliable access to essential medicines, with supply chain failures accounting for a significant portion of this gap. In 2026, a single disruption in the pharmaceutical supply network can translate directly into mass casualties.</w:t>
      </w:r>
    </w:p>
    <w:p w14:paraId="25B712E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industry is facing "regulatory and geopolitical volatility" that is fundamentally reshaping its cost structure. The United States has implemented aggressive trade measures, including 15% tariffs on pharmaceutical imports, which are projected to add $13 billion to $19 billion in costs to the industry. These costs are increasingly absorbed by manufacturers or passed on to patients, leading to a "patient cliff" where essential treatments become unaffordable.</w:t>
      </w:r>
    </w:p>
    <w:tbl>
      <w:tblPr>
        <w:tblW w:w="0" w:type="auto"/>
        <w:tblCellSpacing w:w="15" w:type="dxa"/>
        <w:tblCellMar>
          <w:left w:w="0" w:type="dxa"/>
          <w:right w:w="0" w:type="dxa"/>
        </w:tblCellMar>
        <w:tblLook w:val="04A0" w:firstRow="1" w:lastRow="0" w:firstColumn="1" w:lastColumn="0" w:noHBand="0" w:noVBand="1"/>
      </w:tblPr>
      <w:tblGrid>
        <w:gridCol w:w="2890"/>
        <w:gridCol w:w="2829"/>
        <w:gridCol w:w="3291"/>
      </w:tblGrid>
      <w:tr w:rsidR="00967E2F" w:rsidRPr="00967E2F" w14:paraId="7660597A"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5DF61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Healthcare Supply Chain Risk Factor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B6FB6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Magnitude of Impact (2026)</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CD805B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Consequences for Public Health</w:t>
            </w:r>
          </w:p>
        </w:tc>
      </w:tr>
      <w:tr w:rsidR="00967E2F" w:rsidRPr="00967E2F" w14:paraId="7C769B5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955A44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Drug Shortages (U.S.)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8BA3C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88% of Primary Care Physicians affected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917431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Postponed treatments, increased sepsis risk </w:t>
            </w:r>
          </w:p>
        </w:tc>
      </w:tr>
      <w:tr w:rsidR="00967E2F" w:rsidRPr="00967E2F" w14:paraId="5DB9B24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D32DA8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Labor Shortage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2F58F2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10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r w:rsidRPr="00967E2F">
              <w:rPr>
                <w:rFonts w:ascii="Arial" w:eastAsia="Times New Roman" w:hAnsi="Arial" w:cs="Arial"/>
                <w:color w:val="1F1F1F"/>
                <w:kern w:val="0"/>
                <w:bdr w:val="none" w:sz="0" w:space="0" w:color="auto" w:frame="1"/>
                <w:lang w:eastAsia="en-ZA"/>
                <w14:ligatures w14:val="none"/>
              </w:rPr>
              <w:t xml:space="preserve"> healthcare workers by 2030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181DAF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System fragmentation, burnout, care delays </w:t>
            </w:r>
          </w:p>
        </w:tc>
      </w:tr>
      <w:tr w:rsidR="00967E2F" w:rsidRPr="00967E2F" w14:paraId="30875C9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7F966B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Health System Costs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E696A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6.5% to 10% annual increase (U.S.)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A2D8D0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Reduced access for low-income quintiles </w:t>
            </w:r>
          </w:p>
        </w:tc>
      </w:tr>
      <w:tr w:rsidR="00967E2F" w:rsidRPr="00967E2F" w14:paraId="7FCB045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F7148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Antimicrobial Resistance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DB171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4.7 </w:t>
            </w:r>
            <w:proofErr w:type="gramStart"/>
            <w:r w:rsidRPr="00967E2F">
              <w:rPr>
                <w:rFonts w:ascii="Arial" w:eastAsia="Times New Roman" w:hAnsi="Arial" w:cs="Arial"/>
                <w:color w:val="1F1F1F"/>
                <w:kern w:val="0"/>
                <w:bdr w:val="none" w:sz="0" w:space="0" w:color="auto" w:frame="1"/>
                <w:lang w:eastAsia="en-ZA"/>
                <w14:ligatures w14:val="none"/>
              </w:rPr>
              <w:t>Million</w:t>
            </w:r>
            <w:proofErr w:type="gramEnd"/>
            <w:r w:rsidRPr="00967E2F">
              <w:rPr>
                <w:rFonts w:ascii="Arial" w:eastAsia="Times New Roman" w:hAnsi="Arial" w:cs="Arial"/>
                <w:color w:val="1F1F1F"/>
                <w:kern w:val="0"/>
                <w:bdr w:val="none" w:sz="0" w:space="0" w:color="auto" w:frame="1"/>
                <w:lang w:eastAsia="en-ZA"/>
                <w14:ligatures w14:val="none"/>
              </w:rPr>
              <w:t xml:space="preserve"> deaths annually (2021 base)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811D95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Emergence of "post-antibiotic era" </w:t>
            </w:r>
          </w:p>
        </w:tc>
      </w:tr>
    </w:tbl>
    <w:p w14:paraId="2A7175F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Shortages have become systemic, affecting stimulants (52%), pulmonary medications (17%), and antibiotics. A small but significant 2% of physicians report patient deaths attributable solely to the inability to access medication. This situation is compounded by the "K-shaped" nature of healthcare access: in the lowest income quintiles, people are 2.5 times more likely to report unmet medical needs compared to the highest quintile.</w:t>
      </w:r>
    </w:p>
    <w:p w14:paraId="5DC82760"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Problem Selection: Why Bio-Industrial Decentralization is the Critical Solution</w:t>
      </w:r>
    </w:p>
    <w:p w14:paraId="629B7E1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selection of </w:t>
      </w:r>
      <w:r w:rsidRPr="00967E2F">
        <w:rPr>
          <w:rFonts w:ascii="Arial" w:eastAsia="Times New Roman" w:hAnsi="Arial" w:cs="Arial"/>
          <w:b/>
          <w:bCs/>
          <w:color w:val="1F1F1F"/>
          <w:kern w:val="0"/>
          <w:bdr w:val="none" w:sz="0" w:space="0" w:color="auto" w:frame="1"/>
          <w:lang w:eastAsia="en-ZA"/>
          <w14:ligatures w14:val="none"/>
        </w:rPr>
        <w:t>Bio-Industrial Decentralization</w:t>
      </w:r>
      <w:r w:rsidRPr="00967E2F">
        <w:rPr>
          <w:rFonts w:ascii="Arial" w:eastAsia="Times New Roman" w:hAnsi="Arial" w:cs="Arial"/>
          <w:color w:val="1F1F1F"/>
          <w:kern w:val="0"/>
          <w:bdr w:val="none" w:sz="0" w:space="0" w:color="auto" w:frame="1"/>
          <w:lang w:eastAsia="en-ZA"/>
          <w14:ligatures w14:val="none"/>
        </w:rPr>
        <w:t xml:space="preserve"> as the primary solution to these global crises is based on its ability to address the "root causes" of geoeconomic fragmentation and supply chain fragility. The traditional centralized model—characterized by massive, capital-intensive factories located in a few geopolitical hubs—is no longer viable in an era of "state-based armed conflict" and "geoeconomic weaponization".</w:t>
      </w:r>
    </w:p>
    <w:p w14:paraId="0242227D" w14:textId="77777777" w:rsidR="00967E2F" w:rsidRPr="00967E2F" w:rsidRDefault="00967E2F" w:rsidP="00967E2F">
      <w:pPr>
        <w:spacing w:after="12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By moving production closer to the point of consumption, decentralized bio-manufacturing addresses the following strategic vulnerabilities:</w:t>
      </w:r>
    </w:p>
    <w:p w14:paraId="3E31C3DE" w14:textId="77777777" w:rsidR="00967E2F" w:rsidRPr="00967E2F" w:rsidRDefault="00967E2F" w:rsidP="00967E2F">
      <w:pPr>
        <w:numPr>
          <w:ilvl w:val="0"/>
          <w:numId w:val="30"/>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lastRenderedPageBreak/>
        <w:t>Tariff and Trade Volatility</w:t>
      </w:r>
      <w:r w:rsidRPr="00967E2F">
        <w:rPr>
          <w:rFonts w:ascii="Arial" w:eastAsia="Times New Roman" w:hAnsi="Arial" w:cs="Arial"/>
          <w:color w:val="1F1F1F"/>
          <w:kern w:val="0"/>
          <w:bdr w:val="none" w:sz="0" w:space="0" w:color="auto" w:frame="1"/>
          <w:lang w:eastAsia="en-ZA"/>
          <w14:ligatures w14:val="none"/>
        </w:rPr>
        <w:t>: Localized production bypasses the 15% tariffs and 18,000 discriminatory trade measures that currently inflate costs and disrupt shipments.</w:t>
      </w:r>
    </w:p>
    <w:p w14:paraId="1633E6CF" w14:textId="77777777" w:rsidR="00967E2F" w:rsidRPr="00967E2F" w:rsidRDefault="00967E2F" w:rsidP="00967E2F">
      <w:pPr>
        <w:numPr>
          <w:ilvl w:val="0"/>
          <w:numId w:val="30"/>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Infrastructure Resilience</w:t>
      </w:r>
      <w:r w:rsidRPr="00967E2F">
        <w:rPr>
          <w:rFonts w:ascii="Arial" w:eastAsia="Times New Roman" w:hAnsi="Arial" w:cs="Arial"/>
          <w:color w:val="1F1F1F"/>
          <w:kern w:val="0"/>
          <w:bdr w:val="none" w:sz="0" w:space="0" w:color="auto" w:frame="1"/>
          <w:lang w:eastAsia="en-ZA"/>
          <w14:ligatures w14:val="none"/>
        </w:rPr>
        <w:t>: Small, modular bio-hubs are less vulnerable to the cyberattacks and physical disruptions that target centralized mega-plants, which are now viewed as high-value strategic targets.</w:t>
      </w:r>
    </w:p>
    <w:p w14:paraId="602A3E6E" w14:textId="77777777" w:rsidR="00967E2F" w:rsidRPr="00967E2F" w:rsidRDefault="00967E2F" w:rsidP="00967E2F">
      <w:pPr>
        <w:numPr>
          <w:ilvl w:val="0"/>
          <w:numId w:val="30"/>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Cold-Chain Dependency</w:t>
      </w:r>
      <w:r w:rsidRPr="00967E2F">
        <w:rPr>
          <w:rFonts w:ascii="Arial" w:eastAsia="Times New Roman" w:hAnsi="Arial" w:cs="Arial"/>
          <w:color w:val="1F1F1F"/>
          <w:kern w:val="0"/>
          <w:bdr w:val="none" w:sz="0" w:space="0" w:color="auto" w:frame="1"/>
          <w:lang w:eastAsia="en-ZA"/>
          <w14:ligatures w14:val="none"/>
        </w:rPr>
        <w:t>: Emerging technologies like cell-free protein synthesis (CFPS) eliminate the need for refrigeration and long-distance transport of temperature-sensitive biologics.</w:t>
      </w:r>
    </w:p>
    <w:p w14:paraId="4FA9FABF" w14:textId="77777777" w:rsidR="00967E2F" w:rsidRPr="00967E2F" w:rsidRDefault="00967E2F" w:rsidP="00967E2F">
      <w:pPr>
        <w:numPr>
          <w:ilvl w:val="0"/>
          <w:numId w:val="30"/>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Resource Circularity</w:t>
      </w:r>
      <w:r w:rsidRPr="00967E2F">
        <w:rPr>
          <w:rFonts w:ascii="Arial" w:eastAsia="Times New Roman" w:hAnsi="Arial" w:cs="Arial"/>
          <w:color w:val="1F1F1F"/>
          <w:kern w:val="0"/>
          <w:bdr w:val="none" w:sz="0" w:space="0" w:color="auto" w:frame="1"/>
          <w:lang w:eastAsia="en-ZA"/>
          <w14:ligatures w14:val="none"/>
        </w:rPr>
        <w:t>: Utilizing local agricultural waste to produce both energy and nutrients addresses the "Food vs. Fuel" debate and provides a sustainable model for the 16 hunger hotspots.</w:t>
      </w:r>
    </w:p>
    <w:p w14:paraId="470543BC" w14:textId="77777777" w:rsidR="00967E2F" w:rsidRPr="00967E2F" w:rsidRDefault="00967E2F" w:rsidP="00967E2F">
      <w:pPr>
        <w:numPr>
          <w:ilvl w:val="0"/>
          <w:numId w:val="30"/>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Regulatory Compliance</w:t>
      </w:r>
      <w:r w:rsidRPr="00967E2F">
        <w:rPr>
          <w:rFonts w:ascii="Arial" w:eastAsia="Times New Roman" w:hAnsi="Arial" w:cs="Arial"/>
          <w:color w:val="1F1F1F"/>
          <w:kern w:val="0"/>
          <w:bdr w:val="none" w:sz="0" w:space="0" w:color="auto" w:frame="1"/>
          <w:lang w:eastAsia="en-ZA"/>
          <w14:ligatures w14:val="none"/>
        </w:rPr>
        <w:t>: The 2026 transition to the FDA's Quality Management System Regulation (QMSR) and the Drug Supply Chain Security Act (DSCSA) mandates digital traceability, which is naturally facilitated by blockchain-enabled decentralized systems.</w:t>
      </w:r>
    </w:p>
    <w:p w14:paraId="30044EAD"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The Bio-Industrial Decentralization Protocol (BIDP): A Comprehensive Solution</w:t>
      </w:r>
    </w:p>
    <w:p w14:paraId="304B1259" w14:textId="77777777" w:rsidR="00967E2F" w:rsidRPr="00967E2F" w:rsidRDefault="00967E2F" w:rsidP="00967E2F">
      <w:pPr>
        <w:spacing w:after="24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The BIDP is an integrated technology and governance framework designed to allow communities to achieve resource sovereignty. It creates a "Bio-Industrial Commons" where local waste is converted into energy, nutrients, and life-saving medications.</w:t>
      </w:r>
    </w:p>
    <w:p w14:paraId="4B0BAF75"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Component I: The Community-Scale Biorefinery (CBR)</w:t>
      </w:r>
    </w:p>
    <w:p w14:paraId="1A56EE2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core of the hardware solution is the </w:t>
      </w:r>
      <w:r w:rsidRPr="00967E2F">
        <w:rPr>
          <w:rFonts w:ascii="Arial" w:eastAsia="Times New Roman" w:hAnsi="Arial" w:cs="Arial"/>
          <w:b/>
          <w:bCs/>
          <w:color w:val="1F1F1F"/>
          <w:kern w:val="0"/>
          <w:bdr w:val="none" w:sz="0" w:space="0" w:color="auto" w:frame="1"/>
          <w:lang w:eastAsia="en-ZA"/>
          <w14:ligatures w14:val="none"/>
        </w:rPr>
        <w:t xml:space="preserve">Community </w:t>
      </w:r>
      <w:proofErr w:type="spellStart"/>
      <w:r w:rsidRPr="00967E2F">
        <w:rPr>
          <w:rFonts w:ascii="Arial" w:eastAsia="Times New Roman" w:hAnsi="Arial" w:cs="Arial"/>
          <w:b/>
          <w:bCs/>
          <w:color w:val="1F1F1F"/>
          <w:kern w:val="0"/>
          <w:bdr w:val="none" w:sz="0" w:space="0" w:color="auto" w:frame="1"/>
          <w:lang w:eastAsia="en-ZA"/>
          <w14:ligatures w14:val="none"/>
        </w:rPr>
        <w:t>BioRefinery</w:t>
      </w:r>
      <w:proofErr w:type="spellEnd"/>
      <w:r w:rsidRPr="00967E2F">
        <w:rPr>
          <w:rFonts w:ascii="Arial" w:eastAsia="Times New Roman" w:hAnsi="Arial" w:cs="Arial"/>
          <w:b/>
          <w:bCs/>
          <w:color w:val="1F1F1F"/>
          <w:kern w:val="0"/>
          <w:bdr w:val="none" w:sz="0" w:space="0" w:color="auto" w:frame="1"/>
          <w:lang w:eastAsia="en-ZA"/>
          <w14:ligatures w14:val="none"/>
        </w:rPr>
        <w:t xml:space="preserve"> (CBR)</w:t>
      </w:r>
      <w:r w:rsidRPr="00967E2F">
        <w:rPr>
          <w:rFonts w:ascii="Arial" w:eastAsia="Times New Roman" w:hAnsi="Arial" w:cs="Arial"/>
          <w:color w:val="1F1F1F"/>
          <w:kern w:val="0"/>
          <w:bdr w:val="none" w:sz="0" w:space="0" w:color="auto" w:frame="1"/>
          <w:lang w:eastAsia="en-ZA"/>
          <w14:ligatures w14:val="none"/>
        </w:rPr>
        <w:t>. Unlike traditional refineries, the CBR is a 3-dimensional innovator that processes the entire feedstock to create a portfolio of sustainable products.</w:t>
      </w:r>
    </w:p>
    <w:p w14:paraId="13FB0F0F" w14:textId="77777777" w:rsidR="00967E2F" w:rsidRPr="00967E2F" w:rsidRDefault="00967E2F" w:rsidP="00967E2F">
      <w:pPr>
        <w:spacing w:after="120" w:line="240" w:lineRule="auto"/>
        <w:outlineLvl w:val="3"/>
        <w:rPr>
          <w:rFonts w:ascii="Arial" w:eastAsia="Times New Roman" w:hAnsi="Arial" w:cs="Arial"/>
          <w:b/>
          <w:bCs/>
          <w:color w:val="1F1F1F"/>
          <w:kern w:val="0"/>
          <w:lang w:eastAsia="en-ZA"/>
          <w14:ligatures w14:val="none"/>
        </w:rPr>
      </w:pPr>
      <w:r w:rsidRPr="00967E2F">
        <w:rPr>
          <w:rFonts w:ascii="Arial" w:eastAsia="Times New Roman" w:hAnsi="Arial" w:cs="Arial"/>
          <w:b/>
          <w:bCs/>
          <w:color w:val="1F1F1F"/>
          <w:kern w:val="0"/>
          <w:lang w:eastAsia="en-ZA"/>
          <w14:ligatures w14:val="none"/>
        </w:rPr>
        <w:t>Technical Mechanism: The Integrated Fermentation Loop</w:t>
      </w:r>
    </w:p>
    <w:p w14:paraId="217D717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CBR utilizes advanced fermentation to turn local agricultural residues into bio-butanol, a petroleum-free biofuel with an energy density of 29.2 MJ/kg. The system operates on a 25-to-50-mile radius, ensuring zero-waste circularity and 95% input-to-energy efficiency.</w:t>
      </w:r>
    </w:p>
    <w:tbl>
      <w:tblPr>
        <w:tblW w:w="0" w:type="auto"/>
        <w:tblCellSpacing w:w="15" w:type="dxa"/>
        <w:tblCellMar>
          <w:left w:w="0" w:type="dxa"/>
          <w:right w:w="0" w:type="dxa"/>
        </w:tblCellMar>
        <w:tblLook w:val="04A0" w:firstRow="1" w:lastRow="0" w:firstColumn="1" w:lastColumn="0" w:noHBand="0" w:noVBand="1"/>
      </w:tblPr>
      <w:tblGrid>
        <w:gridCol w:w="2141"/>
        <w:gridCol w:w="3321"/>
        <w:gridCol w:w="3548"/>
      </w:tblGrid>
      <w:tr w:rsidR="00967E2F" w:rsidRPr="00967E2F" w14:paraId="54986F03"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476B2D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CBR Product Portfolio</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B8401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Utility / Application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80A07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Economic &amp; Social Benefit</w:t>
            </w:r>
          </w:p>
        </w:tc>
      </w:tr>
      <w:tr w:rsidR="00967E2F" w:rsidRPr="00967E2F" w14:paraId="1631F33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6E79D0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Bio-Butanol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7F242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High-energy fuel (29.2 MJ/kg)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9BB31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Decentralized power for hospitals/homes </w:t>
            </w:r>
          </w:p>
        </w:tc>
      </w:tr>
      <w:tr w:rsidR="00967E2F" w:rsidRPr="00967E2F" w14:paraId="034DA8D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54C3C8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Green Hydrogen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B9EB3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Clean energy storage (120 MJ/kg)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8097D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Zero-emission mobility and heating </w:t>
            </w:r>
          </w:p>
        </w:tc>
      </w:tr>
      <w:tr w:rsidR="00967E2F" w:rsidRPr="00967E2F" w14:paraId="75767C8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552E74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Bioplastics (PLA/PHA)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880020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Biodegradable materials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1DA0EC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Replaces fossil-based plastics; 1-5 yr degradation </w:t>
            </w:r>
          </w:p>
        </w:tc>
      </w:tr>
      <w:tr w:rsidR="00967E2F" w:rsidRPr="00967E2F" w14:paraId="338D6C4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95224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Organic Acids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5033B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Precursors for food/pharma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8DBCE7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Natural preservatives and chemical intermediates </w:t>
            </w:r>
          </w:p>
        </w:tc>
      </w:tr>
      <w:tr w:rsidR="00967E2F" w:rsidRPr="00967E2F" w14:paraId="01BB651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380861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lastRenderedPageBreak/>
              <w:t>High-Value Food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4A5CC9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Nutraceuticals/proteins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7A6B6B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Direct mitigation of malnutrition crises </w:t>
            </w:r>
          </w:p>
        </w:tc>
      </w:tr>
    </w:tbl>
    <w:p w14:paraId="0D22E7F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system uses a "two-step" process: (1) fractionation to obtain galacturonic acid and sugar concentrates, and (2) conversion via fermentation with $CO</w:t>
      </w:r>
      <w:proofErr w:type="gramStart"/>
      <w:r w:rsidRPr="00967E2F">
        <w:rPr>
          <w:rFonts w:ascii="Arial" w:eastAsia="Times New Roman" w:hAnsi="Arial" w:cs="Arial"/>
          <w:color w:val="1F1F1F"/>
          <w:kern w:val="0"/>
          <w:bdr w:val="none" w:sz="0" w:space="0" w:color="auto" w:frame="1"/>
          <w:lang w:eastAsia="en-ZA"/>
          <w14:ligatures w14:val="none"/>
        </w:rPr>
        <w:t>_{2}$</w:t>
      </w:r>
      <w:proofErr w:type="gramEnd"/>
      <w:r w:rsidRPr="00967E2F">
        <w:rPr>
          <w:rFonts w:ascii="Arial" w:eastAsia="Times New Roman" w:hAnsi="Arial" w:cs="Arial"/>
          <w:color w:val="1F1F1F"/>
          <w:kern w:val="0"/>
          <w:bdr w:val="none" w:sz="0" w:space="0" w:color="auto" w:frame="1"/>
          <w:lang w:eastAsia="en-ZA"/>
          <w14:ligatures w14:val="none"/>
        </w:rPr>
        <w:t xml:space="preserve"> capture. In a validation study involving 228 families in Colombia, the system successfully converted peach palm fruit residues into valuable organic acids with a 26.5% yield. These biorefineries are modular and can be deployed in months rather than years, providing a "small and mini electrical powerhouse" for communities.</w:t>
      </w:r>
    </w:p>
    <w:p w14:paraId="0F2903AA"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Component II: The Cell-Free Protein Synthesis (CFPS) Module</w:t>
      </w:r>
    </w:p>
    <w:p w14:paraId="337E459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To solve the medicine access crisis, the BIDP incorporates the </w:t>
      </w:r>
      <w:r w:rsidRPr="00967E2F">
        <w:rPr>
          <w:rFonts w:ascii="Arial" w:eastAsia="Times New Roman" w:hAnsi="Arial" w:cs="Arial"/>
          <w:b/>
          <w:bCs/>
          <w:color w:val="1F1F1F"/>
          <w:kern w:val="0"/>
          <w:bdr w:val="none" w:sz="0" w:space="0" w:color="auto" w:frame="1"/>
          <w:lang w:eastAsia="en-ZA"/>
          <w14:ligatures w14:val="none"/>
        </w:rPr>
        <w:t>MANGO (</w:t>
      </w:r>
      <w:proofErr w:type="spellStart"/>
      <w:r w:rsidRPr="00967E2F">
        <w:rPr>
          <w:rFonts w:ascii="Arial" w:eastAsia="Times New Roman" w:hAnsi="Arial" w:cs="Arial"/>
          <w:b/>
          <w:bCs/>
          <w:color w:val="1F1F1F"/>
          <w:kern w:val="0"/>
          <w:bdr w:val="none" w:sz="0" w:space="0" w:color="auto" w:frame="1"/>
          <w:lang w:eastAsia="en-ZA"/>
          <w14:ligatures w14:val="none"/>
        </w:rPr>
        <w:t>MANufacturing</w:t>
      </w:r>
      <w:proofErr w:type="spellEnd"/>
      <w:r w:rsidRPr="00967E2F">
        <w:rPr>
          <w:rFonts w:ascii="Arial" w:eastAsia="Times New Roman" w:hAnsi="Arial" w:cs="Arial"/>
          <w:b/>
          <w:bCs/>
          <w:color w:val="1F1F1F"/>
          <w:kern w:val="0"/>
          <w:bdr w:val="none" w:sz="0" w:space="0" w:color="auto" w:frame="1"/>
          <w:lang w:eastAsia="en-ZA"/>
          <w14:ligatures w14:val="none"/>
        </w:rPr>
        <w:t xml:space="preserve"> on the GO)</w:t>
      </w:r>
      <w:r w:rsidRPr="00967E2F">
        <w:rPr>
          <w:rFonts w:ascii="Arial" w:eastAsia="Times New Roman" w:hAnsi="Arial" w:cs="Arial"/>
          <w:color w:val="1F1F1F"/>
          <w:kern w:val="0"/>
          <w:bdr w:val="none" w:sz="0" w:space="0" w:color="auto" w:frame="1"/>
          <w:lang w:eastAsia="en-ZA"/>
          <w14:ligatures w14:val="none"/>
        </w:rPr>
        <w:t xml:space="preserve"> platform, an automated, benchtop cell-free protein synthesis and purification device.</w:t>
      </w:r>
    </w:p>
    <w:p w14:paraId="0E3FE52B" w14:textId="77777777" w:rsidR="00967E2F" w:rsidRPr="00967E2F" w:rsidRDefault="00967E2F" w:rsidP="00967E2F">
      <w:pPr>
        <w:spacing w:after="120" w:line="240" w:lineRule="auto"/>
        <w:outlineLvl w:val="3"/>
        <w:rPr>
          <w:rFonts w:ascii="Arial" w:eastAsia="Times New Roman" w:hAnsi="Arial" w:cs="Arial"/>
          <w:b/>
          <w:bCs/>
          <w:color w:val="1F1F1F"/>
          <w:kern w:val="0"/>
          <w:lang w:eastAsia="en-ZA"/>
          <w14:ligatures w14:val="none"/>
        </w:rPr>
      </w:pPr>
      <w:r w:rsidRPr="00967E2F">
        <w:rPr>
          <w:rFonts w:ascii="Arial" w:eastAsia="Times New Roman" w:hAnsi="Arial" w:cs="Arial"/>
          <w:b/>
          <w:bCs/>
          <w:color w:val="1F1F1F"/>
          <w:kern w:val="0"/>
          <w:lang w:eastAsia="en-ZA"/>
          <w14:ligatures w14:val="none"/>
        </w:rPr>
        <w:t>Point-of-Care Biomanufacturing</w:t>
      </w:r>
    </w:p>
    <w:p w14:paraId="44476CC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CFPS decouples gene expression from living cells, enabling "</w:t>
      </w:r>
      <w:proofErr w:type="gramStart"/>
      <w:r w:rsidRPr="00967E2F">
        <w:rPr>
          <w:rFonts w:ascii="Arial" w:eastAsia="Times New Roman" w:hAnsi="Arial" w:cs="Arial"/>
          <w:color w:val="1F1F1F"/>
          <w:kern w:val="0"/>
          <w:bdr w:val="none" w:sz="0" w:space="0" w:color="auto" w:frame="1"/>
          <w:lang w:eastAsia="en-ZA"/>
          <w14:ligatures w14:val="none"/>
        </w:rPr>
        <w:t>on-demand</w:t>
      </w:r>
      <w:proofErr w:type="gramEnd"/>
      <w:r w:rsidRPr="00967E2F">
        <w:rPr>
          <w:rFonts w:ascii="Arial" w:eastAsia="Times New Roman" w:hAnsi="Arial" w:cs="Arial"/>
          <w:color w:val="1F1F1F"/>
          <w:kern w:val="0"/>
          <w:bdr w:val="none" w:sz="0" w:space="0" w:color="auto" w:frame="1"/>
          <w:lang w:eastAsia="en-ZA"/>
          <w14:ligatures w14:val="none"/>
        </w:rPr>
        <w:t xml:space="preserve"> biomanufacturing". This allows for the production of recombinant proteins, nanobodies, and vaccines directly at the point of use, bypassing the fragile global pharmaceutical supply chain.</w:t>
      </w:r>
    </w:p>
    <w:p w14:paraId="032457A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Northwest University </w:t>
      </w:r>
      <w:proofErr w:type="spellStart"/>
      <w:r w:rsidRPr="00967E2F">
        <w:rPr>
          <w:rFonts w:ascii="Arial" w:eastAsia="Times New Roman" w:hAnsi="Arial" w:cs="Arial"/>
          <w:color w:val="1F1F1F"/>
          <w:kern w:val="0"/>
          <w:bdr w:val="none" w:sz="0" w:space="0" w:color="auto" w:frame="1"/>
          <w:lang w:eastAsia="en-ZA"/>
          <w14:ligatures w14:val="none"/>
        </w:rPr>
        <w:t>iVAX</w:t>
      </w:r>
      <w:proofErr w:type="spellEnd"/>
      <w:r w:rsidRPr="00967E2F">
        <w:rPr>
          <w:rFonts w:ascii="Arial" w:eastAsia="Times New Roman" w:hAnsi="Arial" w:cs="Arial"/>
          <w:color w:val="1F1F1F"/>
          <w:kern w:val="0"/>
          <w:bdr w:val="none" w:sz="0" w:space="0" w:color="auto" w:frame="1"/>
          <w:lang w:eastAsia="en-ZA"/>
          <w14:ligatures w14:val="none"/>
        </w:rPr>
        <w:t xml:space="preserve"> platform has demonstrated the capability to increase yields by 91%, pushing per-dose costs for certain biologics near $1.00. These economics, combined with the stability of freeze-dried lysates, allow for a "pandemic-ready" infrastructure that does not require the massive stainless-steel fermenters of traditional pharma.</w:t>
      </w:r>
    </w:p>
    <w:tbl>
      <w:tblPr>
        <w:tblW w:w="0" w:type="auto"/>
        <w:tblCellSpacing w:w="15" w:type="dxa"/>
        <w:tblCellMar>
          <w:left w:w="0" w:type="dxa"/>
          <w:right w:w="0" w:type="dxa"/>
        </w:tblCellMar>
        <w:tblLook w:val="04A0" w:firstRow="1" w:lastRow="0" w:firstColumn="1" w:lastColumn="0" w:noHBand="0" w:noVBand="1"/>
      </w:tblPr>
      <w:tblGrid>
        <w:gridCol w:w="2560"/>
        <w:gridCol w:w="2718"/>
        <w:gridCol w:w="3732"/>
      </w:tblGrid>
      <w:tr w:rsidR="00967E2F" w:rsidRPr="00967E2F" w14:paraId="268DB5BF"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42BB7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CFPS Application Area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F1EA75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Specific Target Protein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07712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Impact on Global Health (2026)</w:t>
            </w:r>
          </w:p>
        </w:tc>
      </w:tr>
      <w:tr w:rsidR="00967E2F" w:rsidRPr="00967E2F" w14:paraId="0E486770"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82378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Diagnostics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F99196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Diagnostic Enzymes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F70325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Rapid, local testing for infectious diseases </w:t>
            </w:r>
          </w:p>
        </w:tc>
      </w:tr>
      <w:tr w:rsidR="00967E2F" w:rsidRPr="00967E2F" w14:paraId="766288E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B4E4C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Therapeutics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8B90C1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Nanobodies (e.g., anti-TNF)</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E10D25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Affordable chronic disease management </w:t>
            </w:r>
          </w:p>
        </w:tc>
      </w:tr>
      <w:tr w:rsidR="00967E2F" w:rsidRPr="00967E2F" w14:paraId="696DE63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D2C022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Vaccine Prototyping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C5C71F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Patient-specific conjugates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18C9646"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Rapid response to emerging pathogens </w:t>
            </w:r>
          </w:p>
        </w:tc>
      </w:tr>
      <w:tr w:rsidR="00967E2F" w:rsidRPr="00967E2F" w14:paraId="00EC506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8252C8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Research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5296C5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Cloning Enzymes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12E1BC6"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Democratizing genomic research globally </w:t>
            </w:r>
          </w:p>
        </w:tc>
      </w:tr>
    </w:tbl>
    <w:p w14:paraId="04D622B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In early 2026, the integration of AI/ML into these platforms has been a transformative driver. OpenAI's GPT-5 autonomously ran 36,000 protein synthesis experiments in collaboration with Ginkgo Bioworks, achieving a 40% cost improvement over previous state-of-the-art methods. This "autonomous lab" approach allows decentralized units to optimize their own "recipes" for local production.</w:t>
      </w:r>
    </w:p>
    <w:p w14:paraId="25FF8EE5"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Component III: The DAO 3.0 Governance and Compliance Framework</w:t>
      </w:r>
    </w:p>
    <w:p w14:paraId="5819AB2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lastRenderedPageBreak/>
        <w:t>The primary barrier to decentralized production is maintaining regulatory compliance and quality assurance (</w:t>
      </w:r>
      <w:proofErr w:type="spellStart"/>
      <w:r w:rsidRPr="00967E2F">
        <w:rPr>
          <w:rFonts w:ascii="Arial" w:eastAsia="Times New Roman" w:hAnsi="Arial" w:cs="Arial"/>
          <w:color w:val="1F1F1F"/>
          <w:kern w:val="0"/>
          <w:bdr w:val="none" w:sz="0" w:space="0" w:color="auto" w:frame="1"/>
          <w:lang w:eastAsia="en-ZA"/>
          <w14:ligatures w14:val="none"/>
        </w:rPr>
        <w:t>GxP</w:t>
      </w:r>
      <w:proofErr w:type="spellEnd"/>
      <w:r w:rsidRPr="00967E2F">
        <w:rPr>
          <w:rFonts w:ascii="Arial" w:eastAsia="Times New Roman" w:hAnsi="Arial" w:cs="Arial"/>
          <w:color w:val="1F1F1F"/>
          <w:kern w:val="0"/>
          <w:bdr w:val="none" w:sz="0" w:space="0" w:color="auto" w:frame="1"/>
          <w:lang w:eastAsia="en-ZA"/>
          <w14:ligatures w14:val="none"/>
        </w:rPr>
        <w:t xml:space="preserve">) in the absence of a central corporate authority. The BIDP addresses this through a </w:t>
      </w:r>
      <w:r w:rsidRPr="00967E2F">
        <w:rPr>
          <w:rFonts w:ascii="Arial" w:eastAsia="Times New Roman" w:hAnsi="Arial" w:cs="Arial"/>
          <w:b/>
          <w:bCs/>
          <w:color w:val="1F1F1F"/>
          <w:kern w:val="0"/>
          <w:bdr w:val="none" w:sz="0" w:space="0" w:color="auto" w:frame="1"/>
          <w:lang w:eastAsia="en-ZA"/>
          <w14:ligatures w14:val="none"/>
        </w:rPr>
        <w:t>Decentralized Autonomous Organization (DAO)</w:t>
      </w:r>
      <w:r w:rsidRPr="00967E2F">
        <w:rPr>
          <w:rFonts w:ascii="Arial" w:eastAsia="Times New Roman" w:hAnsi="Arial" w:cs="Arial"/>
          <w:color w:val="1F1F1F"/>
          <w:kern w:val="0"/>
          <w:bdr w:val="none" w:sz="0" w:space="0" w:color="auto" w:frame="1"/>
          <w:lang w:eastAsia="en-ZA"/>
          <w14:ligatures w14:val="none"/>
        </w:rPr>
        <w:t xml:space="preserve"> and blockchain-based </w:t>
      </w:r>
      <w:r w:rsidRPr="00967E2F">
        <w:rPr>
          <w:rFonts w:ascii="Arial" w:eastAsia="Times New Roman" w:hAnsi="Arial" w:cs="Arial"/>
          <w:b/>
          <w:bCs/>
          <w:color w:val="1F1F1F"/>
          <w:kern w:val="0"/>
          <w:bdr w:val="none" w:sz="0" w:space="0" w:color="auto" w:frame="1"/>
          <w:lang w:eastAsia="en-ZA"/>
          <w14:ligatures w14:val="none"/>
        </w:rPr>
        <w:t>Quality Management System Regulation (QMSR)</w:t>
      </w:r>
      <w:r w:rsidRPr="00967E2F">
        <w:rPr>
          <w:rFonts w:ascii="Arial" w:eastAsia="Times New Roman" w:hAnsi="Arial" w:cs="Arial"/>
          <w:color w:val="1F1F1F"/>
          <w:kern w:val="0"/>
          <w:bdr w:val="none" w:sz="0" w:space="0" w:color="auto" w:frame="1"/>
          <w:lang w:eastAsia="en-ZA"/>
          <w14:ligatures w14:val="none"/>
        </w:rPr>
        <w:t>.</w:t>
      </w:r>
    </w:p>
    <w:p w14:paraId="6BC90945" w14:textId="77777777" w:rsidR="00967E2F" w:rsidRPr="00967E2F" w:rsidRDefault="00967E2F" w:rsidP="00967E2F">
      <w:pPr>
        <w:spacing w:after="120" w:line="240" w:lineRule="auto"/>
        <w:outlineLvl w:val="3"/>
        <w:rPr>
          <w:rFonts w:ascii="Arial" w:eastAsia="Times New Roman" w:hAnsi="Arial" w:cs="Arial"/>
          <w:b/>
          <w:bCs/>
          <w:color w:val="1F1F1F"/>
          <w:kern w:val="0"/>
          <w:lang w:eastAsia="en-ZA"/>
          <w14:ligatures w14:val="none"/>
        </w:rPr>
      </w:pPr>
      <w:r w:rsidRPr="00967E2F">
        <w:rPr>
          <w:rFonts w:ascii="Arial" w:eastAsia="Times New Roman" w:hAnsi="Arial" w:cs="Arial"/>
          <w:b/>
          <w:bCs/>
          <w:color w:val="1F1F1F"/>
          <w:kern w:val="0"/>
          <w:lang w:eastAsia="en-ZA"/>
          <w14:ligatures w14:val="none"/>
        </w:rPr>
        <w:t xml:space="preserve">Real-Time </w:t>
      </w:r>
      <w:proofErr w:type="spellStart"/>
      <w:r w:rsidRPr="00967E2F">
        <w:rPr>
          <w:rFonts w:ascii="Arial" w:eastAsia="Times New Roman" w:hAnsi="Arial" w:cs="Arial"/>
          <w:b/>
          <w:bCs/>
          <w:color w:val="1F1F1F"/>
          <w:kern w:val="0"/>
          <w:lang w:eastAsia="en-ZA"/>
          <w14:ligatures w14:val="none"/>
        </w:rPr>
        <w:t>GxP</w:t>
      </w:r>
      <w:proofErr w:type="spellEnd"/>
      <w:r w:rsidRPr="00967E2F">
        <w:rPr>
          <w:rFonts w:ascii="Arial" w:eastAsia="Times New Roman" w:hAnsi="Arial" w:cs="Arial"/>
          <w:b/>
          <w:bCs/>
          <w:color w:val="1F1F1F"/>
          <w:kern w:val="0"/>
          <w:lang w:eastAsia="en-ZA"/>
          <w14:ligatures w14:val="none"/>
        </w:rPr>
        <w:t xml:space="preserve"> Compliance via Corda DLT</w:t>
      </w:r>
    </w:p>
    <w:p w14:paraId="1A75807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system utilizes Corda Distributed Ledger Technology (DLT) to ensure data integrity, authenticity, and traceability across the decentralized ecosystem. Every transaction—from biomass sourcing to the final purity test of a synthesized nanobody—is recorded on an immutable ledger.</w:t>
      </w:r>
    </w:p>
    <w:p w14:paraId="28CE64B8" w14:textId="77777777" w:rsidR="00967E2F" w:rsidRPr="00967E2F" w:rsidRDefault="00967E2F" w:rsidP="00967E2F">
      <w:pPr>
        <w:numPr>
          <w:ilvl w:val="0"/>
          <w:numId w:val="31"/>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Smart Contracts</w:t>
      </w:r>
      <w:r w:rsidRPr="00967E2F">
        <w:rPr>
          <w:rFonts w:ascii="Arial" w:eastAsia="Times New Roman" w:hAnsi="Arial" w:cs="Arial"/>
          <w:color w:val="1F1F1F"/>
          <w:kern w:val="0"/>
          <w:bdr w:val="none" w:sz="0" w:space="0" w:color="auto" w:frame="1"/>
          <w:lang w:eastAsia="en-ZA"/>
          <w14:ligatures w14:val="none"/>
        </w:rPr>
        <w:t xml:space="preserve">: These self-executing contracts automatically enforce </w:t>
      </w:r>
      <w:proofErr w:type="spellStart"/>
      <w:r w:rsidRPr="00967E2F">
        <w:rPr>
          <w:rFonts w:ascii="Arial" w:eastAsia="Times New Roman" w:hAnsi="Arial" w:cs="Arial"/>
          <w:color w:val="1F1F1F"/>
          <w:kern w:val="0"/>
          <w:bdr w:val="none" w:sz="0" w:space="0" w:color="auto" w:frame="1"/>
          <w:lang w:eastAsia="en-ZA"/>
          <w14:ligatures w14:val="none"/>
        </w:rPr>
        <w:t>GxP</w:t>
      </w:r>
      <w:proofErr w:type="spellEnd"/>
      <w:r w:rsidRPr="00967E2F">
        <w:rPr>
          <w:rFonts w:ascii="Arial" w:eastAsia="Times New Roman" w:hAnsi="Arial" w:cs="Arial"/>
          <w:color w:val="1F1F1F"/>
          <w:kern w:val="0"/>
          <w:bdr w:val="none" w:sz="0" w:space="0" w:color="auto" w:frame="1"/>
          <w:lang w:eastAsia="en-ZA"/>
          <w14:ligatures w14:val="none"/>
        </w:rPr>
        <w:t xml:space="preserve"> rules. A batch of synthesized medication can only be "released" for use if the smart contract verifies that the automated QC results (recorded on the blockchain) meet predefined standards.</w:t>
      </w:r>
    </w:p>
    <w:p w14:paraId="10FABA9E" w14:textId="77777777" w:rsidR="00967E2F" w:rsidRPr="00967E2F" w:rsidRDefault="00967E2F" w:rsidP="00967E2F">
      <w:pPr>
        <w:numPr>
          <w:ilvl w:val="0"/>
          <w:numId w:val="31"/>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AI-Enhanced Quality Monitoring</w:t>
      </w:r>
      <w:r w:rsidRPr="00967E2F">
        <w:rPr>
          <w:rFonts w:ascii="Arial" w:eastAsia="Times New Roman" w:hAnsi="Arial" w:cs="Arial"/>
          <w:color w:val="1F1F1F"/>
          <w:kern w:val="0"/>
          <w:bdr w:val="none" w:sz="0" w:space="0" w:color="auto" w:frame="1"/>
          <w:lang w:eastAsia="en-ZA"/>
          <w14:ligatures w14:val="none"/>
        </w:rPr>
        <w:t>: AI agents monitor the manufacturing process in real-time, identifying 20-35% reductions in forecast errors and detecting data inconsistencies that would otherwise require days of manual review.</w:t>
      </w:r>
    </w:p>
    <w:p w14:paraId="7DD5F5B8" w14:textId="77777777" w:rsidR="00967E2F" w:rsidRPr="00967E2F" w:rsidRDefault="00967E2F" w:rsidP="00967E2F">
      <w:pPr>
        <w:numPr>
          <w:ilvl w:val="0"/>
          <w:numId w:val="31"/>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Digital Product Passports</w:t>
      </w:r>
      <w:r w:rsidRPr="00967E2F">
        <w:rPr>
          <w:rFonts w:ascii="Arial" w:eastAsia="Times New Roman" w:hAnsi="Arial" w:cs="Arial"/>
          <w:color w:val="1F1F1F"/>
          <w:kern w:val="0"/>
          <w:bdr w:val="none" w:sz="0" w:space="0" w:color="auto" w:frame="1"/>
          <w:lang w:eastAsia="en-ZA"/>
          <w14:ligatures w14:val="none"/>
        </w:rPr>
        <w:t>: Each unit of nutrient or medicine is assigned a unique ID that stores its entire lifecycle data, making it audit-ready for FDA inspectors who, as of February 2, 2026, have expanded authority to inspect digital records.</w:t>
      </w:r>
    </w:p>
    <w:tbl>
      <w:tblPr>
        <w:tblW w:w="0" w:type="auto"/>
        <w:tblCellSpacing w:w="15" w:type="dxa"/>
        <w:tblCellMar>
          <w:left w:w="0" w:type="dxa"/>
          <w:right w:w="0" w:type="dxa"/>
        </w:tblCellMar>
        <w:tblLook w:val="04A0" w:firstRow="1" w:lastRow="0" w:firstColumn="1" w:lastColumn="0" w:noHBand="0" w:noVBand="1"/>
      </w:tblPr>
      <w:tblGrid>
        <w:gridCol w:w="2631"/>
        <w:gridCol w:w="2838"/>
        <w:gridCol w:w="3541"/>
      </w:tblGrid>
      <w:tr w:rsidR="00967E2F" w:rsidRPr="00967E2F" w14:paraId="3897AF98"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440882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Governance Model Stage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B35699"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Primary Focus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D0DE1A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Application in BIDP</w:t>
            </w:r>
          </w:p>
        </w:tc>
      </w:tr>
      <w:tr w:rsidR="00967E2F" w:rsidRPr="00967E2F" w14:paraId="442F9F9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E383CD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DAO 1.0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8245F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Token-weighted voting</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6C3E4D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Initial fundraising and capital allocation </w:t>
            </w:r>
          </w:p>
        </w:tc>
      </w:tr>
      <w:tr w:rsidR="00967E2F" w:rsidRPr="00967E2F" w14:paraId="3949FB8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20B461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DAO 2.0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58DBEF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Protocol optimization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9E31FD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Improving fermentation yields and recipes </w:t>
            </w:r>
          </w:p>
        </w:tc>
      </w:tr>
      <w:tr w:rsidR="00967E2F" w:rsidRPr="00967E2F" w14:paraId="3C4E338C"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6429A1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DAO 3.0</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41E6BD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Relational and context-adaptive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E1B671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Local community management of bio-hubs </w:t>
            </w:r>
          </w:p>
        </w:tc>
      </w:tr>
    </w:tbl>
    <w:p w14:paraId="1F1C4E1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This DAO-driven approach fosters "Scalable Trust". By turning governance into an automated, rule-based execution system, the BIDP ensures that "who shouts louder" is replaced by objective, data-driven decisions.</w:t>
      </w:r>
    </w:p>
    <w:p w14:paraId="1BEB8B3D"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Economic Realignment: The Shift from Cost-Reduction to Resilience</w:t>
      </w:r>
    </w:p>
    <w:p w14:paraId="36496B5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BIDP represents a fundamental shift in the "calculus of efficiency." For decades, the pharmaceutical and food industries optimized for low cost through single-source suppliers and lean inventory. In the "Age of Competition," this model has failed because it does not account for the "probability-adjusted costs" of supply chain collapse.</w:t>
      </w:r>
    </w:p>
    <w:p w14:paraId="39A6D93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new economic paradigm of 2026 recognizes that a supply chain providing a 2% cost reduction but failing completely during a crisis is not truly efficient. The BIDP model accepts higher baseline costs for secondary local sources in exchange for a drastic reduction in systemic risk.</w:t>
      </w:r>
    </w:p>
    <w:tbl>
      <w:tblPr>
        <w:tblW w:w="0" w:type="auto"/>
        <w:tblCellSpacing w:w="15" w:type="dxa"/>
        <w:tblCellMar>
          <w:left w:w="0" w:type="dxa"/>
          <w:right w:w="0" w:type="dxa"/>
        </w:tblCellMar>
        <w:tblLook w:val="04A0" w:firstRow="1" w:lastRow="0" w:firstColumn="1" w:lastColumn="0" w:noHBand="0" w:noVBand="1"/>
      </w:tblPr>
      <w:tblGrid>
        <w:gridCol w:w="2462"/>
        <w:gridCol w:w="3222"/>
        <w:gridCol w:w="3326"/>
      </w:tblGrid>
      <w:tr w:rsidR="00967E2F" w:rsidRPr="00967E2F" w14:paraId="4EEB0016"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0E713A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lastRenderedPageBreak/>
              <w:t>Economic Metric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BEABCB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Centralized Factory Model</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757D09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BIDP Decentralized Model</w:t>
            </w:r>
          </w:p>
        </w:tc>
      </w:tr>
      <w:tr w:rsidR="00967E2F" w:rsidRPr="00967E2F" w14:paraId="6297DD7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6F18C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Capital Investment (</w:t>
            </w:r>
            <w:proofErr w:type="spellStart"/>
            <w:r w:rsidRPr="00967E2F">
              <w:rPr>
                <w:rFonts w:ascii="Arial" w:eastAsia="Times New Roman" w:hAnsi="Arial" w:cs="Arial"/>
                <w:color w:val="1F1F1F"/>
                <w:kern w:val="0"/>
                <w:bdr w:val="none" w:sz="0" w:space="0" w:color="auto" w:frame="1"/>
                <w:lang w:eastAsia="en-ZA"/>
                <w14:ligatures w14:val="none"/>
              </w:rPr>
              <w:t>CapEx</w:t>
            </w:r>
            <w:proofErr w:type="spellEnd"/>
            <w:r w:rsidRPr="00967E2F">
              <w:rPr>
                <w:rFonts w:ascii="Arial" w:eastAsia="Times New Roman" w:hAnsi="Arial" w:cs="Arial"/>
                <w:color w:val="1F1F1F"/>
                <w:kern w:val="0"/>
                <w:bdr w:val="none" w:sz="0" w:space="0" w:color="auto" w:frame="1"/>
                <w:lang w:eastAsia="en-ZA"/>
                <w14:ligatures w14:val="none"/>
              </w:rPr>
              <w: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917048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High ($Billion-scale)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316892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Low (Modular/Community-owned) </w:t>
            </w:r>
          </w:p>
        </w:tc>
      </w:tr>
      <w:tr w:rsidR="00967E2F" w:rsidRPr="00967E2F" w14:paraId="7A937A4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718826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Deployment Time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24EED7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5-10 Years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8F92F2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6 Months </w:t>
            </w:r>
          </w:p>
        </w:tc>
      </w:tr>
      <w:tr w:rsidR="00967E2F" w:rsidRPr="00967E2F" w14:paraId="2702335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6C62D9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Inventory Carrying Cost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BCEC34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High (Safety stocks of $400M+)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6257B9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Low (</w:t>
            </w:r>
            <w:proofErr w:type="gramStart"/>
            <w:r w:rsidRPr="00967E2F">
              <w:rPr>
                <w:rFonts w:ascii="Arial" w:eastAsia="Times New Roman" w:hAnsi="Arial" w:cs="Arial"/>
                <w:color w:val="1F1F1F"/>
                <w:kern w:val="0"/>
                <w:bdr w:val="none" w:sz="0" w:space="0" w:color="auto" w:frame="1"/>
                <w:lang w:eastAsia="en-ZA"/>
                <w14:ligatures w14:val="none"/>
              </w:rPr>
              <w:t>On-demand</w:t>
            </w:r>
            <w:proofErr w:type="gramEnd"/>
            <w:r w:rsidRPr="00967E2F">
              <w:rPr>
                <w:rFonts w:ascii="Arial" w:eastAsia="Times New Roman" w:hAnsi="Arial" w:cs="Arial"/>
                <w:color w:val="1F1F1F"/>
                <w:kern w:val="0"/>
                <w:bdr w:val="none" w:sz="0" w:space="0" w:color="auto" w:frame="1"/>
                <w:lang w:eastAsia="en-ZA"/>
                <w14:ligatures w14:val="none"/>
              </w:rPr>
              <w:t xml:space="preserve">/Localized) </w:t>
            </w:r>
          </w:p>
        </w:tc>
      </w:tr>
      <w:tr w:rsidR="00967E2F" w:rsidRPr="00967E2F" w14:paraId="5D21D1C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A780C9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Regulatory Compliance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0A86AB23"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Reactive/Bureaucratic</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B60016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Proactive/Automated </w:t>
            </w:r>
          </w:p>
        </w:tc>
      </w:tr>
      <w:tr w:rsidR="00967E2F" w:rsidRPr="00967E2F" w14:paraId="4942C60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578F27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Tariff Exposure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BFB9EA5"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15%+ on imports </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3F01F5E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0% (Local-to-Local production) </w:t>
            </w:r>
          </w:p>
        </w:tc>
      </w:tr>
    </w:tbl>
    <w:p w14:paraId="21B4D09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Strategic realignment is being backed by capital. There is a "sustained upswing" in private equity dealmaking for differentiated, high-performance strategies that enhance value creation through resilience. The BIDP leverages "Impact-Based Repayable Grants" and "Patient Capital" to bridge the "non-revenue gaps" between initial innovation and market-ready commercialization.</w:t>
      </w:r>
    </w:p>
    <w:p w14:paraId="30B311F7"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How to Adopt and Implement the BIDP (User Implementation Guide)</w:t>
      </w:r>
    </w:p>
    <w:p w14:paraId="60C4F3CA" w14:textId="77777777" w:rsidR="00967E2F" w:rsidRPr="00967E2F" w:rsidRDefault="00967E2F" w:rsidP="00967E2F">
      <w:pPr>
        <w:spacing w:after="24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As the creator and advocate of the BIDP, the user can present this solution to local governments, NGOs, and community leaders as a "Resilience-as-a-Service" (RaaS) package.</w:t>
      </w:r>
    </w:p>
    <w:p w14:paraId="7EC97C06"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Phase I: Localized Assessment and Bio-Hub Installation</w:t>
      </w:r>
    </w:p>
    <w:p w14:paraId="12A7E4C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process begins with a "Climate and Livelihood Risk Assessment" to identify the specific needs of a region (e.g., protein for malnutrition in Sudan, or insulin in a fragmented urban </w:t>
      </w:r>
      <w:proofErr w:type="spellStart"/>
      <w:r w:rsidRPr="00967E2F">
        <w:rPr>
          <w:rFonts w:ascii="Arial" w:eastAsia="Times New Roman" w:hAnsi="Arial" w:cs="Arial"/>
          <w:color w:val="1F1F1F"/>
          <w:kern w:val="0"/>
          <w:bdr w:val="none" w:sz="0" w:space="0" w:color="auto" w:frame="1"/>
          <w:lang w:eastAsia="en-ZA"/>
          <w14:ligatures w14:val="none"/>
        </w:rPr>
        <w:t>center</w:t>
      </w:r>
      <w:proofErr w:type="spellEnd"/>
      <w:r w:rsidRPr="00967E2F">
        <w:rPr>
          <w:rFonts w:ascii="Arial" w:eastAsia="Times New Roman" w:hAnsi="Arial" w:cs="Arial"/>
          <w:color w:val="1F1F1F"/>
          <w:kern w:val="0"/>
          <w:bdr w:val="none" w:sz="0" w:space="0" w:color="auto" w:frame="1"/>
          <w:lang w:eastAsia="en-ZA"/>
          <w14:ligatures w14:val="none"/>
        </w:rPr>
        <w:t>).</w:t>
      </w:r>
    </w:p>
    <w:p w14:paraId="4DFF42E3" w14:textId="77777777" w:rsidR="00967E2F" w:rsidRPr="00967E2F" w:rsidRDefault="00967E2F" w:rsidP="00967E2F">
      <w:pPr>
        <w:numPr>
          <w:ilvl w:val="0"/>
          <w:numId w:val="32"/>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Hardware Procurement</w:t>
      </w:r>
      <w:r w:rsidRPr="00967E2F">
        <w:rPr>
          <w:rFonts w:ascii="Arial" w:eastAsia="Times New Roman" w:hAnsi="Arial" w:cs="Arial"/>
          <w:color w:val="1F1F1F"/>
          <w:kern w:val="0"/>
          <w:bdr w:val="none" w:sz="0" w:space="0" w:color="auto" w:frame="1"/>
          <w:lang w:eastAsia="en-ZA"/>
          <w14:ligatures w14:val="none"/>
        </w:rPr>
        <w:t>: Use open-source blueprints for the CBR and MANGO systems. The hardware is fabricated using SLA-3D printing, which allows for "distributed digital manufacturing" during supply shortages.</w:t>
      </w:r>
    </w:p>
    <w:p w14:paraId="54B5CD97" w14:textId="77777777" w:rsidR="00967E2F" w:rsidRPr="00967E2F" w:rsidRDefault="00967E2F" w:rsidP="00967E2F">
      <w:pPr>
        <w:numPr>
          <w:ilvl w:val="0"/>
          <w:numId w:val="32"/>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Biomass Sourcing</w:t>
      </w:r>
      <w:r w:rsidRPr="00967E2F">
        <w:rPr>
          <w:rFonts w:ascii="Arial" w:eastAsia="Times New Roman" w:hAnsi="Arial" w:cs="Arial"/>
          <w:color w:val="1F1F1F"/>
          <w:kern w:val="0"/>
          <w:bdr w:val="none" w:sz="0" w:space="0" w:color="auto" w:frame="1"/>
          <w:lang w:eastAsia="en-ZA"/>
          <w14:ligatures w14:val="none"/>
        </w:rPr>
        <w:t>: Identify local agricultural waste streams within a 50-mile radius (e.g., fruit residues, corn stalks, or food waste).</w:t>
      </w:r>
    </w:p>
    <w:p w14:paraId="5D9CEC80" w14:textId="77777777" w:rsidR="00967E2F" w:rsidRPr="00967E2F" w:rsidRDefault="00967E2F" w:rsidP="00967E2F">
      <w:pPr>
        <w:numPr>
          <w:ilvl w:val="0"/>
          <w:numId w:val="32"/>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Local "Lab OS" Deployment</w:t>
      </w:r>
      <w:r w:rsidRPr="00967E2F">
        <w:rPr>
          <w:rFonts w:ascii="Arial" w:eastAsia="Times New Roman" w:hAnsi="Arial" w:cs="Arial"/>
          <w:color w:val="1F1F1F"/>
          <w:kern w:val="0"/>
          <w:bdr w:val="none" w:sz="0" w:space="0" w:color="auto" w:frame="1"/>
          <w:lang w:eastAsia="en-ZA"/>
          <w14:ligatures w14:val="none"/>
        </w:rPr>
        <w:t xml:space="preserve">: Install a Python-native Lab OS (e.g., </w:t>
      </w:r>
      <w:proofErr w:type="spellStart"/>
      <w:r w:rsidRPr="00967E2F">
        <w:rPr>
          <w:rFonts w:ascii="Arial" w:eastAsia="Times New Roman" w:hAnsi="Arial" w:cs="Arial"/>
          <w:color w:val="1F1F1F"/>
          <w:kern w:val="0"/>
          <w:bdr w:val="none" w:sz="0" w:space="0" w:color="auto" w:frame="1"/>
          <w:lang w:eastAsia="en-ZA"/>
          <w14:ligatures w14:val="none"/>
        </w:rPr>
        <w:t>UniteLabs</w:t>
      </w:r>
      <w:proofErr w:type="spellEnd"/>
      <w:r w:rsidRPr="00967E2F">
        <w:rPr>
          <w:rFonts w:ascii="Arial" w:eastAsia="Times New Roman" w:hAnsi="Arial" w:cs="Arial"/>
          <w:color w:val="1F1F1F"/>
          <w:kern w:val="0"/>
          <w:bdr w:val="none" w:sz="0" w:space="0" w:color="auto" w:frame="1"/>
          <w:lang w:eastAsia="en-ZA"/>
          <w14:ligatures w14:val="none"/>
        </w:rPr>
        <w:t xml:space="preserve"> or </w:t>
      </w:r>
      <w:proofErr w:type="spellStart"/>
      <w:r w:rsidRPr="00967E2F">
        <w:rPr>
          <w:rFonts w:ascii="Arial" w:eastAsia="Times New Roman" w:hAnsi="Arial" w:cs="Arial"/>
          <w:color w:val="1F1F1F"/>
          <w:kern w:val="0"/>
          <w:bdr w:val="none" w:sz="0" w:space="0" w:color="auto" w:frame="1"/>
          <w:lang w:eastAsia="en-ZA"/>
          <w14:ligatures w14:val="none"/>
        </w:rPr>
        <w:t>Biosero</w:t>
      </w:r>
      <w:proofErr w:type="spellEnd"/>
      <w:r w:rsidRPr="00967E2F">
        <w:rPr>
          <w:rFonts w:ascii="Arial" w:eastAsia="Times New Roman" w:hAnsi="Arial" w:cs="Arial"/>
          <w:color w:val="1F1F1F"/>
          <w:kern w:val="0"/>
          <w:bdr w:val="none" w:sz="0" w:space="0" w:color="auto" w:frame="1"/>
          <w:lang w:eastAsia="en-ZA"/>
          <w14:ligatures w14:val="none"/>
        </w:rPr>
        <w:t>) to connect the bioreactor to a global AI-driven "recipe" database.</w:t>
      </w:r>
    </w:p>
    <w:p w14:paraId="6829D1C0"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Phase II: Governance and Financial Onboarding</w:t>
      </w:r>
    </w:p>
    <w:p w14:paraId="27609821" w14:textId="77777777" w:rsidR="00967E2F" w:rsidRPr="00967E2F" w:rsidRDefault="00967E2F" w:rsidP="00967E2F">
      <w:pPr>
        <w:spacing w:after="12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The community is onboarded into a local DAO.</w:t>
      </w:r>
    </w:p>
    <w:p w14:paraId="3FB8FA9D" w14:textId="77777777" w:rsidR="00967E2F" w:rsidRPr="00967E2F" w:rsidRDefault="00967E2F" w:rsidP="00967E2F">
      <w:pPr>
        <w:numPr>
          <w:ilvl w:val="0"/>
          <w:numId w:val="33"/>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Voting Architecture</w:t>
      </w:r>
      <w:r w:rsidRPr="00967E2F">
        <w:rPr>
          <w:rFonts w:ascii="Arial" w:eastAsia="Times New Roman" w:hAnsi="Arial" w:cs="Arial"/>
          <w:color w:val="1F1F1F"/>
          <w:kern w:val="0"/>
          <w:bdr w:val="none" w:sz="0" w:space="0" w:color="auto" w:frame="1"/>
          <w:lang w:eastAsia="en-ZA"/>
          <w14:ligatures w14:val="none"/>
        </w:rPr>
        <w:t>: Implement "Liquid Democracy" or "Quadratic Voting" to allow members to prioritize production goals based on preference intensity.</w:t>
      </w:r>
    </w:p>
    <w:p w14:paraId="36731D98" w14:textId="77777777" w:rsidR="00967E2F" w:rsidRPr="00967E2F" w:rsidRDefault="00967E2F" w:rsidP="00967E2F">
      <w:pPr>
        <w:numPr>
          <w:ilvl w:val="0"/>
          <w:numId w:val="33"/>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Financing</w:t>
      </w:r>
      <w:r w:rsidRPr="00967E2F">
        <w:rPr>
          <w:rFonts w:ascii="Arial" w:eastAsia="Times New Roman" w:hAnsi="Arial" w:cs="Arial"/>
          <w:color w:val="1F1F1F"/>
          <w:kern w:val="0"/>
          <w:bdr w:val="none" w:sz="0" w:space="0" w:color="auto" w:frame="1"/>
          <w:lang w:eastAsia="en-ZA"/>
          <w14:ligatures w14:val="none"/>
        </w:rPr>
        <w:t>: Apply for "Performance-Based Financing," which is contingent on scalable impact measures (e.g., number of doses produced) rather than traditional cash flows.</w:t>
      </w:r>
    </w:p>
    <w:p w14:paraId="794331C6" w14:textId="77777777" w:rsidR="00967E2F" w:rsidRPr="00967E2F" w:rsidRDefault="00967E2F" w:rsidP="00967E2F">
      <w:pPr>
        <w:numPr>
          <w:ilvl w:val="0"/>
          <w:numId w:val="33"/>
        </w:numPr>
        <w:spacing w:after="0" w:line="240" w:lineRule="auto"/>
        <w:rPr>
          <w:rFonts w:ascii="Arial" w:eastAsia="Times New Roman" w:hAnsi="Arial" w:cs="Arial"/>
          <w:color w:val="1F1F1F"/>
          <w:kern w:val="0"/>
          <w:lang w:eastAsia="en-ZA"/>
          <w14:ligatures w14:val="none"/>
        </w:rPr>
      </w:pPr>
      <w:proofErr w:type="spellStart"/>
      <w:r w:rsidRPr="00967E2F">
        <w:rPr>
          <w:rFonts w:ascii="Arial" w:eastAsia="Times New Roman" w:hAnsi="Arial" w:cs="Arial"/>
          <w:b/>
          <w:bCs/>
          <w:color w:val="1F1F1F"/>
          <w:kern w:val="0"/>
          <w:bdr w:val="none" w:sz="0" w:space="0" w:color="auto" w:frame="1"/>
          <w:lang w:eastAsia="en-ZA"/>
          <w14:ligatures w14:val="none"/>
        </w:rPr>
        <w:lastRenderedPageBreak/>
        <w:t>GxP</w:t>
      </w:r>
      <w:proofErr w:type="spellEnd"/>
      <w:r w:rsidRPr="00967E2F">
        <w:rPr>
          <w:rFonts w:ascii="Arial" w:eastAsia="Times New Roman" w:hAnsi="Arial" w:cs="Arial"/>
          <w:b/>
          <w:bCs/>
          <w:color w:val="1F1F1F"/>
          <w:kern w:val="0"/>
          <w:bdr w:val="none" w:sz="0" w:space="0" w:color="auto" w:frame="1"/>
          <w:lang w:eastAsia="en-ZA"/>
          <w14:ligatures w14:val="none"/>
        </w:rPr>
        <w:t xml:space="preserve"> Validation</w:t>
      </w:r>
      <w:r w:rsidRPr="00967E2F">
        <w:rPr>
          <w:rFonts w:ascii="Arial" w:eastAsia="Times New Roman" w:hAnsi="Arial" w:cs="Arial"/>
          <w:color w:val="1F1F1F"/>
          <w:kern w:val="0"/>
          <w:bdr w:val="none" w:sz="0" w:space="0" w:color="auto" w:frame="1"/>
          <w:lang w:eastAsia="en-ZA"/>
          <w14:ligatures w14:val="none"/>
        </w:rPr>
        <w:t>: The system is registered as an "Establishment" under FDA 21 CFR Part 807. Automated sensors and the Corda DLT ensure the system is "audit-ready" from day one.</w:t>
      </w:r>
    </w:p>
    <w:p w14:paraId="21D965CD" w14:textId="77777777" w:rsidR="00967E2F" w:rsidRPr="00967E2F" w:rsidRDefault="00967E2F" w:rsidP="00967E2F">
      <w:pPr>
        <w:spacing w:after="120" w:line="240" w:lineRule="auto"/>
        <w:outlineLvl w:val="2"/>
        <w:rPr>
          <w:rFonts w:ascii="Arial" w:eastAsia="Times New Roman" w:hAnsi="Arial" w:cs="Arial"/>
          <w:b/>
          <w:bCs/>
          <w:color w:val="1F1F1F"/>
          <w:kern w:val="0"/>
          <w:sz w:val="27"/>
          <w:szCs w:val="27"/>
          <w:lang w:eastAsia="en-ZA"/>
          <w14:ligatures w14:val="none"/>
        </w:rPr>
      </w:pPr>
      <w:r w:rsidRPr="00967E2F">
        <w:rPr>
          <w:rFonts w:ascii="Arial" w:eastAsia="Times New Roman" w:hAnsi="Arial" w:cs="Arial"/>
          <w:b/>
          <w:bCs/>
          <w:color w:val="1F1F1F"/>
          <w:kern w:val="0"/>
          <w:sz w:val="27"/>
          <w:szCs w:val="27"/>
          <w:lang w:eastAsia="en-ZA"/>
          <w14:ligatures w14:val="none"/>
        </w:rPr>
        <w:t>Phase III: Integration and Circular Expansion</w:t>
      </w:r>
    </w:p>
    <w:p w14:paraId="2C23407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bio-hub is linked to broader regional and interregional links, specifically focusing on South-South cooperation (e.g., between Africa and Latin America) to boost resilience.</w:t>
      </w:r>
    </w:p>
    <w:p w14:paraId="5F6CEAA6" w14:textId="77777777" w:rsidR="00967E2F" w:rsidRPr="00967E2F" w:rsidRDefault="00967E2F" w:rsidP="00967E2F">
      <w:pPr>
        <w:numPr>
          <w:ilvl w:val="0"/>
          <w:numId w:val="34"/>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Continuous Improvement</w:t>
      </w:r>
      <w:r w:rsidRPr="00967E2F">
        <w:rPr>
          <w:rFonts w:ascii="Arial" w:eastAsia="Times New Roman" w:hAnsi="Arial" w:cs="Arial"/>
          <w:color w:val="1F1F1F"/>
          <w:kern w:val="0"/>
          <w:bdr w:val="none" w:sz="0" w:space="0" w:color="auto" w:frame="1"/>
          <w:lang w:eastAsia="en-ZA"/>
          <w14:ligatures w14:val="none"/>
        </w:rPr>
        <w:t>: Turn every production run into a "learning opportunity" using post-incident analysis and AI-driven performance insights.</w:t>
      </w:r>
    </w:p>
    <w:p w14:paraId="7072BED7" w14:textId="77777777" w:rsidR="00967E2F" w:rsidRPr="00967E2F" w:rsidRDefault="00967E2F" w:rsidP="00967E2F">
      <w:pPr>
        <w:numPr>
          <w:ilvl w:val="0"/>
          <w:numId w:val="34"/>
        </w:num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 xml:space="preserve">Waste </w:t>
      </w:r>
      <w:proofErr w:type="spellStart"/>
      <w:r w:rsidRPr="00967E2F">
        <w:rPr>
          <w:rFonts w:ascii="Arial" w:eastAsia="Times New Roman" w:hAnsi="Arial" w:cs="Arial"/>
          <w:b/>
          <w:bCs/>
          <w:color w:val="1F1F1F"/>
          <w:kern w:val="0"/>
          <w:bdr w:val="none" w:sz="0" w:space="0" w:color="auto" w:frame="1"/>
          <w:lang w:eastAsia="en-ZA"/>
          <w14:ligatures w14:val="none"/>
        </w:rPr>
        <w:t>Valorization</w:t>
      </w:r>
      <w:proofErr w:type="spellEnd"/>
      <w:r w:rsidRPr="00967E2F">
        <w:rPr>
          <w:rFonts w:ascii="Arial" w:eastAsia="Times New Roman" w:hAnsi="Arial" w:cs="Arial"/>
          <w:color w:val="1F1F1F"/>
          <w:kern w:val="0"/>
          <w:bdr w:val="none" w:sz="0" w:space="0" w:color="auto" w:frame="1"/>
          <w:lang w:eastAsia="en-ZA"/>
          <w14:ligatures w14:val="none"/>
        </w:rPr>
        <w:t>: The $CO</w:t>
      </w:r>
      <w:proofErr w:type="gramStart"/>
      <w:r w:rsidRPr="00967E2F">
        <w:rPr>
          <w:rFonts w:ascii="Arial" w:eastAsia="Times New Roman" w:hAnsi="Arial" w:cs="Arial"/>
          <w:color w:val="1F1F1F"/>
          <w:kern w:val="0"/>
          <w:bdr w:val="none" w:sz="0" w:space="0" w:color="auto" w:frame="1"/>
          <w:lang w:eastAsia="en-ZA"/>
          <w14:ligatures w14:val="none"/>
        </w:rPr>
        <w:t>_{2}$</w:t>
      </w:r>
      <w:proofErr w:type="gramEnd"/>
      <w:r w:rsidRPr="00967E2F">
        <w:rPr>
          <w:rFonts w:ascii="Arial" w:eastAsia="Times New Roman" w:hAnsi="Arial" w:cs="Arial"/>
          <w:color w:val="1F1F1F"/>
          <w:kern w:val="0"/>
          <w:bdr w:val="none" w:sz="0" w:space="0" w:color="auto" w:frame="1"/>
          <w:lang w:eastAsia="en-ZA"/>
          <w14:ligatures w14:val="none"/>
        </w:rPr>
        <w:t xml:space="preserve"> and nutrient-rich fermentation byproducts are used as bio-fertilizers to restore local soil health, creating a positive feedback loop for food security.</w:t>
      </w:r>
    </w:p>
    <w:p w14:paraId="7D102474"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Scientific and Mathematical Logic of the BIDP</w:t>
      </w:r>
    </w:p>
    <w:p w14:paraId="6F537B23" w14:textId="77777777" w:rsidR="00967E2F" w:rsidRPr="00967E2F" w:rsidRDefault="00967E2F" w:rsidP="00967E2F">
      <w:pPr>
        <w:spacing w:after="24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The efficiency of the BIDP is mathematically supported by the integration of two thermodynamic cycles: the energy recovery cycle of the CBR and the biochemical conversion cycle of the CFPS.</w:t>
      </w:r>
    </w:p>
    <w:p w14:paraId="70A7D77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If we define the total community utility (</w:t>
      </w:r>
      <w:r w:rsidRPr="00967E2F">
        <w:rPr>
          <w:rFonts w:ascii="Arial" w:eastAsia="Times New Roman" w:hAnsi="Arial" w:cs="Arial"/>
          <w:color w:val="1F1F1F"/>
          <w:kern w:val="0"/>
          <w:bdr w:val="none" w:sz="0" w:space="0" w:color="auto" w:frame="1"/>
          <w:lang w:eastAsia="en-ZA"/>
          <w14:ligatures w14:val="none"/>
        </w:rPr>
        <w:t>$U_{C}$</w:t>
      </w:r>
      <w:r w:rsidRPr="00967E2F">
        <w:rPr>
          <w:rFonts w:ascii="Arial" w:eastAsia="Times New Roman" w:hAnsi="Arial" w:cs="Arial"/>
          <w:color w:val="1F1F1F"/>
          <w:kern w:val="0"/>
          <w:lang w:eastAsia="en-ZA"/>
          <w14:ligatures w14:val="none"/>
        </w:rPr>
        <w:t>) as the sum of Energy (</w:t>
      </w:r>
      <w:r w:rsidRPr="00967E2F">
        <w:rPr>
          <w:rFonts w:ascii="Arial" w:eastAsia="Times New Roman" w:hAnsi="Arial" w:cs="Arial"/>
          <w:color w:val="1F1F1F"/>
          <w:kern w:val="0"/>
          <w:bdr w:val="none" w:sz="0" w:space="0" w:color="auto" w:frame="1"/>
          <w:lang w:eastAsia="en-ZA"/>
          <w14:ligatures w14:val="none"/>
        </w:rPr>
        <w:t>$E$</w:t>
      </w:r>
      <w:r w:rsidRPr="00967E2F">
        <w:rPr>
          <w:rFonts w:ascii="Arial" w:eastAsia="Times New Roman" w:hAnsi="Arial" w:cs="Arial"/>
          <w:color w:val="1F1F1F"/>
          <w:kern w:val="0"/>
          <w:lang w:eastAsia="en-ZA"/>
          <w14:ligatures w14:val="none"/>
        </w:rPr>
        <w:t>), Nutrients (</w:t>
      </w:r>
      <w:r w:rsidRPr="00967E2F">
        <w:rPr>
          <w:rFonts w:ascii="Arial" w:eastAsia="Times New Roman" w:hAnsi="Arial" w:cs="Arial"/>
          <w:color w:val="1F1F1F"/>
          <w:kern w:val="0"/>
          <w:bdr w:val="none" w:sz="0" w:space="0" w:color="auto" w:frame="1"/>
          <w:lang w:eastAsia="en-ZA"/>
          <w14:ligatures w14:val="none"/>
        </w:rPr>
        <w:t>$N$</w:t>
      </w:r>
      <w:r w:rsidRPr="00967E2F">
        <w:rPr>
          <w:rFonts w:ascii="Arial" w:eastAsia="Times New Roman" w:hAnsi="Arial" w:cs="Arial"/>
          <w:color w:val="1F1F1F"/>
          <w:kern w:val="0"/>
          <w:lang w:eastAsia="en-ZA"/>
          <w14:ligatures w14:val="none"/>
        </w:rPr>
        <w:t>), and Medicine (</w:t>
      </w:r>
      <w:r w:rsidRPr="00967E2F">
        <w:rPr>
          <w:rFonts w:ascii="Arial" w:eastAsia="Times New Roman" w:hAnsi="Arial" w:cs="Arial"/>
          <w:color w:val="1F1F1F"/>
          <w:kern w:val="0"/>
          <w:bdr w:val="none" w:sz="0" w:space="0" w:color="auto" w:frame="1"/>
          <w:lang w:eastAsia="en-ZA"/>
          <w14:ligatures w14:val="none"/>
        </w:rPr>
        <w:t>$M$</w:t>
      </w:r>
      <w:r w:rsidRPr="00967E2F">
        <w:rPr>
          <w:rFonts w:ascii="Arial" w:eastAsia="Times New Roman" w:hAnsi="Arial" w:cs="Arial"/>
          <w:color w:val="1F1F1F"/>
          <w:kern w:val="0"/>
          <w:lang w:eastAsia="en-ZA"/>
          <w14:ligatures w14:val="none"/>
        </w:rPr>
        <w:t xml:space="preserve">), the BIDP aims to maximize </w:t>
      </w:r>
      <w:r w:rsidRPr="00967E2F">
        <w:rPr>
          <w:rFonts w:ascii="Arial" w:eastAsia="Times New Roman" w:hAnsi="Arial" w:cs="Arial"/>
          <w:color w:val="1F1F1F"/>
          <w:kern w:val="0"/>
          <w:bdr w:val="none" w:sz="0" w:space="0" w:color="auto" w:frame="1"/>
          <w:lang w:eastAsia="en-ZA"/>
          <w14:ligatures w14:val="none"/>
        </w:rPr>
        <w:t>$U_{C}$</w:t>
      </w:r>
      <w:r w:rsidRPr="00967E2F">
        <w:rPr>
          <w:rFonts w:ascii="Arial" w:eastAsia="Times New Roman" w:hAnsi="Arial" w:cs="Arial"/>
          <w:color w:val="1F1F1F"/>
          <w:kern w:val="0"/>
          <w:lang w:eastAsia="en-ZA"/>
          <w14:ligatures w14:val="none"/>
        </w:rPr>
        <w:t xml:space="preserve"> while minimizing the external reliance (</w:t>
      </w:r>
      <w:r w:rsidRPr="00967E2F">
        <w:rPr>
          <w:rFonts w:ascii="Arial" w:eastAsia="Times New Roman" w:hAnsi="Arial" w:cs="Arial"/>
          <w:color w:val="1F1F1F"/>
          <w:kern w:val="0"/>
          <w:bdr w:val="none" w:sz="0" w:space="0" w:color="auto" w:frame="1"/>
          <w:lang w:eastAsia="en-ZA"/>
          <w14:ligatures w14:val="none"/>
        </w:rPr>
        <w:t>$R_{</w:t>
      </w:r>
      <w:proofErr w:type="spellStart"/>
      <w:r w:rsidRPr="00967E2F">
        <w:rPr>
          <w:rFonts w:ascii="Arial" w:eastAsia="Times New Roman" w:hAnsi="Arial" w:cs="Arial"/>
          <w:color w:val="1F1F1F"/>
          <w:kern w:val="0"/>
          <w:bdr w:val="none" w:sz="0" w:space="0" w:color="auto" w:frame="1"/>
          <w:lang w:eastAsia="en-ZA"/>
          <w14:ligatures w14:val="none"/>
        </w:rPr>
        <w:t>ext</w:t>
      </w:r>
      <w:proofErr w:type="spellEnd"/>
      <w:r w:rsidRPr="00967E2F">
        <w:rPr>
          <w:rFonts w:ascii="Arial" w:eastAsia="Times New Roman" w:hAnsi="Arial" w:cs="Arial"/>
          <w:color w:val="1F1F1F"/>
          <w:kern w:val="0"/>
          <w:bdr w:val="none" w:sz="0" w:space="0" w:color="auto" w:frame="1"/>
          <w:lang w:eastAsia="en-ZA"/>
          <w14:ligatures w14:val="none"/>
        </w:rPr>
        <w:t>}$</w:t>
      </w:r>
      <w:r w:rsidRPr="00967E2F">
        <w:rPr>
          <w:rFonts w:ascii="Arial" w:eastAsia="Times New Roman" w:hAnsi="Arial" w:cs="Arial"/>
          <w:color w:val="1F1F1F"/>
          <w:kern w:val="0"/>
          <w:lang w:eastAsia="en-ZA"/>
          <w14:ligatures w14:val="none"/>
        </w:rPr>
        <w:t>):</w:t>
      </w:r>
    </w:p>
    <w:p w14:paraId="7200C8E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lang w:eastAsia="en-ZA"/>
          <w14:ligatures w14:val="none"/>
        </w:rPr>
        <w:t>$$U_{C} = \sum (E + N + M) - \sigma R_{</w:t>
      </w:r>
      <w:proofErr w:type="spellStart"/>
      <w:r w:rsidRPr="00967E2F">
        <w:rPr>
          <w:rFonts w:ascii="Arial" w:eastAsia="Times New Roman" w:hAnsi="Arial" w:cs="Arial"/>
          <w:color w:val="1F1F1F"/>
          <w:kern w:val="0"/>
          <w:lang w:eastAsia="en-ZA"/>
          <w14:ligatures w14:val="none"/>
        </w:rPr>
        <w:t>ext</w:t>
      </w:r>
      <w:proofErr w:type="spellEnd"/>
      <w:r w:rsidRPr="00967E2F">
        <w:rPr>
          <w:rFonts w:ascii="Arial" w:eastAsia="Times New Roman" w:hAnsi="Arial" w:cs="Arial"/>
          <w:color w:val="1F1F1F"/>
          <w:kern w:val="0"/>
          <w:lang w:eastAsia="en-ZA"/>
          <w14:ligatures w14:val="none"/>
        </w:rPr>
        <w:t>}$$</w:t>
      </w:r>
    </w:p>
    <w:p w14:paraId="2328A22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Where $\sigma$ is the "Geoeconomic Risk Coefficient" (the cost of tariffs, conflict, and shortages). In 2026, $\sigma$ is at a record high. The BIDP minimizes $R_{</w:t>
      </w:r>
      <w:proofErr w:type="spellStart"/>
      <w:r w:rsidRPr="00967E2F">
        <w:rPr>
          <w:rFonts w:ascii="Arial" w:eastAsia="Times New Roman" w:hAnsi="Arial" w:cs="Arial"/>
          <w:color w:val="1F1F1F"/>
          <w:kern w:val="0"/>
          <w:bdr w:val="none" w:sz="0" w:space="0" w:color="auto" w:frame="1"/>
          <w:lang w:eastAsia="en-ZA"/>
          <w14:ligatures w14:val="none"/>
        </w:rPr>
        <w:t>ext</w:t>
      </w:r>
      <w:proofErr w:type="spellEnd"/>
      <w:r w:rsidRPr="00967E2F">
        <w:rPr>
          <w:rFonts w:ascii="Arial" w:eastAsia="Times New Roman" w:hAnsi="Arial" w:cs="Arial"/>
          <w:color w:val="1F1F1F"/>
          <w:kern w:val="0"/>
          <w:bdr w:val="none" w:sz="0" w:space="0" w:color="auto" w:frame="1"/>
          <w:lang w:eastAsia="en-ZA"/>
          <w14:ligatures w14:val="none"/>
        </w:rPr>
        <w:t>}$ by using "Green AI Architectures" that avoid, minimize, or counterbalance adverse energy and data costs.</w:t>
      </w:r>
    </w:p>
    <w:p w14:paraId="68E0C632"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The energy density of the bio-butanol produced ($29.2 MJ/kg$) ensures that even a </w:t>
      </w:r>
      <w:proofErr w:type="gramStart"/>
      <w:r w:rsidRPr="00967E2F">
        <w:rPr>
          <w:rFonts w:ascii="Arial" w:eastAsia="Times New Roman" w:hAnsi="Arial" w:cs="Arial"/>
          <w:color w:val="1F1F1F"/>
          <w:kern w:val="0"/>
          <w:bdr w:val="none" w:sz="0" w:space="0" w:color="auto" w:frame="1"/>
          <w:lang w:eastAsia="en-ZA"/>
          <w14:ligatures w14:val="none"/>
        </w:rPr>
        <w:t>500 kW</w:t>
      </w:r>
      <w:proofErr w:type="gramEnd"/>
      <w:r w:rsidRPr="00967E2F">
        <w:rPr>
          <w:rFonts w:ascii="Arial" w:eastAsia="Times New Roman" w:hAnsi="Arial" w:cs="Arial"/>
          <w:color w:val="1F1F1F"/>
          <w:kern w:val="0"/>
          <w:bdr w:val="none" w:sz="0" w:space="0" w:color="auto" w:frame="1"/>
          <w:lang w:eastAsia="en-ZA"/>
          <w14:ligatures w14:val="none"/>
        </w:rPr>
        <w:t xml:space="preserve"> unit can power a critical care unit with 99.9% uptime. When this energy is paired with "Regenerative Desalination"—which uses advanced membranes and renewable energy—communities in arid regions can also secure safe drinking water.</w:t>
      </w:r>
    </w:p>
    <w:p w14:paraId="12204FD2"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Addressing the "Triple Bottom Line" of Sustainability</w:t>
      </w:r>
    </w:p>
    <w:p w14:paraId="7CA2F51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BIDP is not only a geopolitical hedge but also an environmental necessity. Seven of the nine "planetary boundaries" have now been breached, with ocean acidification and biodiversity loss reaching irreversible tipping points.</w:t>
      </w:r>
    </w:p>
    <w:tbl>
      <w:tblPr>
        <w:tblW w:w="0" w:type="auto"/>
        <w:tblCellSpacing w:w="15" w:type="dxa"/>
        <w:tblCellMar>
          <w:left w:w="0" w:type="dxa"/>
          <w:right w:w="0" w:type="dxa"/>
        </w:tblCellMar>
        <w:tblLook w:val="04A0" w:firstRow="1" w:lastRow="0" w:firstColumn="1" w:lastColumn="0" w:noHBand="0" w:noVBand="1"/>
      </w:tblPr>
      <w:tblGrid>
        <w:gridCol w:w="3166"/>
        <w:gridCol w:w="2979"/>
        <w:gridCol w:w="2865"/>
      </w:tblGrid>
      <w:tr w:rsidR="00967E2F" w:rsidRPr="00967E2F" w14:paraId="3AA7BCAD"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2A1705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Environmental Risk (10-Year Outlook)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65F6C2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BIDP Mitigation Strategy</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5C611DB"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b/>
                <w:bCs/>
                <w:color w:val="1F1F1F"/>
                <w:kern w:val="0"/>
                <w:bdr w:val="none" w:sz="0" w:space="0" w:color="auto" w:frame="1"/>
                <w:lang w:eastAsia="en-ZA"/>
                <w14:ligatures w14:val="none"/>
              </w:rPr>
              <w:t>Long-Term Impact</w:t>
            </w:r>
          </w:p>
        </w:tc>
      </w:tr>
      <w:tr w:rsidR="00967E2F" w:rsidRPr="00967E2F" w14:paraId="46B5BD7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FFE029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Extreme Weather Events (#1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EB5B76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Decentralized, modular hubs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4A3A9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Rapid recovery from grid failures </w:t>
            </w:r>
          </w:p>
        </w:tc>
      </w:tr>
      <w:tr w:rsidR="00967E2F" w:rsidRPr="00967E2F" w14:paraId="52AE1B9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5318020"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Biodiversity Loss (#2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70D30EE"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proofErr w:type="spellStart"/>
            <w:r w:rsidRPr="00967E2F">
              <w:rPr>
                <w:rFonts w:ascii="Arial" w:eastAsia="Times New Roman" w:hAnsi="Arial" w:cs="Arial"/>
                <w:color w:val="1F1F1F"/>
                <w:kern w:val="0"/>
                <w:bdr w:val="none" w:sz="0" w:space="0" w:color="auto" w:frame="1"/>
                <w:lang w:eastAsia="en-ZA"/>
                <w14:ligatures w14:val="none"/>
              </w:rPr>
              <w:t>Valorization</w:t>
            </w:r>
            <w:proofErr w:type="spellEnd"/>
            <w:r w:rsidRPr="00967E2F">
              <w:rPr>
                <w:rFonts w:ascii="Arial" w:eastAsia="Times New Roman" w:hAnsi="Arial" w:cs="Arial"/>
                <w:color w:val="1F1F1F"/>
                <w:kern w:val="0"/>
                <w:bdr w:val="none" w:sz="0" w:space="0" w:color="auto" w:frame="1"/>
                <w:lang w:eastAsia="en-ZA"/>
                <w14:ligatures w14:val="none"/>
              </w:rPr>
              <w:t xml:space="preserve"> of local residues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01AE41D"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Reduces expansion of monocultures </w:t>
            </w:r>
          </w:p>
        </w:tc>
      </w:tr>
      <w:tr w:rsidR="00967E2F" w:rsidRPr="00967E2F" w14:paraId="7B6498A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7C64DE1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Change to Earth Systems (#3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44A93D0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$CO</w:t>
            </w:r>
            <w:proofErr w:type="gramStart"/>
            <w:r w:rsidRPr="00967E2F">
              <w:rPr>
                <w:rFonts w:ascii="Arial" w:eastAsia="Times New Roman" w:hAnsi="Arial" w:cs="Arial"/>
                <w:color w:val="1F1F1F"/>
                <w:kern w:val="0"/>
                <w:bdr w:val="none" w:sz="0" w:space="0" w:color="auto" w:frame="1"/>
                <w:lang w:eastAsia="en-ZA"/>
                <w14:ligatures w14:val="none"/>
              </w:rPr>
              <w:t>_{2}$</w:t>
            </w:r>
            <w:proofErr w:type="gramEnd"/>
            <w:r w:rsidRPr="00967E2F">
              <w:rPr>
                <w:rFonts w:ascii="Arial" w:eastAsia="Times New Roman" w:hAnsi="Arial" w:cs="Arial"/>
                <w:color w:val="1F1F1F"/>
                <w:kern w:val="0"/>
                <w:bdr w:val="none" w:sz="0" w:space="0" w:color="auto" w:frame="1"/>
                <w:lang w:eastAsia="en-ZA"/>
                <w14:ligatures w14:val="none"/>
              </w:rPr>
              <w:t xml:space="preserve"> capture during fermentation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2B97D8CA"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Net-zero bio-industrial pathways </w:t>
            </w:r>
          </w:p>
        </w:tc>
      </w:tr>
      <w:tr w:rsidR="00967E2F" w:rsidRPr="00967E2F" w14:paraId="1E2219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5D40D4EC"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lastRenderedPageBreak/>
              <w:t>Pollution (#10 Risk)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1B3539A1"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Biodegradable PLA/PHA production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14:paraId="63F08B6F"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 xml:space="preserve">Eliminates fossil-based plastic waste </w:t>
            </w:r>
          </w:p>
        </w:tc>
      </w:tr>
    </w:tbl>
    <w:p w14:paraId="1D2B1834"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By integrating "Earth Observation" data from new satellites and sensors, the BIDP hubs can track floods and droughts in real-time, allowing them to shift production priorities (e.g., producing more rehydration salts during a cholera outbreak following a flood) before the crisis escalates.</w:t>
      </w:r>
    </w:p>
    <w:p w14:paraId="194C371E" w14:textId="77777777" w:rsidR="00967E2F" w:rsidRPr="00967E2F" w:rsidRDefault="00967E2F" w:rsidP="00967E2F">
      <w:pPr>
        <w:spacing w:after="120" w:line="240" w:lineRule="auto"/>
        <w:outlineLvl w:val="1"/>
        <w:rPr>
          <w:rFonts w:ascii="Arial" w:eastAsia="Times New Roman" w:hAnsi="Arial" w:cs="Arial"/>
          <w:b/>
          <w:bCs/>
          <w:color w:val="1F1F1F"/>
          <w:kern w:val="0"/>
          <w:sz w:val="36"/>
          <w:szCs w:val="36"/>
          <w:lang w:eastAsia="en-ZA"/>
          <w14:ligatures w14:val="none"/>
        </w:rPr>
      </w:pPr>
      <w:r w:rsidRPr="00967E2F">
        <w:rPr>
          <w:rFonts w:ascii="Arial" w:eastAsia="Times New Roman" w:hAnsi="Arial" w:cs="Arial"/>
          <w:b/>
          <w:bCs/>
          <w:color w:val="1F1F1F"/>
          <w:kern w:val="0"/>
          <w:sz w:val="36"/>
          <w:szCs w:val="36"/>
          <w:lang w:eastAsia="en-ZA"/>
          <w14:ligatures w14:val="none"/>
        </w:rPr>
        <w:t>Strategic Synthesis: A Resilient Path Forward</w:t>
      </w:r>
    </w:p>
    <w:p w14:paraId="1BEB4488"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"Bio-Industrial Decentralization Protocol" is the definitive response to the "stormy" outlook of 2026. It recognizes that the era of global consensus is over and has been replaced by an era of "pragmatic reality," where collaborative approaches must be built from the bottom up.</w:t>
      </w:r>
    </w:p>
    <w:p w14:paraId="2BB0C596"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This solution works because it is "open by design" but "vertical in execution". It provides the clarity and decision frameworks that leaders need to "decide faster" and "execute with speed" in a moment of signal overload. By leveraging the "convergent" technologies of AI, synthetic biology, and blockchain, the BIDP provides a solution to the world's most pressing problems that is simultaneously profitable, sustainable, and immune to the fragmenting forces of geoeconomic confrontation.</w:t>
      </w:r>
    </w:p>
    <w:p w14:paraId="3798DD77" w14:textId="77777777" w:rsidR="00967E2F" w:rsidRPr="00967E2F" w:rsidRDefault="00967E2F" w:rsidP="00967E2F">
      <w:pPr>
        <w:spacing w:after="0" w:line="240" w:lineRule="auto"/>
        <w:rPr>
          <w:rFonts w:ascii="Arial" w:eastAsia="Times New Roman" w:hAnsi="Arial" w:cs="Arial"/>
          <w:color w:val="1F1F1F"/>
          <w:kern w:val="0"/>
          <w:lang w:eastAsia="en-ZA"/>
          <w14:ligatures w14:val="none"/>
        </w:rPr>
      </w:pPr>
      <w:r w:rsidRPr="00967E2F">
        <w:rPr>
          <w:rFonts w:ascii="Arial" w:eastAsia="Times New Roman" w:hAnsi="Arial" w:cs="Arial"/>
          <w:color w:val="1F1F1F"/>
          <w:kern w:val="0"/>
          <w:bdr w:val="none" w:sz="0" w:space="0" w:color="auto" w:frame="1"/>
          <w:lang w:eastAsia="en-ZA"/>
          <w14:ligatures w14:val="none"/>
        </w:rPr>
        <w:t>The user can confidently present this as a "Future-Ready Resilience Guide". It transforms the "liquidity logjam" of current pharmaceutical and aid models into a "living system" of regenerative coordination. In a world of "rising rivalries and prolonged conflicts," the BIDP offers a blueprint for a new competitive order where stability is built not through dependence, but through decentralized sovereignty.</w:t>
      </w:r>
    </w:p>
    <w:p w14:paraId="2BE190CF" w14:textId="77777777" w:rsidR="001E5F25" w:rsidRDefault="001E5F25"/>
    <w:sectPr w:rsidR="001E5F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55E9"/>
    <w:multiLevelType w:val="multilevel"/>
    <w:tmpl w:val="36C8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D011F9"/>
    <w:multiLevelType w:val="multilevel"/>
    <w:tmpl w:val="5BA0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122F0"/>
    <w:multiLevelType w:val="multilevel"/>
    <w:tmpl w:val="197C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B0802"/>
    <w:multiLevelType w:val="multilevel"/>
    <w:tmpl w:val="F002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AB2216"/>
    <w:multiLevelType w:val="multilevel"/>
    <w:tmpl w:val="D584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72328"/>
    <w:multiLevelType w:val="multilevel"/>
    <w:tmpl w:val="DB7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2B6DDB"/>
    <w:multiLevelType w:val="multilevel"/>
    <w:tmpl w:val="86E4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04BD3"/>
    <w:multiLevelType w:val="multilevel"/>
    <w:tmpl w:val="44CC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749FA"/>
    <w:multiLevelType w:val="multilevel"/>
    <w:tmpl w:val="83D0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68712F"/>
    <w:multiLevelType w:val="multilevel"/>
    <w:tmpl w:val="C38E9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05BCB"/>
    <w:multiLevelType w:val="multilevel"/>
    <w:tmpl w:val="62BC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1F6275"/>
    <w:multiLevelType w:val="multilevel"/>
    <w:tmpl w:val="D34A6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6E0345"/>
    <w:multiLevelType w:val="multilevel"/>
    <w:tmpl w:val="2EDAE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A14B9"/>
    <w:multiLevelType w:val="multilevel"/>
    <w:tmpl w:val="72EC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F499C"/>
    <w:multiLevelType w:val="multilevel"/>
    <w:tmpl w:val="4330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A2CAE"/>
    <w:multiLevelType w:val="multilevel"/>
    <w:tmpl w:val="B30A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793D3C"/>
    <w:multiLevelType w:val="multilevel"/>
    <w:tmpl w:val="E4D8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555E4"/>
    <w:multiLevelType w:val="multilevel"/>
    <w:tmpl w:val="87E4B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372686"/>
    <w:multiLevelType w:val="multilevel"/>
    <w:tmpl w:val="1CDC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E17E9"/>
    <w:multiLevelType w:val="multilevel"/>
    <w:tmpl w:val="1244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F6158"/>
    <w:multiLevelType w:val="multilevel"/>
    <w:tmpl w:val="9712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D058F9"/>
    <w:multiLevelType w:val="multilevel"/>
    <w:tmpl w:val="47D2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8C44D7"/>
    <w:multiLevelType w:val="multilevel"/>
    <w:tmpl w:val="547C6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3E7DF4"/>
    <w:multiLevelType w:val="multilevel"/>
    <w:tmpl w:val="77D23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1C4033"/>
    <w:multiLevelType w:val="multilevel"/>
    <w:tmpl w:val="670EF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167F31"/>
    <w:multiLevelType w:val="multilevel"/>
    <w:tmpl w:val="98AC6C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0E1138"/>
    <w:multiLevelType w:val="multilevel"/>
    <w:tmpl w:val="A28A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036A05"/>
    <w:multiLevelType w:val="multilevel"/>
    <w:tmpl w:val="367A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6A0276"/>
    <w:multiLevelType w:val="multilevel"/>
    <w:tmpl w:val="3E9C46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1F1BF1"/>
    <w:multiLevelType w:val="multilevel"/>
    <w:tmpl w:val="2D0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532A7B"/>
    <w:multiLevelType w:val="multilevel"/>
    <w:tmpl w:val="CD8054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A91B01"/>
    <w:multiLevelType w:val="multilevel"/>
    <w:tmpl w:val="51C20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A036E9"/>
    <w:multiLevelType w:val="multilevel"/>
    <w:tmpl w:val="AC86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E13A74"/>
    <w:multiLevelType w:val="multilevel"/>
    <w:tmpl w:val="6A084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755136">
    <w:abstractNumId w:val="30"/>
  </w:num>
  <w:num w:numId="2" w16cid:durableId="871305299">
    <w:abstractNumId w:val="18"/>
  </w:num>
  <w:num w:numId="3" w16cid:durableId="1008868361">
    <w:abstractNumId w:val="0"/>
  </w:num>
  <w:num w:numId="4" w16cid:durableId="2003653849">
    <w:abstractNumId w:val="13"/>
  </w:num>
  <w:num w:numId="5" w16cid:durableId="313029417">
    <w:abstractNumId w:val="21"/>
  </w:num>
  <w:num w:numId="6" w16cid:durableId="1467969290">
    <w:abstractNumId w:val="15"/>
  </w:num>
  <w:num w:numId="7" w16cid:durableId="1494222762">
    <w:abstractNumId w:val="10"/>
  </w:num>
  <w:num w:numId="8" w16cid:durableId="607858239">
    <w:abstractNumId w:val="9"/>
  </w:num>
  <w:num w:numId="9" w16cid:durableId="765157555">
    <w:abstractNumId w:val="22"/>
  </w:num>
  <w:num w:numId="10" w16cid:durableId="1967076649">
    <w:abstractNumId w:val="26"/>
  </w:num>
  <w:num w:numId="11" w16cid:durableId="131799827">
    <w:abstractNumId w:val="11"/>
  </w:num>
  <w:num w:numId="12" w16cid:durableId="1769882295">
    <w:abstractNumId w:val="28"/>
  </w:num>
  <w:num w:numId="13" w16cid:durableId="845483664">
    <w:abstractNumId w:val="7"/>
  </w:num>
  <w:num w:numId="14" w16cid:durableId="1445808705">
    <w:abstractNumId w:val="6"/>
  </w:num>
  <w:num w:numId="15" w16cid:durableId="1093475300">
    <w:abstractNumId w:val="24"/>
  </w:num>
  <w:num w:numId="16" w16cid:durableId="2127499513">
    <w:abstractNumId w:val="8"/>
  </w:num>
  <w:num w:numId="17" w16cid:durableId="1731227897">
    <w:abstractNumId w:val="14"/>
  </w:num>
  <w:num w:numId="18" w16cid:durableId="2001081021">
    <w:abstractNumId w:val="16"/>
  </w:num>
  <w:num w:numId="19" w16cid:durableId="245771342">
    <w:abstractNumId w:val="2"/>
  </w:num>
  <w:num w:numId="20" w16cid:durableId="1270578044">
    <w:abstractNumId w:val="25"/>
  </w:num>
  <w:num w:numId="21" w16cid:durableId="611671818">
    <w:abstractNumId w:val="4"/>
  </w:num>
  <w:num w:numId="22" w16cid:durableId="1521354972">
    <w:abstractNumId w:val="33"/>
  </w:num>
  <w:num w:numId="23" w16cid:durableId="1580796181">
    <w:abstractNumId w:val="5"/>
  </w:num>
  <w:num w:numId="24" w16cid:durableId="1616667380">
    <w:abstractNumId w:val="1"/>
  </w:num>
  <w:num w:numId="25" w16cid:durableId="207422886">
    <w:abstractNumId w:val="29"/>
  </w:num>
  <w:num w:numId="26" w16cid:durableId="526407083">
    <w:abstractNumId w:val="19"/>
  </w:num>
  <w:num w:numId="27" w16cid:durableId="1080562389">
    <w:abstractNumId w:val="17"/>
  </w:num>
  <w:num w:numId="28" w16cid:durableId="352994537">
    <w:abstractNumId w:val="12"/>
  </w:num>
  <w:num w:numId="29" w16cid:durableId="647823381">
    <w:abstractNumId w:val="20"/>
  </w:num>
  <w:num w:numId="30" w16cid:durableId="141852131">
    <w:abstractNumId w:val="23"/>
  </w:num>
  <w:num w:numId="31" w16cid:durableId="2026398131">
    <w:abstractNumId w:val="32"/>
  </w:num>
  <w:num w:numId="32" w16cid:durableId="1442073063">
    <w:abstractNumId w:val="27"/>
  </w:num>
  <w:num w:numId="33" w16cid:durableId="1089353241">
    <w:abstractNumId w:val="31"/>
  </w:num>
  <w:num w:numId="34" w16cid:durableId="2061592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C84"/>
    <w:rsid w:val="001E5F25"/>
    <w:rsid w:val="00222C92"/>
    <w:rsid w:val="00922CEE"/>
    <w:rsid w:val="00967E2F"/>
    <w:rsid w:val="0098316C"/>
    <w:rsid w:val="00C97407"/>
    <w:rsid w:val="00DA6C84"/>
    <w:rsid w:val="00E336D8"/>
    <w:rsid w:val="00F32605"/>
    <w:rsid w:val="00F86F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097F6"/>
  <w15:chartTrackingRefBased/>
  <w15:docId w15:val="{608AAD14-DE1F-4504-A159-65365BF9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C84"/>
    <w:rPr>
      <w:rFonts w:eastAsiaTheme="majorEastAsia" w:cstheme="majorBidi"/>
      <w:color w:val="272727" w:themeColor="text1" w:themeTint="D8"/>
    </w:rPr>
  </w:style>
  <w:style w:type="paragraph" w:styleId="Title">
    <w:name w:val="Title"/>
    <w:basedOn w:val="Normal"/>
    <w:next w:val="Normal"/>
    <w:link w:val="TitleChar"/>
    <w:uiPriority w:val="10"/>
    <w:qFormat/>
    <w:rsid w:val="00DA6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C84"/>
    <w:pPr>
      <w:spacing w:before="160"/>
      <w:jc w:val="center"/>
    </w:pPr>
    <w:rPr>
      <w:i/>
      <w:iCs/>
      <w:color w:val="404040" w:themeColor="text1" w:themeTint="BF"/>
    </w:rPr>
  </w:style>
  <w:style w:type="character" w:customStyle="1" w:styleId="QuoteChar">
    <w:name w:val="Quote Char"/>
    <w:basedOn w:val="DefaultParagraphFont"/>
    <w:link w:val="Quote"/>
    <w:uiPriority w:val="29"/>
    <w:rsid w:val="00DA6C84"/>
    <w:rPr>
      <w:i/>
      <w:iCs/>
      <w:color w:val="404040" w:themeColor="text1" w:themeTint="BF"/>
    </w:rPr>
  </w:style>
  <w:style w:type="paragraph" w:styleId="ListParagraph">
    <w:name w:val="List Paragraph"/>
    <w:basedOn w:val="Normal"/>
    <w:uiPriority w:val="34"/>
    <w:qFormat/>
    <w:rsid w:val="00DA6C84"/>
    <w:pPr>
      <w:ind w:left="720"/>
      <w:contextualSpacing/>
    </w:pPr>
  </w:style>
  <w:style w:type="character" w:styleId="IntenseEmphasis">
    <w:name w:val="Intense Emphasis"/>
    <w:basedOn w:val="DefaultParagraphFont"/>
    <w:uiPriority w:val="21"/>
    <w:qFormat/>
    <w:rsid w:val="00DA6C84"/>
    <w:rPr>
      <w:i/>
      <w:iCs/>
      <w:color w:val="0F4761" w:themeColor="accent1" w:themeShade="BF"/>
    </w:rPr>
  </w:style>
  <w:style w:type="paragraph" w:styleId="IntenseQuote">
    <w:name w:val="Intense Quote"/>
    <w:basedOn w:val="Normal"/>
    <w:next w:val="Normal"/>
    <w:link w:val="IntenseQuoteChar"/>
    <w:uiPriority w:val="30"/>
    <w:qFormat/>
    <w:rsid w:val="00DA6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C84"/>
    <w:rPr>
      <w:i/>
      <w:iCs/>
      <w:color w:val="0F4761" w:themeColor="accent1" w:themeShade="BF"/>
    </w:rPr>
  </w:style>
  <w:style w:type="character" w:styleId="IntenseReference">
    <w:name w:val="Intense Reference"/>
    <w:basedOn w:val="DefaultParagraphFont"/>
    <w:uiPriority w:val="32"/>
    <w:qFormat/>
    <w:rsid w:val="00DA6C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3135</Words>
  <Characters>17872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Sashin Singh</dc:creator>
  <cp:keywords/>
  <dc:description/>
  <cp:lastModifiedBy>Sashin Singh</cp:lastModifiedBy>
  <cp:revision>2</cp:revision>
  <dcterms:created xsi:type="dcterms:W3CDTF">2026-02-23T11:51:00Z</dcterms:created>
  <dcterms:modified xsi:type="dcterms:W3CDTF">2026-02-23T11:51:00Z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f10e199d-d0d6-419b-9b34-98b314706197</vt:lpwstr>
  </property>
</Properties>
</file>