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480"/>
      </w:pPr>
    </w:p>
    <w:p>
      <w:pPr>
        <w:spacing w:before="200" w:after="80"/>
        <w:jc w:val="center"/>
      </w:pPr>
      <w:r>
        <w:rPr>
          <w:b/>
          <w:bCs/>
          <w:color w:val="C9A84C"/>
          <w:sz w:val="56"/>
          <w:szCs w:val="56"/>
          <w:rFonts w:ascii="Georgia" w:cs="Georgia" w:eastAsia="Georgia" w:hAnsi="Georgia"/>
        </w:rPr>
        <w:t xml:space="preserve">G.O.D.S</w:t>
      </w:r>
    </w:p>
    <w:p>
      <w:pPr>
        <w:spacing w:before="60" w:after="60"/>
        <w:jc w:val="center"/>
      </w:pPr>
      <w:r>
        <w:rPr>
          <w:color w:val="F5F0E8"/>
          <w:sz w:val="22"/>
          <w:szCs w:val="22"/>
          <w:rFonts w:ascii="Arial" w:cs="Arial" w:eastAsia="Arial" w:hAnsi="Arial"/>
        </w:rPr>
        <w:t xml:space="preserve">Good Orderly Directional Systems</w:t>
      </w:r>
    </w:p>
    <w:p>
      <w:pPr>
        <w:pBdr>
          <w:bottom w:val="single" w:color="C9A84C" w:sz="6"/>
        </w:pBdr>
        <w:spacing w:before="160" w:after="160"/>
      </w:pPr>
    </w:p>
    <w:p>
      <w:pPr>
        <w:spacing w:before="60" w:after="60"/>
        <w:jc w:val="center"/>
      </w:pPr>
      <w:r>
        <w:rPr>
          <w:color w:val="F5F0E8"/>
          <w:sz w:val="22"/>
          <w:szCs w:val="22"/>
          <w:rFonts w:ascii="Arial" w:cs="Arial" w:eastAsia="Arial" w:hAnsi="Arial"/>
        </w:rPr>
        <w:t xml:space="preserve">FULL RISK REGISTER</w:t>
      </w:r>
    </w:p>
    <w:p>
      <w:pPr>
        <w:spacing w:before="60" w:after="60"/>
        <w:jc w:val="center"/>
      </w:pPr>
      <w:r>
        <w:rPr>
          <w:color w:val="F5F0E8"/>
          <w:sz w:val="22"/>
          <w:szCs w:val="22"/>
          <w:rFonts w:ascii="Arial" w:cs="Arial" w:eastAsia="Arial" w:hAnsi="Arial"/>
        </w:rPr>
        <w:t xml:space="preserve">Complete Assessment Matrix — Board &amp; Investor Grade</w:t>
      </w:r>
    </w:p>
    <w:p>
      <w:pPr>
        <w:spacing w:before="80"/>
      </w:pPr>
    </w:p>
    <w:p>
      <w:pPr>
        <w:spacing w:before="40" w:after="40"/>
        <w:jc w:val="center"/>
      </w:pPr>
      <w:r>
        <w:rPr>
          <w:color w:val="8A8A9A"/>
          <w:sz w:val="18"/>
          <w:szCs w:val="18"/>
          <w:rFonts w:ascii="Arial" w:cs="Arial" w:eastAsia="Arial" w:hAnsi="Arial"/>
        </w:rPr>
        <w:t xml:space="preserve">Annexure G — Complete Institutional Package v1.0 | March 2026</w:t>
      </w:r>
    </w:p>
    <w:p>
      <w:pPr>
        <w:spacing w:before="40" w:after="40"/>
        <w:jc w:val="center"/>
      </w:pPr>
      <w:r>
        <w:rPr>
          <w:color w:val="8A8A9A"/>
          <w:sz w:val="18"/>
          <w:szCs w:val="18"/>
          <w:rFonts w:ascii="Arial" w:cs="Arial" w:eastAsia="Arial" w:hAnsi="Arial"/>
        </w:rPr>
        <w:t xml:space="preserve">Owner: COO with CFO input | Next COB Review: June 2026</w:t>
      </w:r>
    </w:p>
    <w:p>
      <w:pPr>
        <w:spacing w:before="80"/>
      </w:pPr>
    </w:p>
    <w:p>
      <w:pPr>
        <w:spacing w:before="40" w:after="40"/>
        <w:jc w:val="center"/>
      </w:pPr>
      <w:r>
        <w:rPr>
          <w:i/>
          <w:iCs/>
          <w:color w:val="8A8A9A"/>
          <w:sz w:val="14"/>
          <w:szCs w:val="14"/>
          <w:rFonts w:ascii="Arial" w:cs="Arial" w:eastAsia="Arial" w:hAnsi="Arial"/>
        </w:rPr>
        <w:t xml:space="preserve">CONFIDENTIAL — FULL RISK REGISTER — G.O.D.S Holdings (Pty) Ltd — March 2026</w:t>
      </w:r>
    </w:p>
    <w:p>
      <w:r>
        <w:br w:type="page"/>
      </w:r>
    </w:p>
    <w:p>
      <w:pPr>
        <w:pStyle w:val="Heading1"/>
        <w:pBdr>
          <w:bottom w:val="single" w:color="C9A84C" w:sz="6"/>
        </w:pBdr>
        <w:spacing w:before="320" w:after="120"/>
      </w:pPr>
      <w:r>
        <w:rPr>
          <w:b/>
          <w:bCs/>
          <w:color w:val="C9A84C"/>
          <w:sz w:val="34"/>
          <w:szCs w:val="34"/>
          <w:rFonts w:ascii="Georgia" w:cs="Georgia" w:eastAsia="Georgia" w:hAnsi="Georgia"/>
        </w:rPr>
        <w:t xml:space="preserve">RISK REGISTER METHODOLOGY</w:t>
      </w:r>
    </w:p>
    <w:p>
      <w:pPr>
        <w:spacing w:before="80" w:after="80"/>
      </w:pPr>
      <w:r>
        <w:rPr>
          <w:color w:val="1A1A2E"/>
          <w:sz w:val="20"/>
          <w:szCs w:val="20"/>
          <w:rFonts w:ascii="Arial" w:cs="Arial" w:eastAsia="Arial" w:hAnsi="Arial"/>
        </w:rPr>
        <w:t xml:space="preserve">This Risk Register is a living document, reviewed quarterly by the Constitutional Oversight Board. It employs a 5×5 matrix: Probability (1=Rare, 5=Almost Certain) × Impact (1=Negligible, 5=Catastrophic).</w:t>
      </w:r>
    </w:p>
    <w:tbl>
      <w:tblPr>
        <w:tblW w:type="dxa" w:w="8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"/>
        <w:gridCol w:w="1200"/>
        <w:gridCol w:w="4860"/>
        <w:gridCol w:w="1400"/>
      </w:tblGrid>
      <w:tr>
        <w:tc>
          <w:tcPr>
            <w:tcW w:type="dxa" w:w="9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Score</w:t>
            </w:r>
          </w:p>
        </w:tc>
        <w:tc>
          <w:tcPr>
            <w:tcW w:type="dxa" w:w="12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Label</w:t>
            </w:r>
          </w:p>
        </w:tc>
        <w:tc>
          <w:tcPr>
            <w:tcW w:type="dxa" w:w="486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Action Required</w:t>
            </w:r>
          </w:p>
        </w:tc>
        <w:tc>
          <w:tcPr>
            <w:tcW w:type="dxa" w:w="14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Colour</w:t>
            </w:r>
          </w:p>
        </w:tc>
      </w:tr>
      <w:tr>
        <w:tc>
          <w:tcPr>
            <w:tcW w:type="dxa" w:w="9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1–4</w:t>
            </w:r>
          </w:p>
        </w:tc>
        <w:tc>
          <w:tcPr>
            <w:tcW w:type="dxa" w:w="12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Low</w:t>
            </w:r>
          </w:p>
        </w:tc>
        <w:tc>
          <w:tcPr>
            <w:tcW w:type="dxa" w:w="48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Monitor — included in quarterly COB review</w:t>
            </w:r>
          </w:p>
        </w:tc>
        <w:tc>
          <w:tcPr>
            <w:tcW w:type="dxa" w:w="14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Green</w:t>
            </w:r>
          </w:p>
        </w:tc>
      </w:tr>
      <w:tr>
        <w:tc>
          <w:tcPr>
            <w:tcW w:type="dxa" w:w="9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5–9</w:t>
            </w:r>
          </w:p>
        </w:tc>
        <w:tc>
          <w:tcPr>
            <w:tcW w:type="dxa" w:w="12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Medium</w:t>
            </w:r>
          </w:p>
        </w:tc>
        <w:tc>
          <w:tcPr>
            <w:tcW w:type="dxa" w:w="48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Manage — specific mitigation owner assigned</w:t>
            </w:r>
          </w:p>
        </w:tc>
        <w:tc>
          <w:tcPr>
            <w:tcW w:type="dxa" w:w="14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Amber</w:t>
            </w:r>
          </w:p>
        </w:tc>
      </w:tr>
      <w:tr>
        <w:tc>
          <w:tcPr>
            <w:tcW w:type="dxa" w:w="9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10–14</w:t>
            </w:r>
          </w:p>
        </w:tc>
        <w:tc>
          <w:tcPr>
            <w:tcW w:type="dxa" w:w="12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High</w:t>
            </w:r>
          </w:p>
        </w:tc>
        <w:tc>
          <w:tcPr>
            <w:tcW w:type="dxa" w:w="48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Escalate — CEO + COB notification required</w:t>
            </w:r>
          </w:p>
        </w:tc>
        <w:tc>
          <w:tcPr>
            <w:tcW w:type="dxa" w:w="14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Orange</w:t>
            </w:r>
          </w:p>
        </w:tc>
      </w:tr>
      <w:tr>
        <w:tc>
          <w:tcPr>
            <w:tcW w:type="dxa" w:w="9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15–25</w:t>
            </w:r>
          </w:p>
        </w:tc>
        <w:tc>
          <w:tcPr>
            <w:tcW w:type="dxa" w:w="12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Critical</w:t>
            </w:r>
          </w:p>
        </w:tc>
        <w:tc>
          <w:tcPr>
            <w:tcW w:type="dxa" w:w="48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Board Action Required — COB convenes emergency session</w:t>
            </w:r>
          </w:p>
        </w:tc>
        <w:tc>
          <w:tcPr>
            <w:tcW w:type="dxa" w:w="14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Red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C9A84C" w:sz="6"/>
        </w:pBdr>
        <w:spacing w:before="320" w:after="120"/>
      </w:pPr>
      <w:r>
        <w:rPr>
          <w:b/>
          <w:bCs/>
          <w:color w:val="C9A84C"/>
          <w:sz w:val="34"/>
          <w:szCs w:val="34"/>
          <w:rFonts w:ascii="Georgia" w:cs="Georgia" w:eastAsia="Georgia" w:hAnsi="Georgia"/>
        </w:rPr>
        <w:t xml:space="preserve">1. STRATEGIC &amp; EXISTENTIAL RISKS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3000"/>
        <w:gridCol w:w="500"/>
        <w:gridCol w:w="700"/>
        <w:gridCol w:w="1100"/>
        <w:gridCol w:w="3460"/>
      </w:tblGrid>
      <w:tr>
        <w:tc>
          <w:tcPr>
            <w:tcW w:type="dxa" w:w="6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ID</w:t>
            </w:r>
          </w:p>
        </w:tc>
        <w:tc>
          <w:tcPr>
            <w:tcW w:type="dxa" w:w="30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Risk Description</w:t>
            </w:r>
          </w:p>
        </w:tc>
        <w:tc>
          <w:tcPr>
            <w:tcW w:type="dxa" w:w="5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Prob</w:t>
            </w:r>
          </w:p>
        </w:tc>
        <w:tc>
          <w:tcPr>
            <w:tcW w:type="dxa" w:w="7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Impact</w:t>
            </w:r>
          </w:p>
        </w:tc>
        <w:tc>
          <w:tcPr>
            <w:tcW w:type="dxa" w:w="11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Score</w:t>
            </w:r>
          </w:p>
        </w:tc>
        <w:tc>
          <w:tcPr>
            <w:tcW w:type="dxa" w:w="346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Mitigation Strategy</w:t>
            </w:r>
          </w:p>
        </w:tc>
      </w:tr>
      <w:tr>
        <w:tc>
          <w:tcPr>
            <w:tcW w:type="dxa" w:w="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SR-01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Founder incapacity, death, or disengagement before institutional handover. G.O.D.S is founder-dependent in Phase 1.</w:t>
            </w:r>
          </w:p>
        </w:tc>
        <w:tc>
          <w:tcPr>
            <w:tcW w:type="dxa" w:w="5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7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11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15 — CRITICAL</w:t>
            </w:r>
          </w:p>
        </w:tc>
        <w:tc>
          <w:tcPr>
            <w:tcW w:type="dxa" w:w="34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Succession Continuity Charter executed. Deputy CEO appointed by Month 6. Founder Doctrine institutionalised. IP Trust independent of founder from Day 1. COO carries executive load in extreme case.</w:t>
            </w:r>
          </w:p>
        </w:tc>
      </w:tr>
      <w:tr>
        <w:tc>
          <w:tcPr>
            <w:tcW w:type="dxa" w:w="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SR-02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Mission drift under commercial or investor pressure. Constitutional Pillars compromised to close deals.</w:t>
            </w:r>
          </w:p>
        </w:tc>
        <w:tc>
          <w:tcPr>
            <w:tcW w:type="dxa" w:w="5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7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11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15 — CRITICAL</w:t>
            </w:r>
          </w:p>
        </w:tc>
        <w:tc>
          <w:tcPr>
            <w:tcW w:type="dxa" w:w="34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COB veto on all Pillar-relevant decisions. Anti-capture provisions in MOI. Reserved matters schedule. Investor onboarding includes constitutional briefing.</w:t>
            </w:r>
          </w:p>
        </w:tc>
      </w:tr>
      <w:tr>
        <w:tc>
          <w:tcPr>
            <w:tcW w:type="dxa" w:w="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SR-03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Political change in South Africa renders government partnership model non-viable. New administration hostile to PPP model.</w:t>
            </w:r>
          </w:p>
        </w:tc>
        <w:tc>
          <w:tcPr>
            <w:tcW w:type="dxa" w:w="5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7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11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12 — HIGH</w:t>
            </w:r>
          </w:p>
        </w:tc>
        <w:tc>
          <w:tcPr>
            <w:tcW w:type="dxa" w:w="34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SPV co-ownership gives government intrinsic interest in continuation. SADC diversification reduces SA dependency. Constitutional design is politically neutral.</w:t>
            </w:r>
          </w:p>
        </w:tc>
      </w:tr>
      <w:tr>
        <w:tc>
          <w:tcPr>
            <w:tcW w:type="dxa" w:w="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SR-04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UDOC politically targeted as surveillance infrastructure by opposition or civil society. Reputational attack.</w:t>
            </w:r>
          </w:p>
        </w:tc>
        <w:tc>
          <w:tcPr>
            <w:tcW w:type="dxa" w:w="5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7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11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8 — MEDIUM</w:t>
            </w:r>
          </w:p>
        </w:tc>
        <w:tc>
          <w:tcPr>
            <w:tcW w:type="dxa" w:w="34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COB independence is public and documented. Open governance architecture. Transparency as marketing, not compliance. Pre-emptive civil society engagement.</w:t>
            </w:r>
          </w:p>
        </w:tc>
      </w:tr>
      <w:tr>
        <w:tc>
          <w:tcPr>
            <w:tcW w:type="dxa" w:w="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SR-05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G.O.D.S architecture replicated by better-capitalised competitor before operational proof is established.</w:t>
            </w:r>
          </w:p>
        </w:tc>
        <w:tc>
          <w:tcPr>
            <w:tcW w:type="dxa" w:w="5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7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11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6 — MEDIUM</w:t>
            </w:r>
          </w:p>
        </w:tc>
        <w:tc>
          <w:tcPr>
            <w:tcW w:type="dxa" w:w="34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Compounding loop cannot be replicated without building all 4 divisions simultaneously. Constitutional architecture cannot be bought. SA trust cannot be imported.</w:t>
            </w:r>
          </w:p>
        </w:tc>
      </w:tr>
      <w:tr>
        <w:tc>
          <w:tcPr>
            <w:tcW w:type="dxa" w:w="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SR-06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SADC expansion fails — foreign regulatory environment incompatible with SPV model.</w:t>
            </w:r>
          </w:p>
        </w:tc>
        <w:tc>
          <w:tcPr>
            <w:tcW w:type="dxa" w:w="5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7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11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6 — MEDIUM</w:t>
            </w:r>
          </w:p>
        </w:tc>
        <w:tc>
          <w:tcPr>
            <w:tcW w:type="dxa" w:w="34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SA proof-of-concept builds model before SADC entry. Legal counsel in each jurisdiction before market entry. M.A.D.I.B.A sovereign interface handles government negotiations.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C9A84C" w:sz="6"/>
        </w:pBdr>
        <w:spacing w:before="320" w:after="120"/>
      </w:pPr>
      <w:r>
        <w:rPr>
          <w:b/>
          <w:bCs/>
          <w:color w:val="C9A84C"/>
          <w:sz w:val="34"/>
          <w:szCs w:val="34"/>
          <w:rFonts w:ascii="Georgia" w:cs="Georgia" w:eastAsia="Georgia" w:hAnsi="Georgia"/>
        </w:rPr>
        <w:t xml:space="preserve">2. OPERATIONAL RISKS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3000"/>
        <w:gridCol w:w="500"/>
        <w:gridCol w:w="700"/>
        <w:gridCol w:w="1100"/>
        <w:gridCol w:w="3460"/>
      </w:tblGrid>
      <w:tr>
        <w:tc>
          <w:tcPr>
            <w:tcW w:type="dxa" w:w="6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ID</w:t>
            </w:r>
          </w:p>
        </w:tc>
        <w:tc>
          <w:tcPr>
            <w:tcW w:type="dxa" w:w="30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Risk Description</w:t>
            </w:r>
          </w:p>
        </w:tc>
        <w:tc>
          <w:tcPr>
            <w:tcW w:type="dxa" w:w="5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Prob</w:t>
            </w:r>
          </w:p>
        </w:tc>
        <w:tc>
          <w:tcPr>
            <w:tcW w:type="dxa" w:w="7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Impact</w:t>
            </w:r>
          </w:p>
        </w:tc>
        <w:tc>
          <w:tcPr>
            <w:tcW w:type="dxa" w:w="11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Score</w:t>
            </w:r>
          </w:p>
        </w:tc>
        <w:tc>
          <w:tcPr>
            <w:tcW w:type="dxa" w:w="346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Mitigation Strategy</w:t>
            </w:r>
          </w:p>
        </w:tc>
      </w:tr>
      <w:tr>
        <w:tc>
          <w:tcPr>
            <w:tcW w:type="dxa" w:w="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OR-01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S.E.T.H.S pilot placement rate below 70%. Programme fails to demonstrate core value proposition in Phase 1.</w:t>
            </w:r>
          </w:p>
        </w:tc>
        <w:tc>
          <w:tcPr>
            <w:tcW w:type="dxa" w:w="5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7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11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15 — CRITICAL</w:t>
            </w:r>
          </w:p>
        </w:tc>
        <w:tc>
          <w:tcPr>
            <w:tcW w:type="dxa" w:w="34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Employer partnerships secured before participant intake. 3-month employer engagement lead time. COB review at 25 participants. Fallback: extend pilot timeline, not cohort size.</w:t>
            </w:r>
          </w:p>
        </w:tc>
      </w:tr>
      <w:tr>
        <w:tc>
          <w:tcPr>
            <w:tcW w:type="dxa" w:w="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OR-02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Key hires fail to materialise — COO or CFO cannot be recruited at budgeted compensation in Phase 1.</w:t>
            </w:r>
          </w:p>
        </w:tc>
        <w:tc>
          <w:tcPr>
            <w:tcW w:type="dxa" w:w="5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7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11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12 — HIGH</w:t>
            </w:r>
          </w:p>
        </w:tc>
        <w:tc>
          <w:tcPr>
            <w:tcW w:type="dxa" w:w="34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Equity compensation package designed. Network pre-engagement before funding close. Interim fractional executive model as backup.</w:t>
            </w:r>
          </w:p>
        </w:tc>
      </w:tr>
      <w:tr>
        <w:tc>
          <w:tcPr>
            <w:tcW w:type="dxa" w:w="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OR-03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T.S first project delayed by procurement, regulatory, or supply chain issues.</w:t>
            </w:r>
          </w:p>
        </w:tc>
        <w:tc>
          <w:tcPr>
            <w:tcW w:type="dxa" w:w="5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7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11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9 — MEDIUM</w:t>
            </w:r>
          </w:p>
        </w:tc>
        <w:tc>
          <w:tcPr>
            <w:tcW w:type="dxa" w:w="34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T.S project pipeline pre-identified in Phase 1. Government MOU includes project readiness clause. Supply chain pre-qualification before project commencement.</w:t>
            </w:r>
          </w:p>
        </w:tc>
      </w:tr>
      <w:tr>
        <w:tc>
          <w:tcPr>
            <w:tcW w:type="dxa" w:w="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OR-04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UDOC enterprise client churn in Phase 1 — first 3 clients cancel before reference case established.</w:t>
            </w:r>
          </w:p>
        </w:tc>
        <w:tc>
          <w:tcPr>
            <w:tcW w:type="dxa" w:w="5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7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11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8 — MEDIUM</w:t>
            </w:r>
          </w:p>
        </w:tc>
        <w:tc>
          <w:tcPr>
            <w:tcW w:type="dxa" w:w="34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12-month minimum contract terms. Client success function active from onboarding. COB oversight of client governance outcomes.</w:t>
            </w:r>
          </w:p>
        </w:tc>
      </w:tr>
      <w:tr>
        <w:tc>
          <w:tcPr>
            <w:tcW w:type="dxa" w:w="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OR-05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Constitutional Oversight Board fails to recruit credible independent members. COB becomes rubber stamp.</w:t>
            </w:r>
          </w:p>
        </w:tc>
        <w:tc>
          <w:tcPr>
            <w:tcW w:type="dxa" w:w="5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7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11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10 — HIGH</w:t>
            </w:r>
          </w:p>
        </w:tc>
        <w:tc>
          <w:tcPr>
            <w:tcW w:type="dxa" w:w="34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COB recruitment begins before external capital is accepted. Independent search process. No founder veto on COB appointments. Public disclosure of COB composition.</w:t>
            </w:r>
          </w:p>
        </w:tc>
      </w:tr>
      <w:tr>
        <w:tc>
          <w:tcPr>
            <w:tcW w:type="dxa" w:w="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OR-06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S.E.T.H.S participant welfare incident — participant harmed during programme.</w:t>
            </w:r>
          </w:p>
        </w:tc>
        <w:tc>
          <w:tcPr>
            <w:tcW w:type="dxa" w:w="5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7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11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8 — MEDIUM</w:t>
            </w:r>
          </w:p>
        </w:tc>
        <w:tc>
          <w:tcPr>
            <w:tcW w:type="dxa" w:w="34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Psychosocial support built into programme design. Safeguarding policy in place before intake. Incident response protocol documented. Professional indemnity insurance.</w:t>
            </w:r>
          </w:p>
        </w:tc>
      </w:tr>
      <w:tr>
        <w:tc>
          <w:tcPr>
            <w:tcW w:type="dxa" w:w="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OR-07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UDOC platform downtime during government deployment — sovereignty breach window created.</w:t>
            </w:r>
          </w:p>
        </w:tc>
        <w:tc>
          <w:tcPr>
            <w:tcW w:type="dxa" w:w="5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7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11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8 — MEDIUM</w:t>
            </w:r>
          </w:p>
        </w:tc>
        <w:tc>
          <w:tcPr>
            <w:tcW w:type="dxa" w:w="34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99.95% uptime SLA for government backbone. Dual-site architecture from Phase 2. Air-gapped backup for sovereign data. COB notification within 1 hour of sovereignty incident.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C9A84C" w:sz="6"/>
        </w:pBdr>
        <w:spacing w:before="320" w:after="120"/>
      </w:pPr>
      <w:r>
        <w:rPr>
          <w:b/>
          <w:bCs/>
          <w:color w:val="C9A84C"/>
          <w:sz w:val="34"/>
          <w:szCs w:val="34"/>
          <w:rFonts w:ascii="Georgia" w:cs="Georgia" w:eastAsia="Georgia" w:hAnsi="Georgia"/>
        </w:rPr>
        <w:t xml:space="preserve">3. FINANCIAL RISKS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3000"/>
        <w:gridCol w:w="500"/>
        <w:gridCol w:w="700"/>
        <w:gridCol w:w="1100"/>
        <w:gridCol w:w="3460"/>
      </w:tblGrid>
      <w:tr>
        <w:tc>
          <w:tcPr>
            <w:tcW w:type="dxa" w:w="6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ID</w:t>
            </w:r>
          </w:p>
        </w:tc>
        <w:tc>
          <w:tcPr>
            <w:tcW w:type="dxa" w:w="30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Risk Description</w:t>
            </w:r>
          </w:p>
        </w:tc>
        <w:tc>
          <w:tcPr>
            <w:tcW w:type="dxa" w:w="5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Prob</w:t>
            </w:r>
          </w:p>
        </w:tc>
        <w:tc>
          <w:tcPr>
            <w:tcW w:type="dxa" w:w="7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Impact</w:t>
            </w:r>
          </w:p>
        </w:tc>
        <w:tc>
          <w:tcPr>
            <w:tcW w:type="dxa" w:w="11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Score</w:t>
            </w:r>
          </w:p>
        </w:tc>
        <w:tc>
          <w:tcPr>
            <w:tcW w:type="dxa" w:w="346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Mitigation Strategy</w:t>
            </w:r>
          </w:p>
        </w:tc>
      </w:tr>
      <w:tr>
        <w:tc>
          <w:tcPr>
            <w:tcW w:type="dxa" w:w="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FR-01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Phase 1 funding not secured within 6 months. Cash runway below 3 months.</w:t>
            </w:r>
          </w:p>
        </w:tc>
        <w:tc>
          <w:tcPr>
            <w:tcW w:type="dxa" w:w="5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7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11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15 — CRITICAL</w:t>
            </w:r>
          </w:p>
        </w:tc>
        <w:tc>
          <w:tcPr>
            <w:tcW w:type="dxa" w:w="34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Multi-source funding strategy: DFI + grant + CSI + angel. No single-source dependency. DBSA, IDC Social, NDA all in parallel pipeline. Minimum viable Phase 1 designed to R8M.</w:t>
            </w:r>
          </w:p>
        </w:tc>
      </w:tr>
      <w:tr>
        <w:tc>
          <w:tcPr>
            <w:tcW w:type="dxa" w:w="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FR-02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DFI funding conditionality unacceptable — DBSA or IDC impose conditions inconsistent with constitutional mandate.</w:t>
            </w:r>
          </w:p>
        </w:tc>
        <w:tc>
          <w:tcPr>
            <w:tcW w:type="dxa" w:w="5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7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11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8 — MEDIUM</w:t>
            </w:r>
          </w:p>
        </w:tc>
        <w:tc>
          <w:tcPr>
            <w:tcW w:type="dxa" w:w="34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Constitutional mandate briefed at first DFI meeting. Reserved matters schedule protects Pillars. Alternative funders identified. Rejection of incompatible conditions is acceptable.</w:t>
            </w:r>
          </w:p>
        </w:tc>
      </w:tr>
      <w:tr>
        <w:tc>
          <w:tcPr>
            <w:tcW w:type="dxa" w:w="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FR-03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M.A.D.I.B.A capital raise delayed beyond Phase 3.</w:t>
            </w:r>
          </w:p>
        </w:tc>
        <w:tc>
          <w:tcPr>
            <w:tcW w:type="dxa" w:w="5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7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11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6 — MEDIUM</w:t>
            </w:r>
          </w:p>
        </w:tc>
        <w:tc>
          <w:tcPr>
            <w:tcW w:type="dxa" w:w="34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M.A.D.I.B.A is Phase 4 — delay acceptable if Phase 1–3 proof is solid. Phase 3 generates sufficient UDOC government revenue to partially self-fund.</w:t>
            </w:r>
          </w:p>
        </w:tc>
      </w:tr>
      <w:tr>
        <w:tc>
          <w:tcPr>
            <w:tcW w:type="dxa" w:w="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FR-04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Foreign exchange risk on international capital. USD/EUR appreciation vs ZAR operational costs.</w:t>
            </w:r>
          </w:p>
        </w:tc>
        <w:tc>
          <w:tcPr>
            <w:tcW w:type="dxa" w:w="5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7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11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4 — LOW</w:t>
            </w:r>
          </w:p>
        </w:tc>
        <w:tc>
          <w:tcPr>
            <w:tcW w:type="dxa" w:w="34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Currency hedging policy built into M.A.D.I.B.A capital structure. Local currency contracts for operational costs. SPV structure manages currency exposure at project level.</w:t>
            </w:r>
          </w:p>
        </w:tc>
      </w:tr>
      <w:tr>
        <w:tc>
          <w:tcPr>
            <w:tcW w:type="dxa" w:w="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FR-05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Audit failure or qualified opinion — financial irregularity detected in Phase 1.</w:t>
            </w:r>
          </w:p>
        </w:tc>
        <w:tc>
          <w:tcPr>
            <w:tcW w:type="dxa" w:w="5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7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11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5 — LOW</w:t>
            </w:r>
          </w:p>
        </w:tc>
        <w:tc>
          <w:tcPr>
            <w:tcW w:type="dxa" w:w="34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Big 4 audit firm engaged from Day 1. Immutable financial audit trail via UDOC. COB financial oversight quarterly. CFO to be CA(SA) qualified. Dual-signature provisions for transactions &gt;R50,000.</w:t>
            </w:r>
          </w:p>
        </w:tc>
      </w:tr>
      <w:tr>
        <w:tc>
          <w:tcPr>
            <w:tcW w:type="dxa" w:w="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FR-06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Revenue concentration in government contracts — single cancellation wipes out majority of revenue.</w:t>
            </w:r>
          </w:p>
        </w:tc>
        <w:tc>
          <w:tcPr>
            <w:tcW w:type="dxa" w:w="5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7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11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12 — HIGH</w:t>
            </w:r>
          </w:p>
        </w:tc>
        <w:tc>
          <w:tcPr>
            <w:tcW w:type="dxa" w:w="34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3+ government contracts by Year 2. Enterprise SaaS diversification. T.S project revenue stream. Minimum 3 revenue sources by Month 18.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C9A84C" w:sz="6"/>
        </w:pBdr>
        <w:spacing w:before="320" w:after="120"/>
      </w:pPr>
      <w:r>
        <w:rPr>
          <w:b/>
          <w:bCs/>
          <w:color w:val="C9A84C"/>
          <w:sz w:val="34"/>
          <w:szCs w:val="34"/>
          <w:rFonts w:ascii="Georgia" w:cs="Georgia" w:eastAsia="Georgia" w:hAnsi="Georgia"/>
        </w:rPr>
        <w:t xml:space="preserve">4. TECHNOLOGY &amp; QUANTUM RISKS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3000"/>
        <w:gridCol w:w="500"/>
        <w:gridCol w:w="700"/>
        <w:gridCol w:w="1100"/>
        <w:gridCol w:w="3460"/>
      </w:tblGrid>
      <w:tr>
        <w:tc>
          <w:tcPr>
            <w:tcW w:type="dxa" w:w="6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ID</w:t>
            </w:r>
          </w:p>
        </w:tc>
        <w:tc>
          <w:tcPr>
            <w:tcW w:type="dxa" w:w="30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Risk Description</w:t>
            </w:r>
          </w:p>
        </w:tc>
        <w:tc>
          <w:tcPr>
            <w:tcW w:type="dxa" w:w="5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Prob</w:t>
            </w:r>
          </w:p>
        </w:tc>
        <w:tc>
          <w:tcPr>
            <w:tcW w:type="dxa" w:w="7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Impact</w:t>
            </w:r>
          </w:p>
        </w:tc>
        <w:tc>
          <w:tcPr>
            <w:tcW w:type="dxa" w:w="11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Score</w:t>
            </w:r>
          </w:p>
        </w:tc>
        <w:tc>
          <w:tcPr>
            <w:tcW w:type="dxa" w:w="346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Mitigation Strategy</w:t>
            </w:r>
          </w:p>
        </w:tc>
      </w:tr>
      <w:tr>
        <w:tc>
          <w:tcPr>
            <w:tcW w:type="dxa" w:w="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TR-01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UDOC data breach — government sovereign data compromised. Sovereignty promise broken.</w:t>
            </w:r>
          </w:p>
        </w:tc>
        <w:tc>
          <w:tcPr>
            <w:tcW w:type="dxa" w:w="5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7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11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10 — HIGH</w:t>
            </w:r>
          </w:p>
        </w:tc>
        <w:tc>
          <w:tcPr>
            <w:tcW w:type="dxa" w:w="34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Zero foreign cloud dependency for government data. QKD sovereign key custody in Phase 2. Post-quantum crypto active Phase 1. Independent security audit before government onboarding.</w:t>
            </w:r>
          </w:p>
        </w:tc>
      </w:tr>
      <w:tr>
        <w:tc>
          <w:tcPr>
            <w:tcW w:type="dxa" w:w="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TR-02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Quantum hardware timeline slips — on-premises QPU not commercially available at Phase 3 target.</w:t>
            </w:r>
          </w:p>
        </w:tc>
        <w:tc>
          <w:tcPr>
            <w:tcW w:type="dxa" w:w="5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7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11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6 — MEDIUM</w:t>
            </w:r>
          </w:p>
        </w:tc>
        <w:tc>
          <w:tcPr>
            <w:tcW w:type="dxa" w:w="34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Phase 3 can operate with quantum cloud API if on-prem QPU delayed. HQ-OS designed for graceful degradation. Commercial value delivered in classical mode without QPU.</w:t>
            </w:r>
          </w:p>
        </w:tc>
      </w:tr>
      <w:tr>
        <w:tc>
          <w:tcPr>
            <w:tcW w:type="dxa" w:w="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TR-03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NIST post-quantum cryptographic standards revised or broken. PQC migration must be redone.</w:t>
            </w:r>
          </w:p>
        </w:tc>
        <w:tc>
          <w:tcPr>
            <w:tcW w:type="dxa" w:w="5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7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11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4 — LOW</w:t>
            </w:r>
          </w:p>
        </w:tc>
        <w:tc>
          <w:tcPr>
            <w:tcW w:type="dxa" w:w="34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Algorithm agility built into HQ-OS crypto layer. Modular design enables algorithm substitution. Monitoring of NIST and international standards bodies ongoing.</w:t>
            </w:r>
          </w:p>
        </w:tc>
      </w:tr>
      <w:tr>
        <w:tc>
          <w:tcPr>
            <w:tcW w:type="dxa" w:w="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TR-04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AI bias detection false positive creates wrongful governance intervention. Client system incorrectly flagged.</w:t>
            </w:r>
          </w:p>
        </w:tc>
        <w:tc>
          <w:tcPr>
            <w:tcW w:type="dxa" w:w="5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7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11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8 — MEDIUM</w:t>
            </w:r>
          </w:p>
        </w:tc>
        <w:tc>
          <w:tcPr>
            <w:tcW w:type="dxa" w:w="34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Human confirmation required for all flagged outcomes above threshold. False positive review process. Client appeal mechanism. Confidence threshold configurable per deployment.</w:t>
            </w:r>
          </w:p>
        </w:tc>
      </w:tr>
      <w:tr>
        <w:tc>
          <w:tcPr>
            <w:tcW w:type="dxa" w:w="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TR-05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Cybersecurity attack on UDOC infrastructure — ransomware, DDoS, or state-actor intrusion.</w:t>
            </w:r>
          </w:p>
        </w:tc>
        <w:tc>
          <w:tcPr>
            <w:tcW w:type="dxa" w:w="5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7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11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12 — HIGH</w:t>
            </w:r>
          </w:p>
        </w:tc>
        <w:tc>
          <w:tcPr>
            <w:tcW w:type="dxa" w:w="34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Defence-in-depth security architecture. Air-gapped backup systems. Incident response team. Cyber insurance. Regular penetration testing. QKD adds physical security layer for sovereign data.</w:t>
            </w:r>
          </w:p>
        </w:tc>
      </w:tr>
      <w:tr>
        <w:tc>
          <w:tcPr>
            <w:tcW w:type="dxa" w:w="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TR-06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Key personnel departure — UDOC CTO or lead engineer leaves, delaying product roadmap.</w:t>
            </w:r>
          </w:p>
        </w:tc>
        <w:tc>
          <w:tcPr>
            <w:tcW w:type="dxa" w:w="5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7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11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9 — MEDIUM</w:t>
            </w:r>
          </w:p>
        </w:tc>
        <w:tc>
          <w:tcPr>
            <w:tcW w:type="dxa" w:w="34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4-year equity vesting with 1-year cliff. Competitive total compensation. Succession candidate identified and developed for all critical technical roles. Documentation of all architectural decisions.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C9A84C" w:sz="6"/>
        </w:pBdr>
        <w:spacing w:before="320" w:after="120"/>
      </w:pPr>
      <w:r>
        <w:rPr>
          <w:b/>
          <w:bCs/>
          <w:color w:val="C9A84C"/>
          <w:sz w:val="34"/>
          <w:szCs w:val="34"/>
          <w:rFonts w:ascii="Georgia" w:cs="Georgia" w:eastAsia="Georgia" w:hAnsi="Georgia"/>
        </w:rPr>
        <w:t xml:space="preserve">5. GOVERNANCE &amp; LEGAL RISKS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3000"/>
        <w:gridCol w:w="500"/>
        <w:gridCol w:w="700"/>
        <w:gridCol w:w="1100"/>
        <w:gridCol w:w="3460"/>
      </w:tblGrid>
      <w:tr>
        <w:tc>
          <w:tcPr>
            <w:tcW w:type="dxa" w:w="6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ID</w:t>
            </w:r>
          </w:p>
        </w:tc>
        <w:tc>
          <w:tcPr>
            <w:tcW w:type="dxa" w:w="30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Risk Description</w:t>
            </w:r>
          </w:p>
        </w:tc>
        <w:tc>
          <w:tcPr>
            <w:tcW w:type="dxa" w:w="5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Prob</w:t>
            </w:r>
          </w:p>
        </w:tc>
        <w:tc>
          <w:tcPr>
            <w:tcW w:type="dxa" w:w="7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Impact</w:t>
            </w:r>
          </w:p>
        </w:tc>
        <w:tc>
          <w:tcPr>
            <w:tcW w:type="dxa" w:w="11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Score</w:t>
            </w:r>
          </w:p>
        </w:tc>
        <w:tc>
          <w:tcPr>
            <w:tcW w:type="dxa" w:w="346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Mitigation Strategy</w:t>
            </w:r>
          </w:p>
        </w:tc>
      </w:tr>
      <w:tr>
        <w:tc>
          <w:tcPr>
            <w:tcW w:type="dxa" w:w="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GR-01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South Africa enacts AI legislation creating compliance requirements conflicting with constitutional design.</w:t>
            </w:r>
          </w:p>
        </w:tc>
        <w:tc>
          <w:tcPr>
            <w:tcW w:type="dxa" w:w="5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7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11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6 — MEDIUM</w:t>
            </w:r>
          </w:p>
        </w:tc>
        <w:tc>
          <w:tcPr>
            <w:tcW w:type="dxa" w:w="34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UDOC positioned as the compliance infrastructure for any AI legislation. Active engagement in AI policy processes. G.O.D.S an asset to regulators, not a compliance risk.</w:t>
            </w:r>
          </w:p>
        </w:tc>
      </w:tr>
      <w:tr>
        <w:tc>
          <w:tcPr>
            <w:tcW w:type="dxa" w:w="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GR-02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Constitutional Pillar amendment attempt by investor coalition. Commercial pressure to relax anti-capture.</w:t>
            </w:r>
          </w:p>
        </w:tc>
        <w:tc>
          <w:tcPr>
            <w:tcW w:type="dxa" w:w="5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7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11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10 — HIGH</w:t>
            </w:r>
          </w:p>
        </w:tc>
        <w:tc>
          <w:tcPr>
            <w:tcW w:type="dxa" w:w="34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Supermajority requirement for Pillar amendment. IP Trust holds Class A — constitutional amendment requires Trust consent. COB independent veto. Designed to be extremely difficult.</w:t>
            </w:r>
          </w:p>
        </w:tc>
      </w:tr>
      <w:tr>
        <w:tc>
          <w:tcPr>
            <w:tcW w:type="dxa" w:w="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GR-03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Key government partner changes minister or policy — programme cancelled mid-delivery.</w:t>
            </w:r>
          </w:p>
        </w:tc>
        <w:tc>
          <w:tcPr>
            <w:tcW w:type="dxa" w:w="5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7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11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9 — MEDIUM</w:t>
            </w:r>
          </w:p>
        </w:tc>
        <w:tc>
          <w:tcPr>
            <w:tcW w:type="dxa" w:w="34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Outcome-based contracts insulate against political change. SPV co-ownership creates institutional continuity independent of ministerial change.</w:t>
            </w:r>
          </w:p>
        </w:tc>
      </w:tr>
      <w:tr>
        <w:tc>
          <w:tcPr>
            <w:tcW w:type="dxa" w:w="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GR-04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IP Trust deed challenged legally — Trust validity contested by creditor or estate claim.</w:t>
            </w:r>
          </w:p>
        </w:tc>
        <w:tc>
          <w:tcPr>
            <w:tcW w:type="dxa" w:w="5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7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11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5 — LOW</w:t>
            </w:r>
          </w:p>
        </w:tc>
        <w:tc>
          <w:tcPr>
            <w:tcW w:type="dxa" w:w="34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Trust constituted by senior trust counsel from Day 1. Trust property correctly transferred. Independent trustees. Trust deed reviewed by 2 independent counsel. IP schedule comprehensive.</w:t>
            </w:r>
          </w:p>
        </w:tc>
      </w:tr>
      <w:tr>
        <w:tc>
          <w:tcPr>
            <w:tcW w:type="dxa" w:w="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GR-05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B-BBEE verification failure — incorrect rating impacts government contract eligibility.</w:t>
            </w:r>
          </w:p>
        </w:tc>
        <w:tc>
          <w:tcPr>
            <w:tcW w:type="dxa" w:w="5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7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11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6 — MEDIUM</w:t>
            </w:r>
          </w:p>
        </w:tc>
        <w:tc>
          <w:tcPr>
            <w:tcW w:type="dxa" w:w="34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B-BBEE strategy embedded in founding structure. Accredited verifier commissioned from Month 3. Equity design prioritises genuine transformation at governance level.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C9A84C" w:sz="6"/>
        </w:pBdr>
        <w:spacing w:before="320" w:after="120"/>
      </w:pPr>
      <w:r>
        <w:rPr>
          <w:b/>
          <w:bCs/>
          <w:color w:val="C9A84C"/>
          <w:sz w:val="34"/>
          <w:szCs w:val="34"/>
          <w:rFonts w:ascii="Georgia" w:cs="Georgia" w:eastAsia="Georgia" w:hAnsi="Georgia"/>
        </w:rPr>
        <w:t xml:space="preserve">6. REPUTATIONAL RISKS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3000"/>
        <w:gridCol w:w="500"/>
        <w:gridCol w:w="700"/>
        <w:gridCol w:w="1100"/>
        <w:gridCol w:w="3460"/>
      </w:tblGrid>
      <w:tr>
        <w:tc>
          <w:tcPr>
            <w:tcW w:type="dxa" w:w="6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ID</w:t>
            </w:r>
          </w:p>
        </w:tc>
        <w:tc>
          <w:tcPr>
            <w:tcW w:type="dxa" w:w="30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Risk Description</w:t>
            </w:r>
          </w:p>
        </w:tc>
        <w:tc>
          <w:tcPr>
            <w:tcW w:type="dxa" w:w="5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Prob</w:t>
            </w:r>
          </w:p>
        </w:tc>
        <w:tc>
          <w:tcPr>
            <w:tcW w:type="dxa" w:w="7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Impact</w:t>
            </w:r>
          </w:p>
        </w:tc>
        <w:tc>
          <w:tcPr>
            <w:tcW w:type="dxa" w:w="11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Score</w:t>
            </w:r>
          </w:p>
        </w:tc>
        <w:tc>
          <w:tcPr>
            <w:tcW w:type="dxa" w:w="346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Mitigation Strategy</w:t>
            </w:r>
          </w:p>
        </w:tc>
      </w:tr>
      <w:tr>
        <w:tc>
          <w:tcPr>
            <w:tcW w:type="dxa" w:w="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RR-01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S.E.T.H.S participant exploitation allegation. Programme accused of using vulnerable people for commercial gain.</w:t>
            </w:r>
          </w:p>
        </w:tc>
        <w:tc>
          <w:tcPr>
            <w:tcW w:type="dxa" w:w="5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7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11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10 — HIGH</w:t>
            </w:r>
          </w:p>
        </w:tc>
        <w:tc>
          <w:tcPr>
            <w:tcW w:type="dxa" w:w="34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Constitutional Dignity Pillar enforced. Participant charter. Independent participant voice mechanism. COB participant welfare oversight. Programme designed to advance participant interests first.</w:t>
            </w:r>
          </w:p>
        </w:tc>
      </w:tr>
      <w:tr>
        <w:tc>
          <w:tcPr>
            <w:tcW w:type="dxa" w:w="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RR-02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UDOC described as AI surveillance infrastructure by media or civil society.</w:t>
            </w:r>
          </w:p>
        </w:tc>
        <w:tc>
          <w:tcPr>
            <w:tcW w:type="dxa" w:w="5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7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11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12 — HIGH</w:t>
            </w:r>
          </w:p>
        </w:tc>
        <w:tc>
          <w:tcPr>
            <w:tcW w:type="dxa" w:w="34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Proactive transparency architecture. Open governance. Civil society advisory panel. Regular public reporting on governance outcomes. COB independence public and verifiable.</w:t>
            </w:r>
          </w:p>
        </w:tc>
      </w:tr>
      <w:tr>
        <w:tc>
          <w:tcPr>
            <w:tcW w:type="dxa" w:w="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RR-03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Founder personal conduct or background used to discredit organisation.</w:t>
            </w:r>
          </w:p>
        </w:tc>
        <w:tc>
          <w:tcPr>
            <w:tcW w:type="dxa" w:w="5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7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11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6 — MEDIUM</w:t>
            </w:r>
          </w:p>
        </w:tc>
        <w:tc>
          <w:tcPr>
            <w:tcW w:type="dxa" w:w="34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Constitutional architecture separates G.O.D.S from any single individual. Institutional response protocol. COB speaks independently on institutional integrity.</w:t>
            </w:r>
          </w:p>
        </w:tc>
      </w:tr>
      <w:tr>
        <w:tc>
          <w:tcPr>
            <w:tcW w:type="dxa" w:w="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RR-04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G.O.D.S name misinterpreted as religious organisation — institutional credibility damaged.</w:t>
            </w:r>
          </w:p>
        </w:tc>
        <w:tc>
          <w:tcPr>
            <w:tcW w:type="dxa" w:w="5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7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11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6 — MEDIUM</w:t>
            </w:r>
          </w:p>
        </w:tc>
        <w:tc>
          <w:tcPr>
            <w:tcW w:type="dxa" w:w="34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All communications lead with full name and commercial description. Institutional language in all formal documents. Clear separation of commercial and governance mandates.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C9A84C" w:sz="6"/>
        </w:pBdr>
        <w:spacing w:before="320" w:after="120"/>
      </w:pPr>
      <w:r>
        <w:rPr>
          <w:b/>
          <w:bCs/>
          <w:color w:val="C9A84C"/>
          <w:sz w:val="34"/>
          <w:szCs w:val="34"/>
          <w:rFonts w:ascii="Georgia" w:cs="Georgia" w:eastAsia="Georgia" w:hAnsi="Georgia"/>
        </w:rPr>
        <w:t xml:space="preserve">7. RISK HEAT MAP SUMMARY</w:t>
      </w:r>
    </w:p>
    <w:tbl>
      <w:tblPr>
        <w:tblW w:type="dxa" w:w="8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60"/>
        <w:gridCol w:w="1400"/>
        <w:gridCol w:w="1600"/>
        <w:gridCol w:w="1600"/>
        <w:gridCol w:w="1200"/>
        <w:gridCol w:w="1000"/>
      </w:tblGrid>
      <w:tr>
        <w:tc>
          <w:tcPr>
            <w:tcW w:type="dxa" w:w="156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Risk Category</w:t>
            </w:r>
          </w:p>
        </w:tc>
        <w:tc>
          <w:tcPr>
            <w:tcW w:type="dxa" w:w="14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Critical (15+)</w:t>
            </w:r>
          </w:p>
        </w:tc>
        <w:tc>
          <w:tcPr>
            <w:tcW w:type="dxa" w:w="16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High (10–14)</w:t>
            </w:r>
          </w:p>
        </w:tc>
        <w:tc>
          <w:tcPr>
            <w:tcW w:type="dxa" w:w="16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Medium (5–9)</w:t>
            </w:r>
          </w:p>
        </w:tc>
        <w:tc>
          <w:tcPr>
            <w:tcW w:type="dxa" w:w="12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Low (1–4)</w:t>
            </w:r>
          </w:p>
        </w:tc>
        <w:tc>
          <w:tcPr>
            <w:tcW w:type="dxa" w:w="1000"/>
            <w:tcBorders>
              <w:top w:val="single" w:color="C9A84C" w:sz="6"/>
              <w:left w:val="single" w:color="C9A84C" w:sz="6"/>
              <w:bottom w:val="single" w:color="C9A84C" w:sz="6"/>
              <w:right w:val="single" w:color="C9A84C" w:sz="6"/>
            </w:tcBorders>
            <w:shd w:fill="060E1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C9A84C"/>
                <w:sz w:val="18"/>
                <w:szCs w:val="18"/>
                <w:rFonts w:ascii="Arial" w:cs="Arial" w:eastAsia="Arial" w:hAnsi="Arial"/>
              </w:rPr>
              <w:t xml:space="preserve">Total Risks</w:t>
            </w:r>
          </w:p>
        </w:tc>
      </w:tr>
      <w:tr>
        <w:tc>
          <w:tcPr>
            <w:tcW w:type="dxa" w:w="15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Strategic</w:t>
            </w:r>
          </w:p>
        </w:tc>
        <w:tc>
          <w:tcPr>
            <w:tcW w:type="dxa" w:w="14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2 (SR-01, SR-02)</w:t>
            </w:r>
          </w:p>
        </w:tc>
        <w:tc>
          <w:tcPr>
            <w:tcW w:type="dxa" w:w="1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1 (SR-03)</w:t>
            </w:r>
          </w:p>
        </w:tc>
        <w:tc>
          <w:tcPr>
            <w:tcW w:type="dxa" w:w="1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2 (SR-04, SR-05)</w:t>
            </w:r>
          </w:p>
        </w:tc>
        <w:tc>
          <w:tcPr>
            <w:tcW w:type="dxa" w:w="12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1 (SR-06)</w:t>
            </w:r>
          </w:p>
        </w:tc>
        <w:tc>
          <w:tcPr>
            <w:tcW w:type="dxa" w:w="1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6</w:t>
            </w:r>
          </w:p>
        </w:tc>
      </w:tr>
      <w:tr>
        <w:tc>
          <w:tcPr>
            <w:tcW w:type="dxa" w:w="15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Operational</w:t>
            </w:r>
          </w:p>
        </w:tc>
        <w:tc>
          <w:tcPr>
            <w:tcW w:type="dxa" w:w="14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1 (OR-01)</w:t>
            </w:r>
          </w:p>
        </w:tc>
        <w:tc>
          <w:tcPr>
            <w:tcW w:type="dxa" w:w="1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2 (OR-02, OR-05)</w:t>
            </w:r>
          </w:p>
        </w:tc>
        <w:tc>
          <w:tcPr>
            <w:tcW w:type="dxa" w:w="1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4 (OR-03, OR-04, OR-06, OR-07)</w:t>
            </w:r>
          </w:p>
        </w:tc>
        <w:tc>
          <w:tcPr>
            <w:tcW w:type="dxa" w:w="12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0</w:t>
            </w:r>
          </w:p>
        </w:tc>
        <w:tc>
          <w:tcPr>
            <w:tcW w:type="dxa" w:w="1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7</w:t>
            </w:r>
          </w:p>
        </w:tc>
      </w:tr>
      <w:tr>
        <w:tc>
          <w:tcPr>
            <w:tcW w:type="dxa" w:w="15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Financial</w:t>
            </w:r>
          </w:p>
        </w:tc>
        <w:tc>
          <w:tcPr>
            <w:tcW w:type="dxa" w:w="14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1 (FR-01)</w:t>
            </w:r>
          </w:p>
        </w:tc>
        <w:tc>
          <w:tcPr>
            <w:tcW w:type="dxa" w:w="1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2 (FR-02, FR-06)</w:t>
            </w:r>
          </w:p>
        </w:tc>
        <w:tc>
          <w:tcPr>
            <w:tcW w:type="dxa" w:w="1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2 (FR-03, FR-04)</w:t>
            </w:r>
          </w:p>
        </w:tc>
        <w:tc>
          <w:tcPr>
            <w:tcW w:type="dxa" w:w="12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2 (FR-05, FR-...)</w:t>
            </w:r>
          </w:p>
        </w:tc>
        <w:tc>
          <w:tcPr>
            <w:tcW w:type="dxa" w:w="1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6</w:t>
            </w:r>
          </w:p>
        </w:tc>
      </w:tr>
      <w:tr>
        <w:tc>
          <w:tcPr>
            <w:tcW w:type="dxa" w:w="15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Technology</w:t>
            </w:r>
          </w:p>
        </w:tc>
        <w:tc>
          <w:tcPr>
            <w:tcW w:type="dxa" w:w="14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0</w:t>
            </w:r>
          </w:p>
        </w:tc>
        <w:tc>
          <w:tcPr>
            <w:tcW w:type="dxa" w:w="1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2 (TR-01, TR-05)</w:t>
            </w:r>
          </w:p>
        </w:tc>
        <w:tc>
          <w:tcPr>
            <w:tcW w:type="dxa" w:w="1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3 (TR-02, TR-04, TR-06)</w:t>
            </w:r>
          </w:p>
        </w:tc>
        <w:tc>
          <w:tcPr>
            <w:tcW w:type="dxa" w:w="12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1 (TR-03)</w:t>
            </w:r>
          </w:p>
        </w:tc>
        <w:tc>
          <w:tcPr>
            <w:tcW w:type="dxa" w:w="1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6</w:t>
            </w:r>
          </w:p>
        </w:tc>
      </w:tr>
      <w:tr>
        <w:tc>
          <w:tcPr>
            <w:tcW w:type="dxa" w:w="15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Governance</w:t>
            </w:r>
          </w:p>
        </w:tc>
        <w:tc>
          <w:tcPr>
            <w:tcW w:type="dxa" w:w="14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0</w:t>
            </w:r>
          </w:p>
        </w:tc>
        <w:tc>
          <w:tcPr>
            <w:tcW w:type="dxa" w:w="1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1 (GR-02)</w:t>
            </w:r>
          </w:p>
        </w:tc>
        <w:tc>
          <w:tcPr>
            <w:tcW w:type="dxa" w:w="1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3 (GR-01, GR-03, GR-05)</w:t>
            </w:r>
          </w:p>
        </w:tc>
        <w:tc>
          <w:tcPr>
            <w:tcW w:type="dxa" w:w="12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2 (GR-04, ...)</w:t>
            </w:r>
          </w:p>
        </w:tc>
        <w:tc>
          <w:tcPr>
            <w:tcW w:type="dxa" w:w="1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5</w:t>
            </w:r>
          </w:p>
        </w:tc>
      </w:tr>
      <w:tr>
        <w:tc>
          <w:tcPr>
            <w:tcW w:type="dxa" w:w="15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Reputational</w:t>
            </w:r>
          </w:p>
        </w:tc>
        <w:tc>
          <w:tcPr>
            <w:tcW w:type="dxa" w:w="14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0</w:t>
            </w:r>
          </w:p>
        </w:tc>
        <w:tc>
          <w:tcPr>
            <w:tcW w:type="dxa" w:w="1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2 (RR-01, RR-02)</w:t>
            </w:r>
          </w:p>
        </w:tc>
        <w:tc>
          <w:tcPr>
            <w:tcW w:type="dxa" w:w="1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2 (RR-03, RR-04)</w:t>
            </w:r>
          </w:p>
        </w:tc>
        <w:tc>
          <w:tcPr>
            <w:tcW w:type="dxa" w:w="12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0</w:t>
            </w:r>
          </w:p>
        </w:tc>
        <w:tc>
          <w:tcPr>
            <w:tcW w:type="dxa" w:w="1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4</w:t>
            </w:r>
          </w:p>
        </w:tc>
      </w:tr>
      <w:tr>
        <w:tc>
          <w:tcPr>
            <w:tcW w:type="dxa" w:w="156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TOTAL</w:t>
            </w:r>
          </w:p>
        </w:tc>
        <w:tc>
          <w:tcPr>
            <w:tcW w:type="dxa" w:w="14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1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10</w:t>
            </w:r>
          </w:p>
        </w:tc>
        <w:tc>
          <w:tcPr>
            <w:tcW w:type="dxa" w:w="1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16</w:t>
            </w:r>
          </w:p>
        </w:tc>
        <w:tc>
          <w:tcPr>
            <w:tcW w:type="dxa" w:w="12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1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9F7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color w:val="1A1A2E"/>
                <w:sz w:val="18"/>
                <w:szCs w:val="18"/>
                <w:rFonts w:ascii="Arial" w:cs="Arial" w:eastAsia="Arial" w:hAnsi="Arial"/>
              </w:rPr>
              <w:t xml:space="preserve">36</w:t>
            </w:r>
          </w:p>
        </w:tc>
      </w:tr>
    </w:tbl>
    <w:p>
      <w:pPr>
        <w:spacing w:before="120"/>
      </w:pPr>
    </w:p>
    <w:p>
      <w:pPr>
        <w:pBdr>
          <w:top w:val="single" w:color="E8E4DA" w:sz="4"/>
          <w:bottom w:val="single" w:color="E8E4DA" w:sz="4"/>
          <w:left w:val="single" w:color="C9A84C" w:sz="12"/>
          <w:right w:val="single" w:color="E8E4DA" w:sz="4"/>
        </w:pBdr>
        <w:spacing w:before="160" w:after="160"/>
      </w:pPr>
      <w:r>
        <w:rPr>
          <w:i/>
          <w:iCs/>
          <w:color w:val="060E1C"/>
          <w:sz w:val="22"/>
          <w:szCs w:val="22"/>
          <w:rFonts w:ascii="Georgia" w:cs="Georgia" w:eastAsia="Georgia" w:hAnsi="Georgia"/>
        </w:rPr>
        <w:t xml:space="preserve">Risk Register Version 1.0 | March 2026 | Next COB Review: June 2026 | Owner: COO with CFO input | Approved by: COB</w:t>
      </w:r>
    </w:p>
    <w:p>
      <w:pPr>
        <w:pBdr>
          <w:bottom w:val="single" w:color="C9A84C" w:sz="6"/>
        </w:pBdr>
        <w:spacing w:before="160" w:after="160"/>
      </w:pPr>
    </w:p>
    <w:p>
      <w:pPr>
        <w:jc w:val="center"/>
      </w:pPr>
      <w:r>
        <w:rPr>
          <w:color w:val="8A8A9A"/>
          <w:sz w:val="18"/>
          <w:szCs w:val="18"/>
          <w:rFonts w:ascii="Arial" w:cs="Arial" w:eastAsia="Arial" w:hAnsi="Arial"/>
        </w:rPr>
        <w:t xml:space="preserve">G.O.D.S Holdings (Pty) Ltd | Full Risk Register | March 2026 | CONFIDENTIAL</w:t>
      </w:r>
    </w:p>
    <w:sectPr>
      <w:headerReference w:type="default" r:id="rId6"/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9A84C" w:sz="4"/>
      </w:pBdr>
      <w:jc w:val="center"/>
    </w:pPr>
    <w:r>
      <w:rPr>
        <w:color w:val="8A8A9A"/>
        <w:sz w:val="14"/>
        <w:szCs w:val="14"/>
        <w:rFonts w:ascii="Arial" w:cs="Arial" w:eastAsia="Arial" w:hAnsi="Arial"/>
      </w:rPr>
      <w:t xml:space="preserve">CONFIDENTIAL  |  © 2026 G.O.D.S Holdings (Pty) Ltd  |  Johannesburg, South Africa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9A84C" w:sz="6"/>
      </w:pBdr>
    </w:pPr>
    <w:r>
      <w:rPr>
        <w:color w:val="8A8A9A"/>
        <w:sz w:val="16"/>
        <w:szCs w:val="16"/>
        <w:rFonts w:ascii="Arial" w:cs="Arial" w:eastAsia="Arial" w:hAnsi="Arial"/>
      </w:rPr>
      <w:t xml:space="preserve">G.O.D.S Holdings (Pty) Ltd  |  Full Risk Register  |  CONFIDENTIAL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0"/>
        <w:szCs w:val="20"/>
        <w:rFonts w:ascii="Arial" w:cs="Arial" w:eastAsia="Arial" w:hAnsi="Arial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20" w:after="120"/>
      <w:outlineLvl w:val="0"/>
    </w:pPr>
    <w:rPr>
      <w:b/>
      <w:bCs/>
      <w:color w:val="C9A84C"/>
      <w:sz w:val="34"/>
      <w:szCs w:val="34"/>
      <w:rFonts w:ascii="Georgia" w:cs="Georgia" w:eastAsia="Georgia" w:hAnsi="Georgia"/>
    </w:rPr>
  </w:style>
  <w:style w:type="paragraph" w:styleId="Heading2">
    <w:name w:val="Heading 2"/>
    <w:basedOn w:val="Normal"/>
    <w:next w:val="Normal"/>
    <w:qFormat/>
    <w:pPr>
      <w:spacing w:before="240" w:after="100"/>
      <w:outlineLvl w:val="1"/>
    </w:pPr>
    <w:rPr>
      <w:b/>
      <w:bCs/>
      <w:color w:val="060E1C"/>
      <w:sz w:val="28"/>
      <w:szCs w:val="28"/>
      <w:rFonts w:ascii="Georgia" w:cs="Georgia" w:eastAsia="Georgia" w:hAnsi="Georgia"/>
    </w:rPr>
  </w:style>
  <w:style w:type="paragraph" w:styleId="Heading3">
    <w:name w:val="Heading 3"/>
    <w:basedOn w:val="Normal"/>
    <w:next w:val="Normal"/>
    <w:qFormat/>
    <w:pPr>
      <w:spacing w:before="160" w:after="80"/>
      <w:outlineLvl w:val="2"/>
    </w:pPr>
    <w:rPr>
      <w:b/>
      <w:bCs/>
      <w:color w:val="333355"/>
      <w:sz w:val="22"/>
      <w:szCs w:val="22"/>
      <w:rFonts w:ascii="Arial" w:cs="Arial" w:eastAsia="Arial" w:hAnsi="Arial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2026-04-12T22:20:39.560Z</dcterms:created>
  <dcterms:modified xsi:type="dcterms:W3CDTF">2026-04-12T22:20:39.586Z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