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before="400"/>
        <w:jc w:val="center"/>
      </w:pPr>
      <w:r>
        <w:rPr>
          <w:b/>
          <w:bCs/>
          <w:color w:val="16233A"/>
          <w:sz w:val="22"/>
          <w:szCs w:val="22"/>
        </w:rPr>
        <w:t xml:space="preserve">G . O . D . S   H O L D I N G S</w:t>
      </w:r>
    </w:p>
    <w:p>
      <w:pPr>
        <w:spacing w:after="320"/>
        <w:jc w:val="center"/>
      </w:pPr>
      <w:r>
        <w:rPr>
          <w:color w:val="5B6472"/>
          <w:sz w:val="16"/>
          <w:szCs w:val="16"/>
        </w:rPr>
        <w:t xml:space="preserve">GOOD ORDERLY DIRECTIONAL SYSTEMS  ·  GBS-SETHS INSTITUTIONAL READINESS PACKAGE</w:t>
      </w:r>
    </w:p>
    <w:p>
      <w:pPr>
        <w:spacing w:after="120"/>
        <w:jc w:val="center"/>
      </w:pPr>
      <w:r>
        <w:rPr>
          <w:b/>
          <w:bCs/>
          <w:color w:val="8C7330"/>
          <w:sz w:val="18"/>
          <w:szCs w:val="18"/>
        </w:rPr>
        <w:t xml:space="preserve">DOCUMENT 07 of 11 OF 11</w:t>
      </w:r>
    </w:p>
    <w:p>
      <w:pPr>
        <w:spacing w:after="160"/>
        <w:jc w:val="center"/>
      </w:pPr>
      <w:r>
        <w:rPr>
          <w:b/>
          <w:bCs/>
          <w:color w:val="16233A"/>
          <w:sz w:val="40"/>
          <w:szCs w:val="40"/>
        </w:rPr>
        <w:t xml:space="preserve">Financial Model Workbook</w:t>
      </w:r>
    </w:p>
    <w:p>
      <w:pPr>
        <w:spacing w:after="400"/>
        <w:jc w:val="center"/>
      </w:pPr>
      <w:r>
        <w:rPr>
          <w:i/>
          <w:iCs/>
          <w:color w:val="5B6472"/>
          <w:sz w:val="24"/>
          <w:szCs w:val="24"/>
        </w:rPr>
        <w:t xml:space="preserve">Revenue, Costs, and Impact Funding — Narrative Companion</w:t>
      </w:r>
    </w:p>
    <w:p>
      <w:pPr>
        <w:spacing w:after="100"/>
        <w:jc w:val="center"/>
      </w:pPr>
      <w:r>
        <w:rPr>
          <w:color w:val="16233A"/>
          <w:sz w:val="20"/>
          <w:szCs w:val="20"/>
        </w:rPr>
        <w:t xml:space="preserve">FINANCIAL FRAMEWORK · MODULAR REVENUE, COST, AND CAPITAL MODEL FOR GBS-SETHS AT PILOT, NATIONAL, AND CONTINENTAL SCALE</w:t>
      </w:r>
    </w:p>
    <w:p>
      <w:pPr>
        <w:spacing w:after="400"/>
        <w:jc w:val="center"/>
      </w:pPr>
      <w:r>
        <w:rPr>
          <w:color w:val="5B6472"/>
          <w:sz w:val="18"/>
          <w:szCs w:val="18"/>
        </w:rPr>
        <w:t xml:space="preserve">Version 1.0 · July 2026 · Narrative companion to GBS-SETHS_07_Financial_Model_Workbook.xlsx (same package)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9A84C" w:sz="4"/>
              <w:left w:val="single" w:color="C9A84C" w:sz="4"/>
              <w:bottom w:val="single" w:color="C9A84C" w:sz="4"/>
              <w:right w:val="single" w:color="C9A84C" w:sz="4"/>
            </w:tcBorders>
            <w:shd w:fill="F7F1E0" w:val="clear"/>
            <w:tcMar>
              <w:top w:type="dxa" w:w="160"/>
              <w:left w:type="dxa" w:w="200"/>
              <w:bottom w:type="dxa" w:w="160"/>
              <w:right w:type="dxa" w:w="200"/>
            </w:tcMar>
          </w:tcPr>
          <w:p>
            <w:pPr>
              <w:spacing w:after="60"/>
            </w:pPr>
            <w:r>
              <w:rPr>
                <w:b/>
                <w:bCs/>
              </w:rPr>
              <w:t xml:space="preserve">Architect &amp; Founder:  </w:t>
            </w:r>
            <w:r>
              <w:t xml:space="preserve">Sashin J. Singh</w:t>
            </w:r>
          </w:p>
          <w:p>
            <w:pPr>
              <w:spacing w:after="60"/>
            </w:pPr>
            <w:r>
              <w:rPr>
                <w:b/>
                <w:bCs/>
              </w:rPr>
              <w:t xml:space="preserve">Institution:  </w:t>
            </w:r>
            <w:r>
              <w:t xml:space="preserve">G.O.D.S Holdings (Pty) Ltd — Pre-Registration, Johannesburg, South Africa</w:t>
            </w:r>
          </w:p>
          <w:p>
            <w:pPr>
              <w:spacing w:after="60"/>
            </w:pPr>
            <w:r>
              <w:rPr>
                <w:b/>
                <w:bCs/>
              </w:rPr>
              <w:t xml:space="preserve">IP Custodian:  </w:t>
            </w:r>
            <w:r>
              <w:t xml:space="preserve">G.O.D.S IP Trust — Trust Property Control Act 57 of 1988</w:t>
            </w:r>
          </w:p>
          <w:p>
            <w:pPr>
              <w:spacing w:after="60"/>
            </w:pPr>
            <w:r>
              <w:rPr>
                <w:b/>
                <w:bCs/>
              </w:rPr>
              <w:t xml:space="preserve">Document Classification:  </w:t>
            </w:r>
            <w:r>
              <w:t xml:space="preserve">CONFIDENTIAL — Financial Detail; Distribute Only Under NDA</w:t>
            </w:r>
          </w:p>
          <w:p>
            <w:pPr>
              <w:spacing w:after="0"/>
            </w:pPr>
            <w:r>
              <w:rPr>
                <w:b/>
                <w:bCs/>
              </w:rPr>
              <w:t xml:space="preserve">Package:  </w:t>
            </w:r>
            <w:r>
              <w:t xml:space="preserve">GBS-SETHS Institutional Readiness Package — consolidating GBS-SETHS Framework v1.0/v2.0 with 10 companion registration-grade instruments</w:t>
            </w:r>
          </w:p>
        </w:tc>
      </w:tr>
    </w:tbl>
    <w:p>
      <w:pPr>
        <w:spacing w:after="30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9A84C" w:sz="4"/>
              <w:left w:val="single" w:color="C9A84C" w:sz="4"/>
              <w:bottom w:val="single" w:color="C9A84C" w:sz="4"/>
              <w:right w:val="single" w:color="C9A84C" w:sz="4"/>
            </w:tcBorders>
            <w:shd w:fill="F7F1E0" w:val="clear"/>
            <w:tcMar>
              <w:top w:type="dxa" w:w="160"/>
              <w:left w:type="dxa" w:w="200"/>
              <w:bottom w:type="dxa" w:w="160"/>
              <w:right w:type="dxa" w:w="200"/>
            </w:tcMar>
          </w:tcPr>
          <w:p>
            <w:pPr>
              <w:spacing w:after="0"/>
            </w:pPr>
            <w:r>
              <w:rPr>
                <w:b/>
                <w:bCs/>
              </w:rPr>
              <w:t xml:space="preserve">Authorship declaration.  </w:t>
            </w:r>
            <w:r>
              <w:t xml:space="preserve">This document translates a decade of Sashin J. Singh's original institutional architecture — conceived 2016 (Seth's Empire, Johannesburg), continuously refined through personal, academic, and lived development, and previously formalised in GBS-SETHS v1.0/v2.0, the G.O.D.S. data room, and the live institutional platform — into a registration-grade instrument. AI production tools were used to draft, structure, cross-reference, and format this document from that existing body of work and from SJS's direct specification of its required structure and content. The architecture, the pillars, the methodology, the terminology, and the decade of lived commitment are SJS's own. AI did not originate the institutional design; it produced the document.</w:t>
            </w:r>
          </w:p>
        </w:tc>
      </w:tr>
    </w:tbl>
    <w:p>
      <w:r>
        <w:br w:type="pag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400"/>
        <w:gridCol w:w="1600"/>
        <w:gridCol w:w="2360"/>
        <w:gridCol w:w="4000"/>
      </w:tblGrid>
      <w:tr>
        <w:trPr>
          <w:tblHeader/>
        </w:trPr>
        <w:tc>
          <w:tcPr>
            <w:tcW w:type="dxa" w:w="1400"/>
            <w:tcBorders>
              <w:top w:val="single" w:color="CCCCCC" w:sz="2"/>
              <w:left w:val="single" w:color="CCCCCC" w:sz="2"/>
              <w:bottom w:val="single" w:color="CCCCCC" w:sz="2"/>
              <w:right w:val="single" w:color="CCCCCC" w:sz="2"/>
            </w:tcBorders>
            <w:shd w:fill="060E1C" w:val="clear"/>
            <w:tcMar>
              <w:top w:type="dxa" w:w="100"/>
              <w:left w:type="dxa" w:w="120"/>
              <w:bottom w:type="dxa" w:w="100"/>
              <w:right w:type="dxa" w:w="120"/>
            </w:tcMar>
            <w:vAlign w:val="center"/>
          </w:tcPr>
          <w:p>
            <w:r>
              <w:rPr>
                <w:b/>
                <w:bCs/>
                <w:color w:val="FFFFFF"/>
                <w:sz w:val="19"/>
                <w:szCs w:val="19"/>
              </w:rPr>
              <w:t xml:space="preserve">Version</w:t>
            </w:r>
          </w:p>
        </w:tc>
        <w:tc>
          <w:tcPr>
            <w:tcW w:type="dxa" w:w="1600"/>
            <w:tcBorders>
              <w:top w:val="single" w:color="CCCCCC" w:sz="2"/>
              <w:left w:val="single" w:color="CCCCCC" w:sz="2"/>
              <w:bottom w:val="single" w:color="CCCCCC" w:sz="2"/>
              <w:right w:val="single" w:color="CCCCCC" w:sz="2"/>
            </w:tcBorders>
            <w:shd w:fill="060E1C" w:val="clear"/>
            <w:tcMar>
              <w:top w:type="dxa" w:w="100"/>
              <w:left w:type="dxa" w:w="120"/>
              <w:bottom w:type="dxa" w:w="100"/>
              <w:right w:type="dxa" w:w="120"/>
            </w:tcMar>
            <w:vAlign w:val="center"/>
          </w:tcPr>
          <w:p>
            <w:r>
              <w:rPr>
                <w:b/>
                <w:bCs/>
                <w:color w:val="FFFFFF"/>
                <w:sz w:val="19"/>
                <w:szCs w:val="19"/>
              </w:rPr>
              <w:t xml:space="preserve">Date</w:t>
            </w:r>
          </w:p>
        </w:tc>
        <w:tc>
          <w:tcPr>
            <w:tcW w:type="dxa" w:w="2360"/>
            <w:tcBorders>
              <w:top w:val="single" w:color="CCCCCC" w:sz="2"/>
              <w:left w:val="single" w:color="CCCCCC" w:sz="2"/>
              <w:bottom w:val="single" w:color="CCCCCC" w:sz="2"/>
              <w:right w:val="single" w:color="CCCCCC" w:sz="2"/>
            </w:tcBorders>
            <w:shd w:fill="060E1C" w:val="clear"/>
            <w:tcMar>
              <w:top w:type="dxa" w:w="100"/>
              <w:left w:type="dxa" w:w="120"/>
              <w:bottom w:type="dxa" w:w="100"/>
              <w:right w:type="dxa" w:w="120"/>
            </w:tcMar>
            <w:vAlign w:val="center"/>
          </w:tcPr>
          <w:p>
            <w:r>
              <w:rPr>
                <w:b/>
                <w:bCs/>
                <w:color w:val="FFFFFF"/>
                <w:sz w:val="19"/>
                <w:szCs w:val="19"/>
              </w:rPr>
              <w:t xml:space="preserve">Author</w:t>
            </w:r>
          </w:p>
        </w:tc>
        <w:tc>
          <w:tcPr>
            <w:tcW w:type="dxa" w:w="4000"/>
            <w:tcBorders>
              <w:top w:val="single" w:color="CCCCCC" w:sz="2"/>
              <w:left w:val="single" w:color="CCCCCC" w:sz="2"/>
              <w:bottom w:val="single" w:color="CCCCCC" w:sz="2"/>
              <w:right w:val="single" w:color="CCCCCC" w:sz="2"/>
            </w:tcBorders>
            <w:shd w:fill="060E1C" w:val="clear"/>
            <w:tcMar>
              <w:top w:type="dxa" w:w="100"/>
              <w:left w:type="dxa" w:w="120"/>
              <w:bottom w:type="dxa" w:w="100"/>
              <w:right w:type="dxa" w:w="120"/>
            </w:tcMar>
            <w:vAlign w:val="center"/>
          </w:tcPr>
          <w:p>
            <w:r>
              <w:rPr>
                <w:b/>
                <w:bCs/>
                <w:color w:val="FFFFFF"/>
                <w:sz w:val="19"/>
                <w:szCs w:val="19"/>
              </w:rPr>
              <w:t xml:space="preserve">Change Summary</w:t>
            </w:r>
          </w:p>
        </w:tc>
      </w:tr>
      <w:tr>
        <w:tc>
          <w:tcPr>
            <w:tcW w:type="dxa" w:w="1400"/>
            <w:tcBorders>
              <w:top w:val="single" w:color="CCCCCC" w:sz="2"/>
              <w:left w:val="single" w:color="CCCCCC" w:sz="2"/>
              <w:bottom w:val="single" w:color="CCCCCC" w:sz="2"/>
              <w:right w:val="single" w:color="CCCCCC" w:sz="2"/>
            </w:tcBorders>
            <w:shd w:fill="FFFFFF" w:val="clear"/>
            <w:tcMar>
              <w:top w:type="dxa" w:w="90"/>
              <w:left w:type="dxa" w:w="120"/>
              <w:bottom w:type="dxa" w:w="90"/>
              <w:right w:type="dxa" w:w="120"/>
            </w:tcMar>
            <w:vAlign w:val="center"/>
          </w:tcPr>
          <w:p>
            <w:pPr>
              <w:spacing w:after="40"/>
            </w:pPr>
            <w:r>
              <w:rPr>
                <w:sz w:val="19"/>
                <w:szCs w:val="19"/>
              </w:rPr>
              <w:t xml:space="preserve">1.0</w:t>
            </w:r>
          </w:p>
        </w:tc>
        <w:tc>
          <w:tcPr>
            <w:tcW w:type="dxa" w:w="1600"/>
            <w:tcBorders>
              <w:top w:val="single" w:color="CCCCCC" w:sz="2"/>
              <w:left w:val="single" w:color="CCCCCC" w:sz="2"/>
              <w:bottom w:val="single" w:color="CCCCCC" w:sz="2"/>
              <w:right w:val="single" w:color="CCCCCC" w:sz="2"/>
            </w:tcBorders>
            <w:shd w:fill="FFFFFF" w:val="clear"/>
            <w:tcMar>
              <w:top w:type="dxa" w:w="90"/>
              <w:left w:type="dxa" w:w="120"/>
              <w:bottom w:type="dxa" w:w="90"/>
              <w:right w:type="dxa" w:w="120"/>
            </w:tcMar>
            <w:vAlign w:val="center"/>
          </w:tcPr>
          <w:p>
            <w:pPr>
              <w:spacing w:after="40"/>
            </w:pPr>
            <w:r>
              <w:rPr>
                <w:sz w:val="19"/>
                <w:szCs w:val="19"/>
              </w:rPr>
              <w:t xml:space="preserve">July 2026</w:t>
            </w:r>
          </w:p>
        </w:tc>
        <w:tc>
          <w:tcPr>
            <w:tcW w:type="dxa" w:w="2360"/>
            <w:tcBorders>
              <w:top w:val="single" w:color="CCCCCC" w:sz="2"/>
              <w:left w:val="single" w:color="CCCCCC" w:sz="2"/>
              <w:bottom w:val="single" w:color="CCCCCC" w:sz="2"/>
              <w:right w:val="single" w:color="CCCCCC" w:sz="2"/>
            </w:tcBorders>
            <w:shd w:fill="FFFFFF" w:val="clear"/>
            <w:tcMar>
              <w:top w:type="dxa" w:w="90"/>
              <w:left w:type="dxa" w:w="120"/>
              <w:bottom w:type="dxa" w:w="90"/>
              <w:right w:type="dxa" w:w="120"/>
            </w:tcMar>
            <w:vAlign w:val="center"/>
          </w:tcPr>
          <w:p>
            <w:pPr>
              <w:spacing w:after="40"/>
            </w:pPr>
            <w:r>
              <w:rPr>
                <w:sz w:val="19"/>
                <w:szCs w:val="19"/>
              </w:rPr>
              <w:t xml:space="preserve">SJS + AI documentation assistance</w:t>
            </w:r>
          </w:p>
        </w:tc>
        <w:tc>
          <w:tcPr>
            <w:tcW w:type="dxa" w:w="4000"/>
            <w:tcBorders>
              <w:top w:val="single" w:color="CCCCCC" w:sz="2"/>
              <w:left w:val="single" w:color="CCCCCC" w:sz="2"/>
              <w:bottom w:val="single" w:color="CCCCCC" w:sz="2"/>
              <w:right w:val="single" w:color="CCCCCC" w:sz="2"/>
            </w:tcBorders>
            <w:shd w:fill="FFFFFF" w:val="clear"/>
            <w:tcMar>
              <w:top w:type="dxa" w:w="90"/>
              <w:left w:type="dxa" w:w="120"/>
              <w:bottom w:type="dxa" w:w="90"/>
              <w:right w:type="dxa" w:w="120"/>
            </w:tcMar>
            <w:vAlign w:val="center"/>
          </w:tcPr>
          <w:p>
            <w:pPr>
              <w:spacing w:after="40"/>
            </w:pPr>
            <w:r>
              <w:rPr>
                <w:sz w:val="19"/>
                <w:szCs w:val="19"/>
              </w:rPr>
              <w:t xml:space="preserve">First issue — GBS-SETHS-specific extraction and extension of the existing five-year and twenty-five-year G.O.D.S.-wide financial models (c-01, c-05), built into a standalone workbook with formula-driven scenario tabs</w:t>
            </w:r>
          </w:p>
        </w:tc>
      </w:tr>
    </w:tbl>
    <w:p>
      <w:pPr>
        <w:spacing w:after="12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9A84C" w:sz="4"/>
              <w:left w:val="single" w:color="C9A84C" w:sz="4"/>
              <w:bottom w:val="single" w:color="C9A84C" w:sz="4"/>
              <w:right w:val="single" w:color="C9A84C" w:sz="4"/>
            </w:tcBorders>
            <w:shd w:fill="F7F1E0" w:val="clear"/>
            <w:tcMar>
              <w:top w:type="dxa" w:w="160"/>
              <w:left w:type="dxa" w:w="200"/>
              <w:bottom w:type="dxa" w:w="160"/>
              <w:right w:type="dxa" w:w="200"/>
            </w:tcMar>
          </w:tcPr>
          <w:p>
            <w:pPr>
              <w:spacing w:after="100"/>
            </w:pPr>
            <w:r>
              <w:rPr>
                <w:b/>
                <w:bCs/>
                <w:color w:val="8C7330"/>
              </w:rPr>
              <w:t xml:space="preserve">Systemic trace — the seven GBS questions this document answers</w:t>
            </w:r>
          </w:p>
          <w:p>
            <w:pPr>
              <w:spacing w:after="60"/>
            </w:pPr>
            <w:r>
              <w:rPr>
                <w:b/>
                <w:bCs/>
              </w:rPr>
              <w:t xml:space="preserve">What information exists?  </w:t>
            </w:r>
            <w:r>
              <w:t xml:space="preserve">Cost and revenue assumptions already established in the S.E.T.H.S. Complete Programme Specification's pilot budget and the company-wide five-year financial model.</w:t>
            </w:r>
          </w:p>
          <w:p>
            <w:pPr>
              <w:spacing w:after="60"/>
            </w:pPr>
            <w:r>
              <w:rPr>
                <w:b/>
                <w:bCs/>
              </w:rPr>
              <w:t xml:space="preserve">How is it communicated?  </w:t>
            </w:r>
            <w:r>
              <w:t xml:space="preserve">To DFI, government, and impact-investor counterparties as the quantified expression of Document 00's franchise economics (§6.2) and capital model (§13.1).</w:t>
            </w:r>
          </w:p>
          <w:p>
            <w:pPr>
              <w:spacing w:after="60"/>
            </w:pPr>
            <w:r>
              <w:rPr>
                <w:b/>
                <w:bCs/>
              </w:rPr>
              <w:t xml:space="preserve">How is it transported?  </w:t>
            </w:r>
            <w:r>
              <w:t xml:space="preserve">Through the accompanying Excel workbook, updated as actuals replace assumptions cohort by cohort.</w:t>
            </w:r>
          </w:p>
          <w:p>
            <w:pPr>
              <w:spacing w:after="60"/>
            </w:pPr>
            <w:r>
              <w:rPr>
                <w:b/>
                <w:bCs/>
              </w:rPr>
              <w:t xml:space="preserve">How is it received?  </w:t>
            </w:r>
            <w:r>
              <w:t xml:space="preserve">By finance leadership, the Employer Partnerships and M.A.D.I.B.A functions, and external capital partners during due diligence.</w:t>
            </w:r>
          </w:p>
          <w:p>
            <w:pPr>
              <w:spacing w:after="60"/>
            </w:pPr>
            <w:r>
              <w:rPr>
                <w:b/>
                <w:bCs/>
              </w:rPr>
              <w:t xml:space="preserve">How is learning/compliance verified?  </w:t>
            </w:r>
            <w:r>
              <w:t xml:space="preserve">Against UDOC-logged actuals once the pilot is live — this is explicitly a projection model, not a report of results, until then.</w:t>
            </w:r>
          </w:p>
          <w:p>
            <w:pPr>
              <w:spacing w:after="60"/>
            </w:pPr>
            <w:r>
              <w:rPr>
                <w:b/>
                <w:bCs/>
              </w:rPr>
              <w:t xml:space="preserve">How is the process repeated?  </w:t>
            </w:r>
            <w:r>
              <w:t xml:space="preserve">The same modular structure (Inputs → Revenue → Costs → Capital → Outputs) is reused for every scale tab, so adding a new National GBS node means populating the same fields, not rebuilding the model.</w:t>
            </w:r>
          </w:p>
          <w:p>
            <w:pPr>
              <w:spacing w:after="0"/>
            </w:pPr>
            <w:r>
              <w:rPr>
                <w:b/>
                <w:bCs/>
              </w:rPr>
              <w:t xml:space="preserve">How does it scale to civilisational level?  </w:t>
            </w:r>
            <w:r>
              <w:t xml:space="preserve">From the R13.2M 18-month pilot budget to the R25–140B 25-year three-scenario range already modelled at G.O.D.S. level — this document is where those two ends of the same institution connect.</w:t>
            </w:r>
          </w:p>
        </w:tc>
      </w:tr>
    </w:tbl>
    <w:p>
      <w:r>
        <w:br w:type="page"/>
      </w:r>
    </w:p>
    <w:p>
      <w:pPr>
        <w:pStyle w:val="Heading1"/>
      </w:pPr>
      <w:r>
        <w:t xml:space="preserve">1. Model Structure</w:t>
      </w:r>
    </w:p>
    <w:p>
      <w:pPr>
        <w:pStyle w:val="Heading2"/>
      </w:pPr>
      <w:r>
        <w:t xml:space="preserve">1.1  Inputs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400"/>
        <w:gridCol w:w="3200"/>
        <w:gridCol w:w="3560"/>
      </w:tblGrid>
      <w:tr>
        <w:trPr>
          <w:tblHeader/>
        </w:trPr>
        <w:tc>
          <w:tcPr>
            <w:tcW w:type="dxa" w:w="2400"/>
            <w:tcBorders>
              <w:top w:val="single" w:color="CCCCCC" w:sz="2"/>
              <w:left w:val="single" w:color="CCCCCC" w:sz="2"/>
              <w:bottom w:val="single" w:color="CCCCCC" w:sz="2"/>
              <w:right w:val="single" w:color="CCCCCC" w:sz="2"/>
            </w:tcBorders>
            <w:shd w:fill="060E1C" w:val="clear"/>
            <w:tcMar>
              <w:top w:type="dxa" w:w="100"/>
              <w:left w:type="dxa" w:w="120"/>
              <w:bottom w:type="dxa" w:w="100"/>
              <w:right w:type="dxa" w:w="120"/>
            </w:tcMar>
            <w:vAlign w:val="center"/>
          </w:tcPr>
          <w:p>
            <w:r>
              <w:rPr>
                <w:b/>
                <w:bCs/>
                <w:color w:val="FFFFFF"/>
                <w:sz w:val="19"/>
                <w:szCs w:val="19"/>
              </w:rPr>
              <w:t xml:space="preserve">Input</w:t>
            </w:r>
          </w:p>
        </w:tc>
        <w:tc>
          <w:tcPr>
            <w:tcW w:type="dxa" w:w="3200"/>
            <w:tcBorders>
              <w:top w:val="single" w:color="CCCCCC" w:sz="2"/>
              <w:left w:val="single" w:color="CCCCCC" w:sz="2"/>
              <w:bottom w:val="single" w:color="CCCCCC" w:sz="2"/>
              <w:right w:val="single" w:color="CCCCCC" w:sz="2"/>
            </w:tcBorders>
            <w:shd w:fill="060E1C" w:val="clear"/>
            <w:tcMar>
              <w:top w:type="dxa" w:w="100"/>
              <w:left w:type="dxa" w:w="120"/>
              <w:bottom w:type="dxa" w:w="100"/>
              <w:right w:type="dxa" w:w="120"/>
            </w:tcMar>
            <w:vAlign w:val="center"/>
          </w:tcPr>
          <w:p>
            <w:r>
              <w:rPr>
                <w:b/>
                <w:bCs/>
                <w:color w:val="FFFFFF"/>
                <w:sz w:val="19"/>
                <w:szCs w:val="19"/>
              </w:rPr>
              <w:t xml:space="preserve">Pilot-Stage Value</w:t>
            </w:r>
          </w:p>
        </w:tc>
        <w:tc>
          <w:tcPr>
            <w:tcW w:type="dxa" w:w="3560"/>
            <w:tcBorders>
              <w:top w:val="single" w:color="CCCCCC" w:sz="2"/>
              <w:left w:val="single" w:color="CCCCCC" w:sz="2"/>
              <w:bottom w:val="single" w:color="CCCCCC" w:sz="2"/>
              <w:right w:val="single" w:color="CCCCCC" w:sz="2"/>
            </w:tcBorders>
            <w:shd w:fill="060E1C" w:val="clear"/>
            <w:tcMar>
              <w:top w:type="dxa" w:w="100"/>
              <w:left w:type="dxa" w:w="120"/>
              <w:bottom w:type="dxa" w:w="100"/>
              <w:right w:type="dxa" w:w="120"/>
            </w:tcMar>
            <w:vAlign w:val="center"/>
          </w:tcPr>
          <w:p>
            <w:r>
              <w:rPr>
                <w:b/>
                <w:bCs/>
                <w:color w:val="FFFFFF"/>
                <w:sz w:val="19"/>
                <w:szCs w:val="19"/>
              </w:rPr>
              <w:t xml:space="preserve">Source</w:t>
            </w:r>
          </w:p>
        </w:tc>
      </w:tr>
      <w:tr>
        <w:tc>
          <w:tcPr>
            <w:tcW w:type="dxa" w:w="2400"/>
            <w:tcBorders>
              <w:top w:val="single" w:color="CCCCCC" w:sz="2"/>
              <w:left w:val="single" w:color="CCCCCC" w:sz="2"/>
              <w:bottom w:val="single" w:color="CCCCCC" w:sz="2"/>
              <w:right w:val="single" w:color="CCCCCC" w:sz="2"/>
            </w:tcBorders>
            <w:shd w:fill="FFFFFF" w:val="clear"/>
            <w:tcMar>
              <w:top w:type="dxa" w:w="90"/>
              <w:left w:type="dxa" w:w="120"/>
              <w:bottom w:type="dxa" w:w="90"/>
              <w:right w:type="dxa" w:w="120"/>
            </w:tcMar>
            <w:vAlign w:val="center"/>
          </w:tcPr>
          <w:p>
            <w:pPr>
              <w:spacing w:after="40"/>
            </w:pPr>
            <w:r>
              <w:rPr>
                <w:sz w:val="19"/>
                <w:szCs w:val="19"/>
              </w:rPr>
              <w:t xml:space="preserve">Cohort size</w:t>
            </w:r>
          </w:p>
        </w:tc>
        <w:tc>
          <w:tcPr>
            <w:tcW w:type="dxa" w:w="3200"/>
            <w:tcBorders>
              <w:top w:val="single" w:color="CCCCCC" w:sz="2"/>
              <w:left w:val="single" w:color="CCCCCC" w:sz="2"/>
              <w:bottom w:val="single" w:color="CCCCCC" w:sz="2"/>
              <w:right w:val="single" w:color="CCCCCC" w:sz="2"/>
            </w:tcBorders>
            <w:shd w:fill="FFFFFF" w:val="clear"/>
            <w:tcMar>
              <w:top w:type="dxa" w:w="90"/>
              <w:left w:type="dxa" w:w="120"/>
              <w:bottom w:type="dxa" w:w="90"/>
              <w:right w:type="dxa" w:w="120"/>
            </w:tcMar>
            <w:vAlign w:val="center"/>
          </w:tcPr>
          <w:p>
            <w:pPr>
              <w:spacing w:after="40"/>
            </w:pPr>
            <w:r>
              <w:rPr>
                <w:sz w:val="19"/>
                <w:szCs w:val="19"/>
              </w:rPr>
              <w:t xml:space="preserve">50 participants</w:t>
            </w:r>
          </w:p>
        </w:tc>
        <w:tc>
          <w:tcPr>
            <w:tcW w:type="dxa" w:w="3560"/>
            <w:tcBorders>
              <w:top w:val="single" w:color="CCCCCC" w:sz="2"/>
              <w:left w:val="single" w:color="CCCCCC" w:sz="2"/>
              <w:bottom w:val="single" w:color="CCCCCC" w:sz="2"/>
              <w:right w:val="single" w:color="CCCCCC" w:sz="2"/>
            </w:tcBorders>
            <w:shd w:fill="FFFFFF" w:val="clear"/>
            <w:tcMar>
              <w:top w:type="dxa" w:w="90"/>
              <w:left w:type="dxa" w:w="120"/>
              <w:bottom w:type="dxa" w:w="90"/>
              <w:right w:type="dxa" w:w="120"/>
            </w:tcMar>
            <w:vAlign w:val="center"/>
          </w:tcPr>
          <w:p>
            <w:pPr>
              <w:spacing w:after="40"/>
            </w:pPr>
            <w:r>
              <w:rPr>
                <w:sz w:val="19"/>
                <w:szCs w:val="19"/>
              </w:rPr>
              <w:t xml:space="preserve">S.E.T.H.S. Complete Programme Specification</w:t>
            </w:r>
          </w:p>
        </w:tc>
      </w:tr>
      <w:tr>
        <w:tc>
          <w:tcPr>
            <w:tcW w:type="dxa" w:w="2400"/>
            <w:tcBorders>
              <w:top w:val="single" w:color="CCCCCC" w:sz="2"/>
              <w:left w:val="single" w:color="CCCCCC" w:sz="2"/>
              <w:bottom w:val="single" w:color="CCCCCC" w:sz="2"/>
              <w:right w:val="single" w:color="CCCCCC" w:sz="2"/>
            </w:tcBorders>
            <w:shd w:fill="F2F3F5" w:val="clear"/>
            <w:tcMar>
              <w:top w:type="dxa" w:w="90"/>
              <w:left w:type="dxa" w:w="120"/>
              <w:bottom w:type="dxa" w:w="90"/>
              <w:right w:type="dxa" w:w="120"/>
            </w:tcMar>
            <w:vAlign w:val="center"/>
          </w:tcPr>
          <w:p>
            <w:pPr>
              <w:spacing w:after="40"/>
            </w:pPr>
            <w:r>
              <w:rPr>
                <w:sz w:val="19"/>
                <w:szCs w:val="19"/>
              </w:rPr>
              <w:t xml:space="preserve">Participant stipend</w:t>
            </w:r>
          </w:p>
        </w:tc>
        <w:tc>
          <w:tcPr>
            <w:tcW w:type="dxa" w:w="3200"/>
            <w:tcBorders>
              <w:top w:val="single" w:color="CCCCCC" w:sz="2"/>
              <w:left w:val="single" w:color="CCCCCC" w:sz="2"/>
              <w:bottom w:val="single" w:color="CCCCCC" w:sz="2"/>
              <w:right w:val="single" w:color="CCCCCC" w:sz="2"/>
            </w:tcBorders>
            <w:shd w:fill="F2F3F5" w:val="clear"/>
            <w:tcMar>
              <w:top w:type="dxa" w:w="90"/>
              <w:left w:type="dxa" w:w="120"/>
              <w:bottom w:type="dxa" w:w="90"/>
              <w:right w:type="dxa" w:w="120"/>
            </w:tcMar>
            <w:vAlign w:val="center"/>
          </w:tcPr>
          <w:p>
            <w:pPr>
              <w:spacing w:after="40"/>
            </w:pPr>
            <w:r>
              <w:rPr>
                <w:sz w:val="19"/>
                <w:szCs w:val="19"/>
              </w:rPr>
              <w:t xml:space="preserve">R2,500/month per participant</w:t>
            </w:r>
          </w:p>
        </w:tc>
        <w:tc>
          <w:tcPr>
            <w:tcW w:type="dxa" w:w="3560"/>
            <w:tcBorders>
              <w:top w:val="single" w:color="CCCCCC" w:sz="2"/>
              <w:left w:val="single" w:color="CCCCCC" w:sz="2"/>
              <w:bottom w:val="single" w:color="CCCCCC" w:sz="2"/>
              <w:right w:val="single" w:color="CCCCCC" w:sz="2"/>
            </w:tcBorders>
            <w:shd w:fill="F2F3F5" w:val="clear"/>
            <w:tcMar>
              <w:top w:type="dxa" w:w="90"/>
              <w:left w:type="dxa" w:w="120"/>
              <w:bottom w:type="dxa" w:w="90"/>
              <w:right w:type="dxa" w:w="120"/>
            </w:tcMar>
            <w:vAlign w:val="center"/>
          </w:tcPr>
          <w:p>
            <w:pPr>
              <w:spacing w:after="40"/>
            </w:pPr>
            <w:r>
              <w:rPr>
                <w:sz w:val="19"/>
                <w:szCs w:val="19"/>
              </w:rPr>
              <w:t xml:space="preserve">S.E.T.H.S. Complete Programme Specification</w:t>
            </w:r>
          </w:p>
        </w:tc>
      </w:tr>
      <w:tr>
        <w:tc>
          <w:tcPr>
            <w:tcW w:type="dxa" w:w="2400"/>
            <w:tcBorders>
              <w:top w:val="single" w:color="CCCCCC" w:sz="2"/>
              <w:left w:val="single" w:color="CCCCCC" w:sz="2"/>
              <w:bottom w:val="single" w:color="CCCCCC" w:sz="2"/>
              <w:right w:val="single" w:color="CCCCCC" w:sz="2"/>
            </w:tcBorders>
            <w:shd w:fill="FFFFFF" w:val="clear"/>
            <w:tcMar>
              <w:top w:type="dxa" w:w="90"/>
              <w:left w:type="dxa" w:w="120"/>
              <w:bottom w:type="dxa" w:w="90"/>
              <w:right w:type="dxa" w:w="120"/>
            </w:tcMar>
            <w:vAlign w:val="center"/>
          </w:tcPr>
          <w:p>
            <w:pPr>
              <w:spacing w:after="40"/>
            </w:pPr>
            <w:r>
              <w:rPr>
                <w:sz w:val="19"/>
                <w:szCs w:val="19"/>
              </w:rPr>
              <w:t xml:space="preserve">Core staffing (blended CTC)</w:t>
            </w:r>
          </w:p>
        </w:tc>
        <w:tc>
          <w:tcPr>
            <w:tcW w:type="dxa" w:w="3200"/>
            <w:tcBorders>
              <w:top w:val="single" w:color="CCCCCC" w:sz="2"/>
              <w:left w:val="single" w:color="CCCCCC" w:sz="2"/>
              <w:bottom w:val="single" w:color="CCCCCC" w:sz="2"/>
              <w:right w:val="single" w:color="CCCCCC" w:sz="2"/>
            </w:tcBorders>
            <w:shd w:fill="FFFFFF" w:val="clear"/>
            <w:tcMar>
              <w:top w:type="dxa" w:w="90"/>
              <w:left w:type="dxa" w:w="120"/>
              <w:bottom w:type="dxa" w:w="90"/>
              <w:right w:type="dxa" w:w="120"/>
            </w:tcMar>
            <w:vAlign w:val="center"/>
          </w:tcPr>
          <w:p>
            <w:pPr>
              <w:spacing w:after="40"/>
            </w:pPr>
            <w:r>
              <w:rPr>
                <w:sz w:val="19"/>
                <w:szCs w:val="19"/>
              </w:rPr>
              <w:t xml:space="preserve">14 roles, ~R4.2M/year</w:t>
            </w:r>
          </w:p>
        </w:tc>
        <w:tc>
          <w:tcPr>
            <w:tcW w:type="dxa" w:w="3560"/>
            <w:tcBorders>
              <w:top w:val="single" w:color="CCCCCC" w:sz="2"/>
              <w:left w:val="single" w:color="CCCCCC" w:sz="2"/>
              <w:bottom w:val="single" w:color="CCCCCC" w:sz="2"/>
              <w:right w:val="single" w:color="CCCCCC" w:sz="2"/>
            </w:tcBorders>
            <w:shd w:fill="FFFFFF" w:val="clear"/>
            <w:tcMar>
              <w:top w:type="dxa" w:w="90"/>
              <w:left w:type="dxa" w:w="120"/>
              <w:bottom w:type="dxa" w:w="90"/>
              <w:right w:type="dxa" w:w="120"/>
            </w:tcMar>
            <w:vAlign w:val="center"/>
          </w:tcPr>
          <w:p>
            <w:pPr>
              <w:spacing w:after="40"/>
            </w:pPr>
            <w:r>
              <w:rPr>
                <w:sz w:val="19"/>
                <w:szCs w:val="19"/>
              </w:rPr>
              <w:t xml:space="preserve">S.E.T.H.S. Complete Programme Specification, Section 5</w:t>
            </w:r>
          </w:p>
        </w:tc>
      </w:tr>
      <w:tr>
        <w:tc>
          <w:tcPr>
            <w:tcW w:type="dxa" w:w="2400"/>
            <w:tcBorders>
              <w:top w:val="single" w:color="CCCCCC" w:sz="2"/>
              <w:left w:val="single" w:color="CCCCCC" w:sz="2"/>
              <w:bottom w:val="single" w:color="CCCCCC" w:sz="2"/>
              <w:right w:val="single" w:color="CCCCCC" w:sz="2"/>
            </w:tcBorders>
            <w:shd w:fill="F2F3F5" w:val="clear"/>
            <w:tcMar>
              <w:top w:type="dxa" w:w="90"/>
              <w:left w:type="dxa" w:w="120"/>
              <w:bottom w:type="dxa" w:w="90"/>
              <w:right w:type="dxa" w:w="120"/>
            </w:tcMar>
            <w:vAlign w:val="center"/>
          </w:tcPr>
          <w:p>
            <w:pPr>
              <w:spacing w:after="40"/>
            </w:pPr>
            <w:r>
              <w:rPr>
                <w:sz w:val="19"/>
                <w:szCs w:val="19"/>
              </w:rPr>
              <w:t xml:space="preserve">Facility cost</w:t>
            </w:r>
          </w:p>
        </w:tc>
        <w:tc>
          <w:tcPr>
            <w:tcW w:type="dxa" w:w="3200"/>
            <w:tcBorders>
              <w:top w:val="single" w:color="CCCCCC" w:sz="2"/>
              <w:left w:val="single" w:color="CCCCCC" w:sz="2"/>
              <w:bottom w:val="single" w:color="CCCCCC" w:sz="2"/>
              <w:right w:val="single" w:color="CCCCCC" w:sz="2"/>
            </w:tcBorders>
            <w:shd w:fill="F2F3F5" w:val="clear"/>
            <w:tcMar>
              <w:top w:type="dxa" w:w="90"/>
              <w:left w:type="dxa" w:w="120"/>
              <w:bottom w:type="dxa" w:w="90"/>
              <w:right w:type="dxa" w:w="120"/>
            </w:tcMar>
            <w:vAlign w:val="center"/>
          </w:tcPr>
          <w:p>
            <w:pPr>
              <w:spacing w:after="40"/>
            </w:pPr>
            <w:r>
              <w:rPr>
                <w:sz w:val="19"/>
                <w:szCs w:val="19"/>
              </w:rPr>
              <w:t xml:space="preserve">R720,000/year (lease + fit-out amortised)</w:t>
            </w:r>
          </w:p>
        </w:tc>
        <w:tc>
          <w:tcPr>
            <w:tcW w:type="dxa" w:w="3560"/>
            <w:tcBorders>
              <w:top w:val="single" w:color="CCCCCC" w:sz="2"/>
              <w:left w:val="single" w:color="CCCCCC" w:sz="2"/>
              <w:bottom w:val="single" w:color="CCCCCC" w:sz="2"/>
              <w:right w:val="single" w:color="CCCCCC" w:sz="2"/>
            </w:tcBorders>
            <w:shd w:fill="F2F3F5" w:val="clear"/>
            <w:tcMar>
              <w:top w:type="dxa" w:w="90"/>
              <w:left w:type="dxa" w:w="120"/>
              <w:bottom w:type="dxa" w:w="90"/>
              <w:right w:type="dxa" w:w="120"/>
            </w:tcMar>
            <w:vAlign w:val="center"/>
          </w:tcPr>
          <w:p>
            <w:pPr>
              <w:spacing w:after="40"/>
            </w:pPr>
            <w:r>
              <w:rPr>
                <w:sz w:val="19"/>
                <w:szCs w:val="19"/>
              </w:rPr>
              <w:t xml:space="preserve">S.E.T.H.S. Complete Programme Specification, Section 6</w:t>
            </w:r>
          </w:p>
        </w:tc>
      </w:tr>
      <w:tr>
        <w:tc>
          <w:tcPr>
            <w:tcW w:type="dxa" w:w="2400"/>
            <w:tcBorders>
              <w:top w:val="single" w:color="CCCCCC" w:sz="2"/>
              <w:left w:val="single" w:color="CCCCCC" w:sz="2"/>
              <w:bottom w:val="single" w:color="CCCCCC" w:sz="2"/>
              <w:right w:val="single" w:color="CCCCCC" w:sz="2"/>
            </w:tcBorders>
            <w:shd w:fill="FFFFFF" w:val="clear"/>
            <w:tcMar>
              <w:top w:type="dxa" w:w="90"/>
              <w:left w:type="dxa" w:w="120"/>
              <w:bottom w:type="dxa" w:w="90"/>
              <w:right w:type="dxa" w:w="120"/>
            </w:tcMar>
            <w:vAlign w:val="center"/>
          </w:tcPr>
          <w:p>
            <w:pPr>
              <w:spacing w:after="40"/>
            </w:pPr>
            <w:r>
              <w:rPr>
                <w:sz w:val="19"/>
                <w:szCs w:val="19"/>
              </w:rPr>
              <w:t xml:space="preserve">Fee schedule / localisation multipliers</w:t>
            </w:r>
          </w:p>
        </w:tc>
        <w:tc>
          <w:tcPr>
            <w:tcW w:type="dxa" w:w="3200"/>
            <w:tcBorders>
              <w:top w:val="single" w:color="CCCCCC" w:sz="2"/>
              <w:left w:val="single" w:color="CCCCCC" w:sz="2"/>
              <w:bottom w:val="single" w:color="CCCCCC" w:sz="2"/>
              <w:right w:val="single" w:color="CCCCCC" w:sz="2"/>
            </w:tcBorders>
            <w:shd w:fill="FFFFFF" w:val="clear"/>
            <w:tcMar>
              <w:top w:type="dxa" w:w="90"/>
              <w:left w:type="dxa" w:w="120"/>
              <w:bottom w:type="dxa" w:w="90"/>
              <w:right w:type="dxa" w:w="120"/>
            </w:tcMar>
            <w:vAlign w:val="center"/>
          </w:tcPr>
          <w:p>
            <w:pPr>
              <w:spacing w:after="40"/>
            </w:pPr>
            <w:r>
              <w:rPr>
                <w:sz w:val="19"/>
                <w:szCs w:val="19"/>
              </w:rPr>
              <w:t xml:space="preserve">Not yet priced — no Layer 2 licensee exists yet</w:t>
            </w:r>
          </w:p>
        </w:tc>
        <w:tc>
          <w:tcPr>
            <w:tcW w:type="dxa" w:w="3560"/>
            <w:tcBorders>
              <w:top w:val="single" w:color="CCCCCC" w:sz="2"/>
              <w:left w:val="single" w:color="CCCCCC" w:sz="2"/>
              <w:bottom w:val="single" w:color="CCCCCC" w:sz="2"/>
              <w:right w:val="single" w:color="CCCCCC" w:sz="2"/>
            </w:tcBorders>
            <w:shd w:fill="FFFFFF" w:val="clear"/>
            <w:tcMar>
              <w:top w:type="dxa" w:w="90"/>
              <w:left w:type="dxa" w:w="120"/>
              <w:bottom w:type="dxa" w:w="90"/>
              <w:right w:type="dxa" w:w="120"/>
            </w:tcMar>
            <w:vAlign w:val="center"/>
          </w:tcPr>
          <w:p>
            <w:pPr>
              <w:spacing w:after="40"/>
            </w:pPr>
            <w:r>
              <w:rPr>
                <w:sz w:val="19"/>
                <w:szCs w:val="19"/>
              </w:rPr>
              <w:t xml:space="preserve">Document 03, Section 4 (flagged as not-yet-active)</w:t>
            </w:r>
          </w:p>
        </w:tc>
      </w:tr>
      <w:tr>
        <w:tc>
          <w:tcPr>
            <w:tcW w:type="dxa" w:w="2400"/>
            <w:tcBorders>
              <w:top w:val="single" w:color="CCCCCC" w:sz="2"/>
              <w:left w:val="single" w:color="CCCCCC" w:sz="2"/>
              <w:bottom w:val="single" w:color="CCCCCC" w:sz="2"/>
              <w:right w:val="single" w:color="CCCCCC" w:sz="2"/>
            </w:tcBorders>
            <w:shd w:fill="F2F3F5" w:val="clear"/>
            <w:tcMar>
              <w:top w:type="dxa" w:w="90"/>
              <w:left w:type="dxa" w:w="120"/>
              <w:bottom w:type="dxa" w:w="90"/>
              <w:right w:type="dxa" w:w="120"/>
            </w:tcMar>
            <w:vAlign w:val="center"/>
          </w:tcPr>
          <w:p>
            <w:pPr>
              <w:spacing w:after="40"/>
            </w:pPr>
            <w:r>
              <w:rPr>
                <w:sz w:val="19"/>
                <w:szCs w:val="19"/>
              </w:rPr>
              <w:t xml:space="preserve">Employer placement rate assumption</w:t>
            </w:r>
          </w:p>
        </w:tc>
        <w:tc>
          <w:tcPr>
            <w:tcW w:type="dxa" w:w="3200"/>
            <w:tcBorders>
              <w:top w:val="single" w:color="CCCCCC" w:sz="2"/>
              <w:left w:val="single" w:color="CCCCCC" w:sz="2"/>
              <w:bottom w:val="single" w:color="CCCCCC" w:sz="2"/>
              <w:right w:val="single" w:color="CCCCCC" w:sz="2"/>
            </w:tcBorders>
            <w:shd w:fill="F2F3F5" w:val="clear"/>
            <w:tcMar>
              <w:top w:type="dxa" w:w="90"/>
              <w:left w:type="dxa" w:w="120"/>
              <w:bottom w:type="dxa" w:w="90"/>
              <w:right w:type="dxa" w:w="120"/>
            </w:tcMar>
            <w:vAlign w:val="center"/>
          </w:tcPr>
          <w:p>
            <w:pPr>
              <w:spacing w:after="40"/>
            </w:pPr>
            <w:r>
              <w:rPr>
                <w:sz w:val="19"/>
                <w:szCs w:val="19"/>
              </w:rPr>
              <w:t xml:space="preserve">70% at 90 days (minimum pilot success criterion)</w:t>
            </w:r>
          </w:p>
        </w:tc>
        <w:tc>
          <w:tcPr>
            <w:tcW w:type="dxa" w:w="3560"/>
            <w:tcBorders>
              <w:top w:val="single" w:color="CCCCCC" w:sz="2"/>
              <w:left w:val="single" w:color="CCCCCC" w:sz="2"/>
              <w:bottom w:val="single" w:color="CCCCCC" w:sz="2"/>
              <w:right w:val="single" w:color="CCCCCC" w:sz="2"/>
            </w:tcBorders>
            <w:shd w:fill="F2F3F5" w:val="clear"/>
            <w:tcMar>
              <w:top w:type="dxa" w:w="90"/>
              <w:left w:type="dxa" w:w="120"/>
              <w:bottom w:type="dxa" w:w="90"/>
              <w:right w:type="dxa" w:w="120"/>
            </w:tcMar>
            <w:vAlign w:val="center"/>
          </w:tcPr>
          <w:p>
            <w:pPr>
              <w:spacing w:after="40"/>
            </w:pPr>
            <w:r>
              <w:rPr>
                <w:sz w:val="19"/>
                <w:szCs w:val="19"/>
              </w:rPr>
              <w:t xml:space="preserve">Document 02, Pilot Success Criteria</w:t>
            </w:r>
          </w:p>
        </w:tc>
      </w:tr>
      <w:tr>
        <w:tc>
          <w:tcPr>
            <w:tcW w:type="dxa" w:w="2400"/>
            <w:tcBorders>
              <w:top w:val="single" w:color="CCCCCC" w:sz="2"/>
              <w:left w:val="single" w:color="CCCCCC" w:sz="2"/>
              <w:bottom w:val="single" w:color="CCCCCC" w:sz="2"/>
              <w:right w:val="single" w:color="CCCCCC" w:sz="2"/>
            </w:tcBorders>
            <w:shd w:fill="FFFFFF" w:val="clear"/>
            <w:tcMar>
              <w:top w:type="dxa" w:w="90"/>
              <w:left w:type="dxa" w:w="120"/>
              <w:bottom w:type="dxa" w:w="90"/>
              <w:right w:type="dxa" w:w="120"/>
            </w:tcMar>
            <w:vAlign w:val="center"/>
          </w:tcPr>
          <w:p>
            <w:pPr>
              <w:spacing w:after="40"/>
            </w:pPr>
            <w:r>
              <w:rPr>
                <w:sz w:val="19"/>
                <w:szCs w:val="19"/>
              </w:rPr>
              <w:t xml:space="preserve">DFI tranche terms</w:t>
            </w:r>
          </w:p>
        </w:tc>
        <w:tc>
          <w:tcPr>
            <w:tcW w:type="dxa" w:w="3200"/>
            <w:tcBorders>
              <w:top w:val="single" w:color="CCCCCC" w:sz="2"/>
              <w:left w:val="single" w:color="CCCCCC" w:sz="2"/>
              <w:bottom w:val="single" w:color="CCCCCC" w:sz="2"/>
              <w:right w:val="single" w:color="CCCCCC" w:sz="2"/>
            </w:tcBorders>
            <w:shd w:fill="FFFFFF" w:val="clear"/>
            <w:tcMar>
              <w:top w:type="dxa" w:w="90"/>
              <w:left w:type="dxa" w:w="120"/>
              <w:bottom w:type="dxa" w:w="90"/>
              <w:right w:type="dxa" w:w="120"/>
            </w:tcMar>
            <w:vAlign w:val="center"/>
          </w:tcPr>
          <w:p>
            <w:pPr>
              <w:spacing w:after="40"/>
            </w:pPr>
            <w:r>
              <w:rPr>
                <w:sz w:val="19"/>
                <w:szCs w:val="19"/>
              </w:rPr>
              <w:t xml:space="preserve">Indicative only — no term sheet executed</w:t>
            </w:r>
          </w:p>
        </w:tc>
        <w:tc>
          <w:tcPr>
            <w:tcW w:type="dxa" w:w="3560"/>
            <w:tcBorders>
              <w:top w:val="single" w:color="CCCCCC" w:sz="2"/>
              <w:left w:val="single" w:color="CCCCCC" w:sz="2"/>
              <w:bottom w:val="single" w:color="CCCCCC" w:sz="2"/>
              <w:right w:val="single" w:color="CCCCCC" w:sz="2"/>
            </w:tcBorders>
            <w:shd w:fill="FFFFFF" w:val="clear"/>
            <w:tcMar>
              <w:top w:type="dxa" w:w="90"/>
              <w:left w:type="dxa" w:w="120"/>
              <w:bottom w:type="dxa" w:w="90"/>
              <w:right w:type="dxa" w:w="120"/>
            </w:tcMar>
            <w:vAlign w:val="center"/>
          </w:tcPr>
          <w:p>
            <w:pPr>
              <w:spacing w:after="40"/>
            </w:pPr>
            <w:r>
              <w:rPr>
                <w:sz w:val="19"/>
                <w:szCs w:val="19"/>
              </w:rPr>
              <w:t xml:space="preserve">Document 00 §13.1; c-01 company model</w:t>
            </w:r>
          </w:p>
        </w:tc>
      </w:tr>
    </w:tbl>
    <w:p>
      <w:pPr>
        <w:pStyle w:val="Heading2"/>
      </w:pPr>
      <w:r>
        <w:t xml:space="preserve">1.2  Revenue Streams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rPr>
          <w:tblHeader/>
        </w:trPr>
        <w:tc>
          <w:tcPr>
            <w:tcW w:type="dxa" w:w="3120"/>
            <w:tcBorders>
              <w:top w:val="single" w:color="CCCCCC" w:sz="2"/>
              <w:left w:val="single" w:color="CCCCCC" w:sz="2"/>
              <w:bottom w:val="single" w:color="CCCCCC" w:sz="2"/>
              <w:right w:val="single" w:color="CCCCCC" w:sz="2"/>
            </w:tcBorders>
            <w:shd w:fill="060E1C" w:val="clear"/>
            <w:tcMar>
              <w:top w:type="dxa" w:w="100"/>
              <w:left w:type="dxa" w:w="120"/>
              <w:bottom w:type="dxa" w:w="100"/>
              <w:right w:type="dxa" w:w="120"/>
            </w:tcMar>
            <w:vAlign w:val="center"/>
          </w:tcPr>
          <w:p>
            <w:r>
              <w:rPr>
                <w:b/>
                <w:bCs/>
                <w:color w:val="FFFFFF"/>
                <w:sz w:val="19"/>
                <w:szCs w:val="19"/>
              </w:rPr>
              <w:t xml:space="preserve">Stream</w:t>
            </w:r>
          </w:p>
        </w:tc>
        <w:tc>
          <w:tcPr>
            <w:tcW w:type="dxa" w:w="3120"/>
            <w:tcBorders>
              <w:top w:val="single" w:color="CCCCCC" w:sz="2"/>
              <w:left w:val="single" w:color="CCCCCC" w:sz="2"/>
              <w:bottom w:val="single" w:color="CCCCCC" w:sz="2"/>
              <w:right w:val="single" w:color="CCCCCC" w:sz="2"/>
            </w:tcBorders>
            <w:shd w:fill="060E1C" w:val="clear"/>
            <w:tcMar>
              <w:top w:type="dxa" w:w="100"/>
              <w:left w:type="dxa" w:w="120"/>
              <w:bottom w:type="dxa" w:w="100"/>
              <w:right w:type="dxa" w:w="120"/>
            </w:tcMar>
            <w:vAlign w:val="center"/>
          </w:tcPr>
          <w:p>
            <w:r>
              <w:rPr>
                <w:b/>
                <w:bCs/>
                <w:color w:val="FFFFFF"/>
                <w:sz w:val="19"/>
                <w:szCs w:val="19"/>
              </w:rPr>
              <w:t xml:space="preserve">Active At</w:t>
            </w:r>
          </w:p>
        </w:tc>
        <w:tc>
          <w:tcPr>
            <w:tcW w:type="dxa" w:w="3120"/>
            <w:tcBorders>
              <w:top w:val="single" w:color="CCCCCC" w:sz="2"/>
              <w:left w:val="single" w:color="CCCCCC" w:sz="2"/>
              <w:bottom w:val="single" w:color="CCCCCC" w:sz="2"/>
              <w:right w:val="single" w:color="CCCCCC" w:sz="2"/>
            </w:tcBorders>
            <w:shd w:fill="060E1C" w:val="clear"/>
            <w:tcMar>
              <w:top w:type="dxa" w:w="100"/>
              <w:left w:type="dxa" w:w="120"/>
              <w:bottom w:type="dxa" w:w="100"/>
              <w:right w:type="dxa" w:w="120"/>
            </w:tcMar>
            <w:vAlign w:val="center"/>
          </w:tcPr>
          <w:p>
            <w:r>
              <w:rPr>
                <w:b/>
                <w:bCs/>
                <w:color w:val="FFFFFF"/>
                <w:sz w:val="19"/>
                <w:szCs w:val="19"/>
              </w:rPr>
              <w:t xml:space="preserve">Notes</w:t>
            </w:r>
          </w:p>
        </w:tc>
      </w:tr>
      <w:tr>
        <w:tc>
          <w:tcPr>
            <w:tcW w:type="dxa" w:w="3120"/>
            <w:tcBorders>
              <w:top w:val="single" w:color="CCCCCC" w:sz="2"/>
              <w:left w:val="single" w:color="CCCCCC" w:sz="2"/>
              <w:bottom w:val="single" w:color="CCCCCC" w:sz="2"/>
              <w:right w:val="single" w:color="CCCCCC" w:sz="2"/>
            </w:tcBorders>
            <w:shd w:fill="FFFFFF" w:val="clear"/>
            <w:tcMar>
              <w:top w:type="dxa" w:w="90"/>
              <w:left w:type="dxa" w:w="120"/>
              <w:bottom w:type="dxa" w:w="90"/>
              <w:right w:type="dxa" w:w="120"/>
            </w:tcMar>
            <w:vAlign w:val="center"/>
          </w:tcPr>
          <w:p>
            <w:pPr>
              <w:spacing w:after="40"/>
            </w:pPr>
            <w:r>
              <w:rPr>
                <w:sz w:val="19"/>
                <w:szCs w:val="19"/>
              </w:rPr>
              <w:t xml:space="preserve">Government outcomes-based funding</w:t>
            </w:r>
          </w:p>
        </w:tc>
        <w:tc>
          <w:tcPr>
            <w:tcW w:type="dxa" w:w="3120"/>
            <w:tcBorders>
              <w:top w:val="single" w:color="CCCCCC" w:sz="2"/>
              <w:left w:val="single" w:color="CCCCCC" w:sz="2"/>
              <w:bottom w:val="single" w:color="CCCCCC" w:sz="2"/>
              <w:right w:val="single" w:color="CCCCCC" w:sz="2"/>
            </w:tcBorders>
            <w:shd w:fill="FFFFFF" w:val="clear"/>
            <w:tcMar>
              <w:top w:type="dxa" w:w="90"/>
              <w:left w:type="dxa" w:w="120"/>
              <w:bottom w:type="dxa" w:w="90"/>
              <w:right w:type="dxa" w:w="120"/>
            </w:tcMar>
            <w:vAlign w:val="center"/>
          </w:tcPr>
          <w:p>
            <w:pPr>
              <w:spacing w:after="40"/>
            </w:pPr>
            <w:r>
              <w:rPr>
                <w:sz w:val="19"/>
                <w:szCs w:val="19"/>
              </w:rPr>
              <w:t xml:space="preserve">Pilot onward</w:t>
            </w:r>
          </w:p>
        </w:tc>
        <w:tc>
          <w:tcPr>
            <w:tcW w:type="dxa" w:w="3120"/>
            <w:tcBorders>
              <w:top w:val="single" w:color="CCCCCC" w:sz="2"/>
              <w:left w:val="single" w:color="CCCCCC" w:sz="2"/>
              <w:bottom w:val="single" w:color="CCCCCC" w:sz="2"/>
              <w:right w:val="single" w:color="CCCCCC" w:sz="2"/>
            </w:tcBorders>
            <w:shd w:fill="FFFFFF" w:val="clear"/>
            <w:tcMar>
              <w:top w:type="dxa" w:w="90"/>
              <w:left w:type="dxa" w:w="120"/>
              <w:bottom w:type="dxa" w:w="90"/>
              <w:right w:type="dxa" w:w="120"/>
            </w:tcMar>
            <w:vAlign w:val="center"/>
          </w:tcPr>
          <w:p>
            <w:pPr>
              <w:spacing w:after="40"/>
            </w:pPr>
            <w:r>
              <w:rPr>
                <w:sz w:val="19"/>
                <w:szCs w:val="19"/>
              </w:rPr>
              <w:t xml:space="preserve">Per-outcome payment per verified 90-day placement — SETA/EPWP/DSD alignment (Document 09)</w:t>
            </w:r>
          </w:p>
        </w:tc>
      </w:tr>
      <w:tr>
        <w:tc>
          <w:tcPr>
            <w:tcW w:type="dxa" w:w="3120"/>
            <w:tcBorders>
              <w:top w:val="single" w:color="CCCCCC" w:sz="2"/>
              <w:left w:val="single" w:color="CCCCCC" w:sz="2"/>
              <w:bottom w:val="single" w:color="CCCCCC" w:sz="2"/>
              <w:right w:val="single" w:color="CCCCCC" w:sz="2"/>
            </w:tcBorders>
            <w:shd w:fill="F2F3F5" w:val="clear"/>
            <w:tcMar>
              <w:top w:type="dxa" w:w="90"/>
              <w:left w:type="dxa" w:w="120"/>
              <w:bottom w:type="dxa" w:w="90"/>
              <w:right w:type="dxa" w:w="120"/>
            </w:tcMar>
            <w:vAlign w:val="center"/>
          </w:tcPr>
          <w:p>
            <w:pPr>
              <w:spacing w:after="40"/>
            </w:pPr>
            <w:r>
              <w:rPr>
                <w:sz w:val="19"/>
                <w:szCs w:val="19"/>
              </w:rPr>
              <w:t xml:space="preserve">Licence fees (National/Regional/Delivery)</w:t>
            </w:r>
          </w:p>
        </w:tc>
        <w:tc>
          <w:tcPr>
            <w:tcW w:type="dxa" w:w="3120"/>
            <w:tcBorders>
              <w:top w:val="single" w:color="CCCCCC" w:sz="2"/>
              <w:left w:val="single" w:color="CCCCCC" w:sz="2"/>
              <w:bottom w:val="single" w:color="CCCCCC" w:sz="2"/>
              <w:right w:val="single" w:color="CCCCCC" w:sz="2"/>
            </w:tcBorders>
            <w:shd w:fill="F2F3F5" w:val="clear"/>
            <w:tcMar>
              <w:top w:type="dxa" w:w="90"/>
              <w:left w:type="dxa" w:w="120"/>
              <w:bottom w:type="dxa" w:w="90"/>
              <w:right w:type="dxa" w:w="120"/>
            </w:tcMar>
            <w:vAlign w:val="center"/>
          </w:tcPr>
          <w:p>
            <w:pPr>
              <w:spacing w:after="40"/>
            </w:pPr>
            <w:r>
              <w:rPr>
                <w:sz w:val="19"/>
                <w:szCs w:val="19"/>
              </w:rPr>
              <w:t xml:space="preserve">From Stage 4 (first international node)</w:t>
            </w:r>
          </w:p>
        </w:tc>
        <w:tc>
          <w:tcPr>
            <w:tcW w:type="dxa" w:w="3120"/>
            <w:tcBorders>
              <w:top w:val="single" w:color="CCCCCC" w:sz="2"/>
              <w:left w:val="single" w:color="CCCCCC" w:sz="2"/>
              <w:bottom w:val="single" w:color="CCCCCC" w:sz="2"/>
              <w:right w:val="single" w:color="CCCCCC" w:sz="2"/>
            </w:tcBorders>
            <w:shd w:fill="F2F3F5" w:val="clear"/>
            <w:tcMar>
              <w:top w:type="dxa" w:w="90"/>
              <w:left w:type="dxa" w:w="120"/>
              <w:bottom w:type="dxa" w:w="90"/>
              <w:right w:type="dxa" w:w="120"/>
            </w:tcMar>
            <w:vAlign w:val="center"/>
          </w:tcPr>
          <w:p>
            <w:pPr>
              <w:spacing w:after="40"/>
            </w:pPr>
            <w:r>
              <w:rPr>
                <w:sz w:val="19"/>
                <w:szCs w:val="19"/>
              </w:rPr>
              <w:t xml:space="preserve">Document 03 §4 — deliberately zero in the pilot-stage tab</w:t>
            </w:r>
          </w:p>
        </w:tc>
      </w:tr>
      <w:tr>
        <w:tc>
          <w:tcPr>
            <w:tcW w:type="dxa" w:w="3120"/>
            <w:tcBorders>
              <w:top w:val="single" w:color="CCCCCC" w:sz="2"/>
              <w:left w:val="single" w:color="CCCCCC" w:sz="2"/>
              <w:bottom w:val="single" w:color="CCCCCC" w:sz="2"/>
              <w:right w:val="single" w:color="CCCCCC" w:sz="2"/>
            </w:tcBorders>
            <w:shd w:fill="FFFFFF" w:val="clear"/>
            <w:tcMar>
              <w:top w:type="dxa" w:w="90"/>
              <w:left w:type="dxa" w:w="120"/>
              <w:bottom w:type="dxa" w:w="90"/>
              <w:right w:type="dxa" w:w="120"/>
            </w:tcMar>
            <w:vAlign w:val="center"/>
          </w:tcPr>
          <w:p>
            <w:pPr>
              <w:spacing w:after="40"/>
            </w:pPr>
            <w:r>
              <w:rPr>
                <w:sz w:val="19"/>
                <w:szCs w:val="19"/>
              </w:rPr>
              <w:t xml:space="preserve">Employer partnership fees</w:t>
            </w:r>
          </w:p>
        </w:tc>
        <w:tc>
          <w:tcPr>
            <w:tcW w:type="dxa" w:w="3120"/>
            <w:tcBorders>
              <w:top w:val="single" w:color="CCCCCC" w:sz="2"/>
              <w:left w:val="single" w:color="CCCCCC" w:sz="2"/>
              <w:bottom w:val="single" w:color="CCCCCC" w:sz="2"/>
              <w:right w:val="single" w:color="CCCCCC" w:sz="2"/>
            </w:tcBorders>
            <w:shd w:fill="FFFFFF" w:val="clear"/>
            <w:tcMar>
              <w:top w:type="dxa" w:w="90"/>
              <w:left w:type="dxa" w:w="120"/>
              <w:bottom w:type="dxa" w:w="90"/>
              <w:right w:type="dxa" w:w="120"/>
            </w:tcMar>
            <w:vAlign w:val="center"/>
          </w:tcPr>
          <w:p>
            <w:pPr>
              <w:spacing w:after="40"/>
            </w:pPr>
            <w:r>
              <w:rPr>
                <w:sz w:val="19"/>
                <w:szCs w:val="19"/>
              </w:rPr>
              <w:t xml:space="preserve">Pilot onward, modest</w:t>
            </w:r>
          </w:p>
        </w:tc>
        <w:tc>
          <w:tcPr>
            <w:tcW w:type="dxa" w:w="3120"/>
            <w:tcBorders>
              <w:top w:val="single" w:color="CCCCCC" w:sz="2"/>
              <w:left w:val="single" w:color="CCCCCC" w:sz="2"/>
              <w:bottom w:val="single" w:color="CCCCCC" w:sz="2"/>
              <w:right w:val="single" w:color="CCCCCC" w:sz="2"/>
            </w:tcBorders>
            <w:shd w:fill="FFFFFF" w:val="clear"/>
            <w:tcMar>
              <w:top w:type="dxa" w:w="90"/>
              <w:left w:type="dxa" w:w="120"/>
              <w:bottom w:type="dxa" w:w="90"/>
              <w:right w:type="dxa" w:w="120"/>
            </w:tcMar>
            <w:vAlign w:val="center"/>
          </w:tcPr>
          <w:p>
            <w:pPr>
              <w:spacing w:after="40"/>
            </w:pPr>
            <w:r>
              <w:rPr>
                <w:sz w:val="19"/>
                <w:szCs w:val="19"/>
              </w:rPr>
              <w:t xml:space="preserve">Document 05, Section 4</w:t>
            </w:r>
          </w:p>
        </w:tc>
      </w:tr>
      <w:tr>
        <w:tc>
          <w:tcPr>
            <w:tcW w:type="dxa" w:w="3120"/>
            <w:tcBorders>
              <w:top w:val="single" w:color="CCCCCC" w:sz="2"/>
              <w:left w:val="single" w:color="CCCCCC" w:sz="2"/>
              <w:bottom w:val="single" w:color="CCCCCC" w:sz="2"/>
              <w:right w:val="single" w:color="CCCCCC" w:sz="2"/>
            </w:tcBorders>
            <w:shd w:fill="F2F3F5" w:val="clear"/>
            <w:tcMar>
              <w:top w:type="dxa" w:w="90"/>
              <w:left w:type="dxa" w:w="120"/>
              <w:bottom w:type="dxa" w:w="90"/>
              <w:right w:type="dxa" w:w="120"/>
            </w:tcMar>
            <w:vAlign w:val="center"/>
          </w:tcPr>
          <w:p>
            <w:pPr>
              <w:spacing w:after="40"/>
            </w:pPr>
            <w:r>
              <w:rPr>
                <w:sz w:val="19"/>
                <w:szCs w:val="19"/>
              </w:rPr>
              <w:t xml:space="preserve">DFI / philanthropic capital</w:t>
            </w:r>
          </w:p>
        </w:tc>
        <w:tc>
          <w:tcPr>
            <w:tcW w:type="dxa" w:w="3120"/>
            <w:tcBorders>
              <w:top w:val="single" w:color="CCCCCC" w:sz="2"/>
              <w:left w:val="single" w:color="CCCCCC" w:sz="2"/>
              <w:bottom w:val="single" w:color="CCCCCC" w:sz="2"/>
              <w:right w:val="single" w:color="CCCCCC" w:sz="2"/>
            </w:tcBorders>
            <w:shd w:fill="F2F3F5" w:val="clear"/>
            <w:tcMar>
              <w:top w:type="dxa" w:w="90"/>
              <w:left w:type="dxa" w:w="120"/>
              <w:bottom w:type="dxa" w:w="90"/>
              <w:right w:type="dxa" w:w="120"/>
            </w:tcMar>
            <w:vAlign w:val="center"/>
          </w:tcPr>
          <w:p>
            <w:pPr>
              <w:spacing w:after="40"/>
            </w:pPr>
            <w:r>
              <w:rPr>
                <w:sz w:val="19"/>
                <w:szCs w:val="19"/>
              </w:rPr>
              <w:t xml:space="preserve">Pilot onward</w:t>
            </w:r>
          </w:p>
        </w:tc>
        <w:tc>
          <w:tcPr>
            <w:tcW w:type="dxa" w:w="3120"/>
            <w:tcBorders>
              <w:top w:val="single" w:color="CCCCCC" w:sz="2"/>
              <w:left w:val="single" w:color="CCCCCC" w:sz="2"/>
              <w:bottom w:val="single" w:color="CCCCCC" w:sz="2"/>
              <w:right w:val="single" w:color="CCCCCC" w:sz="2"/>
            </w:tcBorders>
            <w:shd w:fill="F2F3F5" w:val="clear"/>
            <w:tcMar>
              <w:top w:type="dxa" w:w="90"/>
              <w:left w:type="dxa" w:w="120"/>
              <w:bottom w:type="dxa" w:w="90"/>
              <w:right w:type="dxa" w:w="120"/>
            </w:tcMar>
            <w:vAlign w:val="center"/>
          </w:tcPr>
          <w:p>
            <w:pPr>
              <w:spacing w:after="40"/>
            </w:pPr>
            <w:r>
              <w:rPr>
                <w:sz w:val="19"/>
                <w:szCs w:val="19"/>
              </w:rPr>
              <w:t xml:space="preserve">Seed and scale capital, not recurring operating revenue</w:t>
            </w:r>
          </w:p>
        </w:tc>
      </w:tr>
      <w:tr>
        <w:tc>
          <w:tcPr>
            <w:tcW w:type="dxa" w:w="3120"/>
            <w:tcBorders>
              <w:top w:val="single" w:color="CCCCCC" w:sz="2"/>
              <w:left w:val="single" w:color="CCCCCC" w:sz="2"/>
              <w:bottom w:val="single" w:color="CCCCCC" w:sz="2"/>
              <w:right w:val="single" w:color="CCCCCC" w:sz="2"/>
            </w:tcBorders>
            <w:shd w:fill="FFFFFF" w:val="clear"/>
            <w:tcMar>
              <w:top w:type="dxa" w:w="90"/>
              <w:left w:type="dxa" w:w="120"/>
              <w:bottom w:type="dxa" w:w="90"/>
              <w:right w:type="dxa" w:w="120"/>
            </w:tcMar>
            <w:vAlign w:val="center"/>
          </w:tcPr>
          <w:p>
            <w:pPr>
              <w:spacing w:after="40"/>
            </w:pPr>
            <w:r>
              <w:rPr>
                <w:sz w:val="19"/>
                <w:szCs w:val="19"/>
              </w:rPr>
              <w:t xml:space="preserve">B-BBEE skills-development-linked employer contribution</w:t>
            </w:r>
          </w:p>
        </w:tc>
        <w:tc>
          <w:tcPr>
            <w:tcW w:type="dxa" w:w="3120"/>
            <w:tcBorders>
              <w:top w:val="single" w:color="CCCCCC" w:sz="2"/>
              <w:left w:val="single" w:color="CCCCCC" w:sz="2"/>
              <w:bottom w:val="single" w:color="CCCCCC" w:sz="2"/>
              <w:right w:val="single" w:color="CCCCCC" w:sz="2"/>
            </w:tcBorders>
            <w:shd w:fill="FFFFFF" w:val="clear"/>
            <w:tcMar>
              <w:top w:type="dxa" w:w="90"/>
              <w:left w:type="dxa" w:w="120"/>
              <w:bottom w:type="dxa" w:w="90"/>
              <w:right w:type="dxa" w:w="120"/>
            </w:tcMar>
            <w:vAlign w:val="center"/>
          </w:tcPr>
          <w:p>
            <w:pPr>
              <w:spacing w:after="40"/>
            </w:pPr>
            <w:r>
              <w:rPr>
                <w:sz w:val="19"/>
                <w:szCs w:val="19"/>
              </w:rPr>
              <w:t xml:space="preserve">Pilot onward</w:t>
            </w:r>
          </w:p>
        </w:tc>
        <w:tc>
          <w:tcPr>
            <w:tcW w:type="dxa" w:w="3120"/>
            <w:tcBorders>
              <w:top w:val="single" w:color="CCCCCC" w:sz="2"/>
              <w:left w:val="single" w:color="CCCCCC" w:sz="2"/>
              <w:bottom w:val="single" w:color="CCCCCC" w:sz="2"/>
              <w:right w:val="single" w:color="CCCCCC" w:sz="2"/>
            </w:tcBorders>
            <w:shd w:fill="FFFFFF" w:val="clear"/>
            <w:tcMar>
              <w:top w:type="dxa" w:w="90"/>
              <w:left w:type="dxa" w:w="120"/>
              <w:bottom w:type="dxa" w:w="90"/>
              <w:right w:type="dxa" w:w="120"/>
            </w:tcMar>
            <w:vAlign w:val="center"/>
          </w:tcPr>
          <w:p>
            <w:pPr>
              <w:spacing w:after="40"/>
            </w:pPr>
            <w:r>
              <w:rPr>
                <w:sz w:val="19"/>
                <w:szCs w:val="19"/>
              </w:rPr>
              <w:t xml:space="preserve">Where applicable under the Absorption Commitment Clause</w:t>
            </w:r>
          </w:p>
        </w:tc>
      </w:tr>
    </w:tbl>
    <w:p>
      <w:pPr>
        <w:pStyle w:val="Heading2"/>
      </w:pPr>
      <w:r>
        <w:t xml:space="preserve">1.3  Cost Lines</w:t>
      </w:r>
    </w:p>
    <w:p>
      <w:pPr>
        <w:spacing w:after="160" w:line="276"/>
        <w:jc w:val="left"/>
      </w:pPr>
      <w:r>
        <w:t xml:space="preserve">Staffing, facilities, participant stipends, curriculum and learning materials, psychosocial/counselling services, M&amp;E and technology, employer engagement, communications/admin, and contingency — the exact pilot-stage cost structure already costed at R8,778,000/year (R13,167,000 over 18 months) in the S.E.T.H.S. Complete Programme Specification, carried into the workbook's Pilot tab without alteration.</w:t>
      </w:r>
    </w:p>
    <w:p>
      <w:pPr>
        <w:pStyle w:val="Heading2"/>
      </w:pPr>
      <w:r>
        <w:t xml:space="preserve">1.4  Capital Structure</w:t>
      </w:r>
    </w:p>
    <w:p>
      <w:pPr>
        <w:spacing w:after="160" w:line="276"/>
        <w:jc w:val="left"/>
      </w:pPr>
      <w:r>
        <w:t xml:space="preserve">The M.A.D.I.B.A capital model (Document 00 §13.1) supplies the capital-structure assumptions: DFI and impact-capital tranches, government outcomes-based funding, and, at scale, royalty income from the international franchise network. This workbook does not model equity capital structure (share classes, cap table) — that is c-03, the existing G.O.D.S.-wide Cap Table &amp; Equity Structure document, referenced rather than duplicated here.</w:t>
      </w:r>
    </w:p>
    <w:p>
      <w:pPr>
        <w:pStyle w:val="Heading1"/>
      </w:pPr>
      <w:r>
        <w:t xml:space="preserve">2. Deliverables</w:t>
      </w:r>
    </w:p>
    <w:p>
      <w:pPr>
        <w:pStyle w:val="Heading2"/>
      </w:pPr>
      <w:r>
        <w:t xml:space="preserve">2.1  Excel Workbook — Scenario Tabs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3200"/>
        <w:gridCol w:w="4160"/>
      </w:tblGrid>
      <w:tr>
        <w:trPr>
          <w:tblHeader/>
        </w:trPr>
        <w:tc>
          <w:tcPr>
            <w:tcW w:type="dxa" w:w="1800"/>
            <w:tcBorders>
              <w:top w:val="single" w:color="CCCCCC" w:sz="2"/>
              <w:left w:val="single" w:color="CCCCCC" w:sz="2"/>
              <w:bottom w:val="single" w:color="CCCCCC" w:sz="2"/>
              <w:right w:val="single" w:color="CCCCCC" w:sz="2"/>
            </w:tcBorders>
            <w:shd w:fill="060E1C" w:val="clear"/>
            <w:tcMar>
              <w:top w:type="dxa" w:w="100"/>
              <w:left w:type="dxa" w:w="120"/>
              <w:bottom w:type="dxa" w:w="100"/>
              <w:right w:type="dxa" w:w="120"/>
            </w:tcMar>
            <w:vAlign w:val="center"/>
          </w:tcPr>
          <w:p>
            <w:r>
              <w:rPr>
                <w:b/>
                <w:bCs/>
                <w:color w:val="FFFFFF"/>
                <w:sz w:val="19"/>
                <w:szCs w:val="19"/>
              </w:rPr>
              <w:t xml:space="preserve">Tab</w:t>
            </w:r>
          </w:p>
        </w:tc>
        <w:tc>
          <w:tcPr>
            <w:tcW w:type="dxa" w:w="3200"/>
            <w:tcBorders>
              <w:top w:val="single" w:color="CCCCCC" w:sz="2"/>
              <w:left w:val="single" w:color="CCCCCC" w:sz="2"/>
              <w:bottom w:val="single" w:color="CCCCCC" w:sz="2"/>
              <w:right w:val="single" w:color="CCCCCC" w:sz="2"/>
            </w:tcBorders>
            <w:shd w:fill="060E1C" w:val="clear"/>
            <w:tcMar>
              <w:top w:type="dxa" w:w="100"/>
              <w:left w:type="dxa" w:w="120"/>
              <w:bottom w:type="dxa" w:w="100"/>
              <w:right w:type="dxa" w:w="120"/>
            </w:tcMar>
            <w:vAlign w:val="center"/>
          </w:tcPr>
          <w:p>
            <w:r>
              <w:rPr>
                <w:b/>
                <w:bCs/>
                <w:color w:val="FFFFFF"/>
                <w:sz w:val="19"/>
                <w:szCs w:val="19"/>
              </w:rPr>
              <w:t xml:space="preserve">Scope</w:t>
            </w:r>
          </w:p>
        </w:tc>
        <w:tc>
          <w:tcPr>
            <w:tcW w:type="dxa" w:w="4160"/>
            <w:tcBorders>
              <w:top w:val="single" w:color="CCCCCC" w:sz="2"/>
              <w:left w:val="single" w:color="CCCCCC" w:sz="2"/>
              <w:bottom w:val="single" w:color="CCCCCC" w:sz="2"/>
              <w:right w:val="single" w:color="CCCCCC" w:sz="2"/>
            </w:tcBorders>
            <w:shd w:fill="060E1C" w:val="clear"/>
            <w:tcMar>
              <w:top w:type="dxa" w:w="100"/>
              <w:left w:type="dxa" w:w="120"/>
              <w:bottom w:type="dxa" w:w="100"/>
              <w:right w:type="dxa" w:w="120"/>
            </w:tcMar>
            <w:vAlign w:val="center"/>
          </w:tcPr>
          <w:p>
            <w:r>
              <w:rPr>
                <w:b/>
                <w:bCs/>
                <w:color w:val="FFFFFF"/>
                <w:sz w:val="19"/>
                <w:szCs w:val="19"/>
              </w:rPr>
              <w:t xml:space="preserve">Anchor Data</w:t>
            </w:r>
          </w:p>
        </w:tc>
      </w:tr>
      <w:tr>
        <w:tc>
          <w:tcPr>
            <w:tcW w:type="dxa" w:w="1800"/>
            <w:tcBorders>
              <w:top w:val="single" w:color="CCCCCC" w:sz="2"/>
              <w:left w:val="single" w:color="CCCCCC" w:sz="2"/>
              <w:bottom w:val="single" w:color="CCCCCC" w:sz="2"/>
              <w:right w:val="single" w:color="CCCCCC" w:sz="2"/>
            </w:tcBorders>
            <w:shd w:fill="FFFFFF" w:val="clear"/>
            <w:tcMar>
              <w:top w:type="dxa" w:w="90"/>
              <w:left w:type="dxa" w:w="120"/>
              <w:bottom w:type="dxa" w:w="90"/>
              <w:right w:type="dxa" w:w="120"/>
            </w:tcMar>
            <w:vAlign w:val="center"/>
          </w:tcPr>
          <w:p>
            <w:pPr>
              <w:spacing w:after="40"/>
            </w:pPr>
            <w:r>
              <w:rPr>
                <w:sz w:val="19"/>
                <w:szCs w:val="19"/>
              </w:rPr>
              <w:t xml:space="preserve">Assumptions</w:t>
            </w:r>
          </w:p>
        </w:tc>
        <w:tc>
          <w:tcPr>
            <w:tcW w:type="dxa" w:w="3200"/>
            <w:tcBorders>
              <w:top w:val="single" w:color="CCCCCC" w:sz="2"/>
              <w:left w:val="single" w:color="CCCCCC" w:sz="2"/>
              <w:bottom w:val="single" w:color="CCCCCC" w:sz="2"/>
              <w:right w:val="single" w:color="CCCCCC" w:sz="2"/>
            </w:tcBorders>
            <w:shd w:fill="FFFFFF" w:val="clear"/>
            <w:tcMar>
              <w:top w:type="dxa" w:w="90"/>
              <w:left w:type="dxa" w:w="120"/>
              <w:bottom w:type="dxa" w:w="90"/>
              <w:right w:type="dxa" w:w="120"/>
            </w:tcMar>
            <w:vAlign w:val="center"/>
          </w:tcPr>
          <w:p>
            <w:pPr>
              <w:spacing w:after="40"/>
            </w:pPr>
            <w:r>
              <w:rPr>
                <w:sz w:val="19"/>
                <w:szCs w:val="19"/>
              </w:rPr>
              <w:t xml:space="preserve">Every input in Section 1.1, with source references</w:t>
            </w:r>
          </w:p>
        </w:tc>
        <w:tc>
          <w:tcPr>
            <w:tcW w:type="dxa" w:w="4160"/>
            <w:tcBorders>
              <w:top w:val="single" w:color="CCCCCC" w:sz="2"/>
              <w:left w:val="single" w:color="CCCCCC" w:sz="2"/>
              <w:bottom w:val="single" w:color="CCCCCC" w:sz="2"/>
              <w:right w:val="single" w:color="CCCCCC" w:sz="2"/>
            </w:tcBorders>
            <w:shd w:fill="FFFFFF" w:val="clear"/>
            <w:tcMar>
              <w:top w:type="dxa" w:w="90"/>
              <w:left w:type="dxa" w:w="120"/>
              <w:bottom w:type="dxa" w:w="90"/>
              <w:right w:type="dxa" w:w="120"/>
            </w:tcMar>
            <w:vAlign w:val="center"/>
          </w:tcPr>
          <w:p>
            <w:pPr>
              <w:spacing w:after="40"/>
            </w:pPr>
            <w:r>
              <w:rPr>
                <w:sz w:val="19"/>
                <w:szCs w:val="19"/>
              </w:rPr>
              <w:t xml:space="preserve">—</w:t>
            </w:r>
          </w:p>
        </w:tc>
      </w:tr>
      <w:tr>
        <w:tc>
          <w:tcPr>
            <w:tcW w:type="dxa" w:w="1800"/>
            <w:tcBorders>
              <w:top w:val="single" w:color="CCCCCC" w:sz="2"/>
              <w:left w:val="single" w:color="CCCCCC" w:sz="2"/>
              <w:bottom w:val="single" w:color="CCCCCC" w:sz="2"/>
              <w:right w:val="single" w:color="CCCCCC" w:sz="2"/>
            </w:tcBorders>
            <w:shd w:fill="F2F3F5" w:val="clear"/>
            <w:tcMar>
              <w:top w:type="dxa" w:w="90"/>
              <w:left w:type="dxa" w:w="120"/>
              <w:bottom w:type="dxa" w:w="90"/>
              <w:right w:type="dxa" w:w="120"/>
            </w:tcMar>
            <w:vAlign w:val="center"/>
          </w:tcPr>
          <w:p>
            <w:pPr>
              <w:spacing w:after="40"/>
            </w:pPr>
            <w:r>
              <w:rPr>
                <w:sz w:val="19"/>
                <w:szCs w:val="19"/>
              </w:rPr>
              <w:t xml:space="preserve">Pilot (Year 1)</w:t>
            </w:r>
          </w:p>
        </w:tc>
        <w:tc>
          <w:tcPr>
            <w:tcW w:type="dxa" w:w="3200"/>
            <w:tcBorders>
              <w:top w:val="single" w:color="CCCCCC" w:sz="2"/>
              <w:left w:val="single" w:color="CCCCCC" w:sz="2"/>
              <w:bottom w:val="single" w:color="CCCCCC" w:sz="2"/>
              <w:right w:val="single" w:color="CCCCCC" w:sz="2"/>
            </w:tcBorders>
            <w:shd w:fill="F2F3F5" w:val="clear"/>
            <w:tcMar>
              <w:top w:type="dxa" w:w="90"/>
              <w:left w:type="dxa" w:w="120"/>
              <w:bottom w:type="dxa" w:w="90"/>
              <w:right w:type="dxa" w:w="120"/>
            </w:tcMar>
            <w:vAlign w:val="center"/>
          </w:tcPr>
          <w:p>
            <w:pPr>
              <w:spacing w:after="40"/>
            </w:pPr>
            <w:r>
              <w:rPr>
                <w:sz w:val="19"/>
                <w:szCs w:val="19"/>
              </w:rPr>
              <w:t xml:space="preserve">50-participant single-node pilot</w:t>
            </w:r>
          </w:p>
        </w:tc>
        <w:tc>
          <w:tcPr>
            <w:tcW w:type="dxa" w:w="4160"/>
            <w:tcBorders>
              <w:top w:val="single" w:color="CCCCCC" w:sz="2"/>
              <w:left w:val="single" w:color="CCCCCC" w:sz="2"/>
              <w:bottom w:val="single" w:color="CCCCCC" w:sz="2"/>
              <w:right w:val="single" w:color="CCCCCC" w:sz="2"/>
            </w:tcBorders>
            <w:shd w:fill="F2F3F5" w:val="clear"/>
            <w:tcMar>
              <w:top w:type="dxa" w:w="90"/>
              <w:left w:type="dxa" w:w="120"/>
              <w:bottom w:type="dxa" w:w="90"/>
              <w:right w:type="dxa" w:w="120"/>
            </w:tcMar>
            <w:vAlign w:val="center"/>
          </w:tcPr>
          <w:p>
            <w:pPr>
              <w:spacing w:after="40"/>
            </w:pPr>
            <w:r>
              <w:rPr>
                <w:sz w:val="19"/>
                <w:szCs w:val="19"/>
              </w:rPr>
              <w:t xml:space="preserve">R8.78M annual / R13.17M 18-month budget</w:t>
            </w:r>
          </w:p>
        </w:tc>
      </w:tr>
      <w:tr>
        <w:tc>
          <w:tcPr>
            <w:tcW w:type="dxa" w:w="1800"/>
            <w:tcBorders>
              <w:top w:val="single" w:color="CCCCCC" w:sz="2"/>
              <w:left w:val="single" w:color="CCCCCC" w:sz="2"/>
              <w:bottom w:val="single" w:color="CCCCCC" w:sz="2"/>
              <w:right w:val="single" w:color="CCCCCC" w:sz="2"/>
            </w:tcBorders>
            <w:shd w:fill="FFFFFF" w:val="clear"/>
            <w:tcMar>
              <w:top w:type="dxa" w:w="90"/>
              <w:left w:type="dxa" w:w="120"/>
              <w:bottom w:type="dxa" w:w="90"/>
              <w:right w:type="dxa" w:w="120"/>
            </w:tcMar>
            <w:vAlign w:val="center"/>
          </w:tcPr>
          <w:p>
            <w:pPr>
              <w:spacing w:after="40"/>
            </w:pPr>
            <w:r>
              <w:rPr>
                <w:sz w:val="19"/>
                <w:szCs w:val="19"/>
              </w:rPr>
              <w:t xml:space="preserve">National Scale (Year 3)</w:t>
            </w:r>
          </w:p>
        </w:tc>
        <w:tc>
          <w:tcPr>
            <w:tcW w:type="dxa" w:w="3200"/>
            <w:tcBorders>
              <w:top w:val="single" w:color="CCCCCC" w:sz="2"/>
              <w:left w:val="single" w:color="CCCCCC" w:sz="2"/>
              <w:bottom w:val="single" w:color="CCCCCC" w:sz="2"/>
              <w:right w:val="single" w:color="CCCCCC" w:sz="2"/>
            </w:tcBorders>
            <w:shd w:fill="FFFFFF" w:val="clear"/>
            <w:tcMar>
              <w:top w:type="dxa" w:w="90"/>
              <w:left w:type="dxa" w:w="120"/>
              <w:bottom w:type="dxa" w:w="90"/>
              <w:right w:type="dxa" w:w="120"/>
            </w:tcMar>
            <w:vAlign w:val="center"/>
          </w:tcPr>
          <w:p>
            <w:pPr>
              <w:spacing w:after="40"/>
            </w:pPr>
            <w:r>
              <w:rPr>
                <w:sz w:val="19"/>
                <w:szCs w:val="19"/>
              </w:rPr>
              <w:t xml:space="preserve">Multi-node South Africa scale-up</w:t>
            </w:r>
          </w:p>
        </w:tc>
        <w:tc>
          <w:tcPr>
            <w:tcW w:type="dxa" w:w="4160"/>
            <w:tcBorders>
              <w:top w:val="single" w:color="CCCCCC" w:sz="2"/>
              <w:left w:val="single" w:color="CCCCCC" w:sz="2"/>
              <w:bottom w:val="single" w:color="CCCCCC" w:sz="2"/>
              <w:right w:val="single" w:color="CCCCCC" w:sz="2"/>
            </w:tcBorders>
            <w:shd w:fill="FFFFFF" w:val="clear"/>
            <w:tcMar>
              <w:top w:type="dxa" w:w="90"/>
              <w:left w:type="dxa" w:w="120"/>
              <w:bottom w:type="dxa" w:w="90"/>
              <w:right w:type="dxa" w:w="120"/>
            </w:tcMar>
            <w:vAlign w:val="center"/>
          </w:tcPr>
          <w:p>
            <w:pPr>
              <w:spacing w:after="40"/>
            </w:pPr>
            <w:r>
              <w:rPr>
                <w:sz w:val="19"/>
                <w:szCs w:val="19"/>
              </w:rPr>
              <w:t xml:space="preserve">Anchored to the company-wide model's Year 3 figure (~R64M)</w:t>
            </w:r>
          </w:p>
        </w:tc>
      </w:tr>
      <w:tr>
        <w:tc>
          <w:tcPr>
            <w:tcW w:type="dxa" w:w="1800"/>
            <w:tcBorders>
              <w:top w:val="single" w:color="CCCCCC" w:sz="2"/>
              <w:left w:val="single" w:color="CCCCCC" w:sz="2"/>
              <w:bottom w:val="single" w:color="CCCCCC" w:sz="2"/>
              <w:right w:val="single" w:color="CCCCCC" w:sz="2"/>
            </w:tcBorders>
            <w:shd w:fill="F2F3F5" w:val="clear"/>
            <w:tcMar>
              <w:top w:type="dxa" w:w="90"/>
              <w:left w:type="dxa" w:w="120"/>
              <w:bottom w:type="dxa" w:w="90"/>
              <w:right w:type="dxa" w:w="120"/>
            </w:tcMar>
            <w:vAlign w:val="center"/>
          </w:tcPr>
          <w:p>
            <w:pPr>
              <w:spacing w:after="40"/>
            </w:pPr>
            <w:r>
              <w:rPr>
                <w:sz w:val="19"/>
                <w:szCs w:val="19"/>
              </w:rPr>
              <w:t xml:space="preserve">Continental Scale (Year 5+)</w:t>
            </w:r>
          </w:p>
        </w:tc>
        <w:tc>
          <w:tcPr>
            <w:tcW w:type="dxa" w:w="3200"/>
            <w:tcBorders>
              <w:top w:val="single" w:color="CCCCCC" w:sz="2"/>
              <w:left w:val="single" w:color="CCCCCC" w:sz="2"/>
              <w:bottom w:val="single" w:color="CCCCCC" w:sz="2"/>
              <w:right w:val="single" w:color="CCCCCC" w:sz="2"/>
            </w:tcBorders>
            <w:shd w:fill="F2F3F5" w:val="clear"/>
            <w:tcMar>
              <w:top w:type="dxa" w:w="90"/>
              <w:left w:type="dxa" w:w="120"/>
              <w:bottom w:type="dxa" w:w="90"/>
              <w:right w:type="dxa" w:w="120"/>
            </w:tcMar>
            <w:vAlign w:val="center"/>
          </w:tcPr>
          <w:p>
            <w:pPr>
              <w:spacing w:after="40"/>
            </w:pPr>
            <w:r>
              <w:rPr>
                <w:sz w:val="19"/>
                <w:szCs w:val="19"/>
              </w:rPr>
              <w:t xml:space="preserve">First international nodes active</w:t>
            </w:r>
          </w:p>
        </w:tc>
        <w:tc>
          <w:tcPr>
            <w:tcW w:type="dxa" w:w="4160"/>
            <w:tcBorders>
              <w:top w:val="single" w:color="CCCCCC" w:sz="2"/>
              <w:left w:val="single" w:color="CCCCCC" w:sz="2"/>
              <w:bottom w:val="single" w:color="CCCCCC" w:sz="2"/>
              <w:right w:val="single" w:color="CCCCCC" w:sz="2"/>
            </w:tcBorders>
            <w:shd w:fill="F2F3F5" w:val="clear"/>
            <w:tcMar>
              <w:top w:type="dxa" w:w="90"/>
              <w:left w:type="dxa" w:w="120"/>
              <w:bottom w:type="dxa" w:w="90"/>
              <w:right w:type="dxa" w:w="120"/>
            </w:tcMar>
            <w:vAlign w:val="center"/>
          </w:tcPr>
          <w:p>
            <w:pPr>
              <w:spacing w:after="40"/>
            </w:pPr>
            <w:r>
              <w:rPr>
                <w:sz w:val="19"/>
                <w:szCs w:val="19"/>
              </w:rPr>
              <w:t xml:space="preserve">Anchored to the company-wide model's Year 5 figures (~R310M S.E.T.H.S.-only / ~R450M including T.S. Industries)</w:t>
            </w:r>
          </w:p>
        </w:tc>
      </w:tr>
      <w:tr>
        <w:tc>
          <w:tcPr>
            <w:tcW w:type="dxa" w:w="1800"/>
            <w:tcBorders>
              <w:top w:val="single" w:color="CCCCCC" w:sz="2"/>
              <w:left w:val="single" w:color="CCCCCC" w:sz="2"/>
              <w:bottom w:val="single" w:color="CCCCCC" w:sz="2"/>
              <w:right w:val="single" w:color="CCCCCC" w:sz="2"/>
            </w:tcBorders>
            <w:shd w:fill="FFFFFF" w:val="clear"/>
            <w:tcMar>
              <w:top w:type="dxa" w:w="90"/>
              <w:left w:type="dxa" w:w="120"/>
              <w:bottom w:type="dxa" w:w="90"/>
              <w:right w:type="dxa" w:w="120"/>
            </w:tcMar>
            <w:vAlign w:val="center"/>
          </w:tcPr>
          <w:p>
            <w:pPr>
              <w:spacing w:after="40"/>
            </w:pPr>
            <w:r>
              <w:rPr>
                <w:sz w:val="19"/>
                <w:szCs w:val="19"/>
              </w:rPr>
              <w:t xml:space="preserve">25-Year Horizon</w:t>
            </w:r>
          </w:p>
        </w:tc>
        <w:tc>
          <w:tcPr>
            <w:tcW w:type="dxa" w:w="3200"/>
            <w:tcBorders>
              <w:top w:val="single" w:color="CCCCCC" w:sz="2"/>
              <w:left w:val="single" w:color="CCCCCC" w:sz="2"/>
              <w:bottom w:val="single" w:color="CCCCCC" w:sz="2"/>
              <w:right w:val="single" w:color="CCCCCC" w:sz="2"/>
            </w:tcBorders>
            <w:shd w:fill="FFFFFF" w:val="clear"/>
            <w:tcMar>
              <w:top w:type="dxa" w:w="90"/>
              <w:left w:type="dxa" w:w="120"/>
              <w:bottom w:type="dxa" w:w="90"/>
              <w:right w:type="dxa" w:w="120"/>
            </w:tcMar>
            <w:vAlign w:val="center"/>
          </w:tcPr>
          <w:p>
            <w:pPr>
              <w:spacing w:after="40"/>
            </w:pPr>
            <w:r>
              <w:rPr>
                <w:sz w:val="19"/>
                <w:szCs w:val="19"/>
              </w:rPr>
              <w:t xml:space="preserve">Three scenarios: Conservative / Base / Growth</w:t>
            </w:r>
          </w:p>
        </w:tc>
        <w:tc>
          <w:tcPr>
            <w:tcW w:type="dxa" w:w="4160"/>
            <w:tcBorders>
              <w:top w:val="single" w:color="CCCCCC" w:sz="2"/>
              <w:left w:val="single" w:color="CCCCCC" w:sz="2"/>
              <w:bottom w:val="single" w:color="CCCCCC" w:sz="2"/>
              <w:right w:val="single" w:color="CCCCCC" w:sz="2"/>
            </w:tcBorders>
            <w:shd w:fill="FFFFFF" w:val="clear"/>
            <w:tcMar>
              <w:top w:type="dxa" w:w="90"/>
              <w:left w:type="dxa" w:w="120"/>
              <w:bottom w:type="dxa" w:w="90"/>
              <w:right w:type="dxa" w:w="120"/>
            </w:tcMar>
            <w:vAlign w:val="center"/>
          </w:tcPr>
          <w:p>
            <w:pPr>
              <w:spacing w:after="40"/>
            </w:pPr>
            <w:r>
              <w:rPr>
                <w:sz w:val="19"/>
                <w:szCs w:val="19"/>
              </w:rPr>
              <w:t xml:space="preserve">R25B / R60B / R140B, per the existing company-wide 25-year model</w:t>
            </w:r>
          </w:p>
        </w:tc>
      </w:tr>
      <w:tr>
        <w:tc>
          <w:tcPr>
            <w:tcW w:type="dxa" w:w="1800"/>
            <w:tcBorders>
              <w:top w:val="single" w:color="CCCCCC" w:sz="2"/>
              <w:left w:val="single" w:color="CCCCCC" w:sz="2"/>
              <w:bottom w:val="single" w:color="CCCCCC" w:sz="2"/>
              <w:right w:val="single" w:color="CCCCCC" w:sz="2"/>
            </w:tcBorders>
            <w:shd w:fill="F2F3F5" w:val="clear"/>
            <w:tcMar>
              <w:top w:type="dxa" w:w="90"/>
              <w:left w:type="dxa" w:w="120"/>
              <w:bottom w:type="dxa" w:w="90"/>
              <w:right w:type="dxa" w:w="120"/>
            </w:tcMar>
            <w:vAlign w:val="center"/>
          </w:tcPr>
          <w:p>
            <w:pPr>
              <w:spacing w:after="40"/>
            </w:pPr>
            <w:r>
              <w:rPr>
                <w:sz w:val="19"/>
                <w:szCs w:val="19"/>
              </w:rPr>
              <w:t xml:space="preserve">Investor Summary</w:t>
            </w:r>
          </w:p>
        </w:tc>
        <w:tc>
          <w:tcPr>
            <w:tcW w:type="dxa" w:w="3200"/>
            <w:tcBorders>
              <w:top w:val="single" w:color="CCCCCC" w:sz="2"/>
              <w:left w:val="single" w:color="CCCCCC" w:sz="2"/>
              <w:bottom w:val="single" w:color="CCCCCC" w:sz="2"/>
              <w:right w:val="single" w:color="CCCCCC" w:sz="2"/>
            </w:tcBorders>
            <w:shd w:fill="F2F3F5" w:val="clear"/>
            <w:tcMar>
              <w:top w:type="dxa" w:w="90"/>
              <w:left w:type="dxa" w:w="120"/>
              <w:bottom w:type="dxa" w:w="90"/>
              <w:right w:type="dxa" w:w="120"/>
            </w:tcMar>
            <w:vAlign w:val="center"/>
          </w:tcPr>
          <w:p>
            <w:pPr>
              <w:spacing w:after="40"/>
            </w:pPr>
            <w:r>
              <w:rPr>
                <w:sz w:val="19"/>
                <w:szCs w:val="19"/>
              </w:rPr>
              <w:t xml:space="preserve">One-page dashboard pulling from every tab above</w:t>
            </w:r>
          </w:p>
        </w:tc>
        <w:tc>
          <w:tcPr>
            <w:tcW w:type="dxa" w:w="4160"/>
            <w:tcBorders>
              <w:top w:val="single" w:color="CCCCCC" w:sz="2"/>
              <w:left w:val="single" w:color="CCCCCC" w:sz="2"/>
              <w:bottom w:val="single" w:color="CCCCCC" w:sz="2"/>
              <w:right w:val="single" w:color="CCCCCC" w:sz="2"/>
            </w:tcBorders>
            <w:shd w:fill="F2F3F5" w:val="clear"/>
            <w:tcMar>
              <w:top w:type="dxa" w:w="90"/>
              <w:left w:type="dxa" w:w="120"/>
              <w:bottom w:type="dxa" w:w="90"/>
              <w:right w:type="dxa" w:w="120"/>
            </w:tcMar>
            <w:vAlign w:val="center"/>
          </w:tcPr>
          <w:p>
            <w:pPr>
              <w:spacing w:after="40"/>
            </w:pPr>
            <w:r>
              <w:rPr>
                <w:sz w:val="19"/>
                <w:szCs w:val="19"/>
              </w:rPr>
              <w:t xml:space="preserve">—</w:t>
            </w:r>
          </w:p>
        </w:tc>
      </w:tr>
    </w:tbl>
    <w:p>
      <w:pPr>
        <w:pStyle w:val="Heading2"/>
      </w:pPr>
      <w:r>
        <w:t xml:space="preserve">2.2  Investor Summary Dashboard</w:t>
      </w:r>
    </w:p>
    <w:p>
      <w:pPr>
        <w:spacing w:after="160" w:line="276"/>
        <w:jc w:val="left"/>
      </w:pPr>
      <w:r>
        <w:t xml:space="preserve">A single tab presenting headline metrics — Year 1/3/5/10/25 revenue trajectory, break-even cohort size, and the economic multiplier (target 5:1 income earned per Rand of programme cost within 3 years) — pulling live from the underlying tabs so it never drifts out of sync with the detailed model.</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9A84C" w:sz="4"/>
              <w:left w:val="single" w:color="C9A84C" w:sz="4"/>
              <w:bottom w:val="single" w:color="C9A84C" w:sz="4"/>
              <w:right w:val="single" w:color="C9A84C" w:sz="4"/>
            </w:tcBorders>
            <w:shd w:fill="F7F1E0" w:val="clear"/>
            <w:tcMar>
              <w:top w:type="dxa" w:w="160"/>
              <w:left w:type="dxa" w:w="200"/>
              <w:bottom w:type="dxa" w:w="160"/>
              <w:right w:type="dxa" w:w="200"/>
            </w:tcMar>
          </w:tcPr>
          <w:p>
            <w:pPr>
              <w:spacing w:after="100"/>
            </w:pPr>
            <w:r>
              <w:rPr>
                <w:b/>
                <w:bCs/>
                <w:color w:val="8C7330"/>
              </w:rPr>
              <w:t xml:space="preserve">Honesty tier — what is proven, what is designed, what is aspirational</w:t>
            </w:r>
          </w:p>
          <w:p>
            <w:pPr>
              <w:spacing w:after="60"/>
            </w:pPr>
            <w:r>
              <w:rPr>
                <w:b/>
                <w:bCs/>
              </w:rPr>
              <w:t xml:space="preserve">Proven / live:  </w:t>
            </w:r>
            <w:r>
              <w:t xml:space="preserve">The pilot-stage cost structure is fully costed and sourced from the existing S.E.T.H.S. Complete Programme Specification; the National/Continental/25-Year figures are anchored to the existing, already-produced company-wide five-year and 25-year models.</w:t>
            </w:r>
          </w:p>
          <w:p>
            <w:pPr>
              <w:spacing w:after="60"/>
            </w:pPr>
            <w:r>
              <w:rPr>
                <w:b/>
                <w:bCs/>
              </w:rPr>
              <w:t xml:space="preserve">Designed / production-specified, not yet built:  </w:t>
            </w:r>
            <w:r>
              <w:t xml:space="preserve">This workbook's formulas and scenario structure are newly built for this package; they have not yet been populated with any live actuals, since the pilot has not yet launched.</w:t>
            </w:r>
          </w:p>
          <w:p>
            <w:pPr>
              <w:spacing w:after="0"/>
            </w:pPr>
            <w:r>
              <w:rPr>
                <w:b/>
                <w:bCs/>
              </w:rPr>
              <w:t xml:space="preserve">Aspirational / long-horizon:  </w:t>
            </w:r>
            <w:r>
              <w:t xml:space="preserve">The 25-year, three-scenario range (R25B/R60B/R140B) remains, as already flagged in the company-wide materials, a long-horizon planning range rather than a forecast with meaningful year-25 precision — treat it as directional, not a number to defend to a decimal place.</w:t>
            </w:r>
          </w:p>
        </w:tc>
      </w:tr>
    </w:tbl>
    <w:p>
      <w:pPr>
        <w:pStyle w:val="Heading1"/>
      </w:pPr>
      <w:r>
        <w:t xml:space="preserve">Implementation Checklist</w:t>
      </w:r>
    </w:p>
    <w:p>
      <w:pPr>
        <w:pStyle w:val="ListParagraph"/>
        <w:numPr>
          <w:ilvl w:val="0"/>
          <w:numId w:val="2"/>
        </w:numPr>
        <w:spacing w:after="100" w:line="276"/>
      </w:pPr>
      <w:r>
        <w:t xml:space="preserve">Open the accompanying workbook (GBS-SETHS_07_Financial_Model_Workbook.xlsx) and confirm every yellow-highlighted assumption cell against current, SJS-approved figures before external circulation.</w:t>
      </w:r>
    </w:p>
    <w:p>
      <w:pPr>
        <w:pStyle w:val="ListParagraph"/>
        <w:numPr>
          <w:ilvl w:val="0"/>
          <w:numId w:val="2"/>
        </w:numPr>
        <w:spacing w:after="100" w:line="276"/>
      </w:pPr>
      <w:r>
        <w:t xml:space="preserve">Replace Pilot-tab assumptions with actuals cohort by cohort once Stage 1 (Document 00, Part VII) is underway.</w:t>
      </w:r>
    </w:p>
    <w:p>
      <w:pPr>
        <w:pStyle w:val="ListParagraph"/>
        <w:numPr>
          <w:ilvl w:val="0"/>
          <w:numId w:val="2"/>
        </w:numPr>
        <w:spacing w:after="100" w:line="276"/>
      </w:pPr>
      <w:r>
        <w:t xml:space="preserve">Reconcile this workbook's Assumptions tab against c-01 and c-05 at each update, so the GBS-SETHS-specific model and the company-wide model never silently diverge.</w:t>
      </w:r>
    </w:p>
    <w:p>
      <w:pPr>
        <w:pBdr>
          <w:bottom w:val="single" w:color="C9A84C" w:sz="6"/>
        </w:pBdr>
        <w:spacing w:after="120" w:before="120"/>
      </w:pPr>
    </w:p>
    <w:p>
      <w:pPr>
        <w:spacing w:after="40" w:before="200"/>
        <w:jc w:val="center"/>
      </w:pPr>
      <w:r>
        <w:rPr>
          <w:color w:val="5B6472"/>
          <w:sz w:val="18"/>
          <w:szCs w:val="18"/>
        </w:rPr>
        <w:t xml:space="preserve">GBS-SETHS Financial Model Workbook — Narrative Companion · G.O.D.S Holdings (Pty) Ltd · IP Trust Protected · July 2026</w:t>
      </w:r>
    </w:p>
    <w:p>
      <w:pPr>
        <w:spacing w:after="40"/>
        <w:jc w:val="center"/>
      </w:pPr>
      <w:r>
        <w:rPr>
          <w:color w:val="5B6472"/>
          <w:sz w:val="16"/>
          <w:szCs w:val="16"/>
        </w:rPr>
        <w:t xml:space="preserve">All intellectual property held in the G.O.D.S. IP Trust under the Trust Property Control Act 57 of 1988</w:t>
      </w:r>
    </w:p>
    <w:p>
      <w:pPr>
        <w:spacing w:after="0"/>
        <w:jc w:val="center"/>
      </w:pPr>
      <w:r>
        <w:rPr>
          <w:color w:val="5B6472"/>
          <w:sz w:val="16"/>
          <w:szCs w:val="16"/>
        </w:rPr>
        <w:t xml:space="preserve">Founder &amp; Architect: Sashin J. Singh  ·  sashin.singh@outlook.com  ·  capstoneprojectsjs.netlify.app</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C9A84C" w:sz="4"/>
      </w:pBdr>
      <w:tabs>
        <w:tab w:val="right" w:pos="9026"/>
      </w:tabs>
    </w:pPr>
    <w:r>
      <w:rPr>
        <w:color w:val="5B6472"/>
        <w:sz w:val="15"/>
        <w:szCs w:val="15"/>
      </w:rPr>
      <w:t xml:space="preserve">CONFIDENTIAL · G.O.D.S Holdings (Pty) Ltd · IP Trust Protected</w:t>
    </w:r>
    <w:r>
      <w:rPr>
        <w:color w:val="5B6472"/>
        <w:sz w:val="15"/>
        <w:szCs w:val="15"/>
      </w:rPr>
      <w:t xml:space="preserve">	Page </w:t>
    </w:r>
    <w:r>
      <w:rPr>
        <w:color w:val="5B6472"/>
        <w:sz w:val="15"/>
        <w:szCs w:val="15"/>
      </w:rPr>
      <w:fldChar w:fldCharType="begin"/>
      <w:instrText xml:space="preserve">PAGE</w:instrText>
      <w:fldChar w:fldCharType="separate"/>
      <w:fldChar w:fldCharType="end"/>
    </w:r>
    <w:r>
      <w:rPr>
        <w:color w:val="5B6472"/>
        <w:sz w:val="15"/>
        <w:szCs w:val="15"/>
      </w:rPr>
      <w:t xml:space="preserve"> of </w:t>
    </w:r>
    <w:r>
      <w:rPr>
        <w:color w:val="5B6472"/>
        <w:sz w:val="15"/>
        <w:szCs w:val="15"/>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C9A84C" w:sz="4"/>
      </w:pBdr>
      <w:tabs>
        <w:tab w:val="right" w:pos="9026"/>
      </w:tabs>
    </w:pPr>
    <w:r>
      <w:rPr>
        <w:color w:val="5B6472"/>
        <w:sz w:val="15"/>
        <w:szCs w:val="15"/>
      </w:rPr>
      <w:t xml:space="preserve">G.O.D.S HOLDINGS · GBS-SETHS</w:t>
    </w:r>
    <w:r>
      <w:rPr>
        <w:color w:val="5B6472"/>
        <w:sz w:val="15"/>
        <w:szCs w:val="15"/>
      </w:rPr>
      <w:t xml:space="preserve">	GBS-SETHS Financial Model Workbook</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420" w:hanging="260"/>
      </w:pPr>
    </w:lvl>
    <w:lvl w:ilvl="1" w15:tentative="1">
      <w:start w:val="1"/>
      <w:numFmt w:val="bullet"/>
      <w:lvlText w:val="◦"/>
      <w:lvlJc w:val="left"/>
      <w:pPr>
        <w:ind w:left="840" w:hanging="260"/>
      </w:pPr>
    </w:lvl>
  </w:abstractNum>
  <w:abstractNum w:abstractNumId="3" w15:restartNumberingAfterBreak="0">
    <w:multiLevelType w:val="hybridMultilevel"/>
    <w:lvl w:ilvl="0" w15:tentative="1">
      <w:start w:val="1"/>
      <w:numFmt w:val="decimal"/>
      <w:lvlText w:val="%1."/>
      <w:lvlJc w:val="left"/>
      <w:pPr>
        <w:ind w:left="420" w:hanging="260"/>
      </w:pPr>
    </w:lvl>
  </w:abstractNum>
  <w:num w:numId="1">
    <w:abstractNumId w:val="1"/>
    <w:lvlOverride w:ilvl="0">
      <w:startOverride w:val="1"/>
    </w:lvlOverride>
  </w:num>
  <w:num w:numId="2">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16233A"/>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pBdr>
        <w:bottom w:val="single" w:color="C9A84C" w:sz="8" w:space="4"/>
      </w:pBdr>
      <w:spacing w:after="200" w:before="360"/>
    </w:pPr>
    <w:rPr>
      <w:rFonts w:ascii="Arial" w:cs="Arial" w:eastAsia="Arial" w:hAnsi="Arial"/>
      <w:b/>
      <w:bCs/>
      <w:color w:val="16233A"/>
      <w:sz w:val="30"/>
      <w:szCs w:val="30"/>
    </w:rPr>
  </w:style>
  <w:style w:type="paragraph" w:styleId="Heading2">
    <w:name w:val="Heading 2"/>
    <w:basedOn w:val="Normal"/>
    <w:next w:val="Normal"/>
    <w:qFormat/>
    <w:pPr>
      <w:spacing w:after="140" w:before="280"/>
    </w:pPr>
    <w:rPr>
      <w:rFonts w:ascii="Arial" w:cs="Arial" w:eastAsia="Arial" w:hAnsi="Arial"/>
      <w:b/>
      <w:bCs/>
      <w:color w:val="8C7330"/>
      <w:sz w:val="25"/>
      <w:szCs w:val="25"/>
    </w:rPr>
  </w:style>
  <w:style w:type="paragraph" w:styleId="Heading3">
    <w:name w:val="Heading 3"/>
    <w:basedOn w:val="Normal"/>
    <w:next w:val="Normal"/>
    <w:qFormat/>
    <w:pPr>
      <w:spacing w:after="100" w:before="200"/>
    </w:pPr>
    <w:rPr>
      <w:rFonts w:ascii="Arial" w:cs="Arial" w:eastAsia="Arial" w:hAnsi="Arial"/>
      <w:b/>
      <w:bCs/>
      <w:i/>
      <w:iCs/>
      <w:color w:val="16233A"/>
      <w:sz w:val="21"/>
      <w:szCs w:val="21"/>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2026-07-10T08:39:44.804Z</dcterms:created>
  <dcterms:modified xsi:type="dcterms:W3CDTF">2026-07-10T08:39:44.804Z</dcterms:modified>
</cp:coreProperties>
</file>

<file path=docProps/custom.xml><?xml version="1.0" encoding="utf-8"?>
<Properties xmlns="http://schemas.openxmlformats.org/officeDocument/2006/custom-properties" xmlns:vt="http://schemas.openxmlformats.org/officeDocument/2006/docPropsVTypes"/>
</file>