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00"/>
        <w:jc w:val="center"/>
      </w:pPr>
      <w:r>
        <w:rPr>
          <w:b/>
          <w:bCs/>
          <w:color w:val="16233A"/>
          <w:sz w:val="22"/>
          <w:szCs w:val="22"/>
        </w:rPr>
        <w:t xml:space="preserve">G . O . D . S   H O L D I N G S</w:t>
      </w:r>
    </w:p>
    <w:p>
      <w:pPr>
        <w:spacing w:after="320"/>
        <w:jc w:val="center"/>
      </w:pPr>
      <w:r>
        <w:rPr>
          <w:color w:val="5B6472"/>
          <w:sz w:val="16"/>
          <w:szCs w:val="16"/>
        </w:rPr>
        <w:t xml:space="preserve">GOOD ORDERLY DIRECTIONAL SYSTEMS  ·  GBS-SETHS INSTITUTIONAL READINESS PACKAGE</w:t>
      </w:r>
    </w:p>
    <w:p>
      <w:pPr>
        <w:spacing w:after="120"/>
        <w:jc w:val="center"/>
      </w:pPr>
      <w:r>
        <w:rPr>
          <w:b/>
          <w:bCs/>
          <w:color w:val="8C7330"/>
          <w:sz w:val="18"/>
          <w:szCs w:val="18"/>
        </w:rPr>
        <w:t xml:space="preserve">DOCUMENT 00 of 11 — CONSOLIDATED FOUNDATION OF 11</w:t>
      </w:r>
    </w:p>
    <w:p>
      <w:pPr>
        <w:spacing w:after="160"/>
        <w:jc w:val="center"/>
      </w:pPr>
      <w:r>
        <w:rPr>
          <w:b/>
          <w:bCs/>
          <w:color w:val="16233A"/>
          <w:sz w:val="40"/>
          <w:szCs w:val="40"/>
        </w:rPr>
        <w:t xml:space="preserve">GBS-SETHS</w:t>
      </w:r>
    </w:p>
    <w:p>
      <w:pPr>
        <w:spacing w:after="400"/>
        <w:jc w:val="center"/>
      </w:pPr>
      <w:r>
        <w:rPr>
          <w:i/>
          <w:iCs/>
          <w:color w:val="5B6472"/>
          <w:sz w:val="24"/>
          <w:szCs w:val="24"/>
        </w:rPr>
        <w:t xml:space="preserve">Global Belief System · Systematically Engineered Transfer of Human Systems</w:t>
      </w:r>
    </w:p>
    <w:p>
      <w:pPr>
        <w:spacing w:after="100"/>
        <w:jc w:val="center"/>
      </w:pPr>
      <w:r>
        <w:rPr>
          <w:color w:val="16233A"/>
          <w:sz w:val="20"/>
          <w:szCs w:val="20"/>
        </w:rPr>
        <w:t xml:space="preserve">CONSOLIDATED SUPER FRAMEWORK · v3.0 · MERGES v1.0 + v2.0 INTO ONE MASTER INSTITUTIONAL DOCUMENT</w:t>
      </w:r>
    </w:p>
    <w:p>
      <w:pPr>
        <w:spacing w:after="400"/>
        <w:jc w:val="center"/>
      </w:pPr>
      <w:r>
        <w:rPr>
          <w:color w:val="5B6472"/>
          <w:sz w:val="18"/>
          <w:szCs w:val="18"/>
        </w:rPr>
        <w:t xml:space="preserve">Version 3.0 · July 2026 · Supersedes v1.0 (July 2026) and v2.0 (July 2026) — nothing from either prior version is discarded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60"/>
            </w:pPr>
            <w:r>
              <w:rPr>
                <w:b/>
                <w:bCs/>
              </w:rPr>
              <w:t xml:space="preserve">Architect &amp; Founder:  </w:t>
            </w:r>
            <w:r>
              <w:t xml:space="preserve">Sashin J. Singh</w:t>
            </w:r>
          </w:p>
          <w:p>
            <w:pPr>
              <w:spacing w:after="60"/>
            </w:pPr>
            <w:r>
              <w:rPr>
                <w:b/>
                <w:bCs/>
              </w:rPr>
              <w:t xml:space="preserve">Institution:  </w:t>
            </w:r>
            <w:r>
              <w:t xml:space="preserve">G.O.D.S Holdings (Pty) Ltd — Pre-Registration, Johannesburg, South Africa</w:t>
            </w:r>
          </w:p>
          <w:p>
            <w:pPr>
              <w:spacing w:after="60"/>
            </w:pPr>
            <w:r>
              <w:rPr>
                <w:b/>
                <w:bCs/>
              </w:rPr>
              <w:t xml:space="preserve">IP Custodian:  </w:t>
            </w:r>
            <w:r>
              <w:t xml:space="preserve">G.O.D.S IP Trust — Trust Property Control Act 57 of 1988</w:t>
            </w:r>
          </w:p>
          <w:p>
            <w:pPr>
              <w:spacing w:after="60"/>
            </w:pPr>
            <w:r>
              <w:rPr>
                <w:b/>
                <w:bCs/>
              </w:rPr>
              <w:t xml:space="preserve">Document Classification:  </w:t>
            </w:r>
            <w:r>
              <w:t xml:space="preserve">OPEN — Institutional Adoption Invitation</w:t>
            </w:r>
          </w:p>
          <w:p>
            <w:pPr>
              <w:spacing w:after="0"/>
            </w:pPr>
            <w:r>
              <w:rPr>
                <w:b/>
                <w:bCs/>
              </w:rPr>
              <w:t xml:space="preserve">Package:  </w:t>
            </w:r>
            <w:r>
              <w:t xml:space="preserve">GBS-SETHS Institutional Readiness Package — consolidating GBS-SETHS Framework v1.0/v2.0 with 10 companion registration-grade instruments</w:t>
            </w:r>
          </w:p>
        </w:tc>
      </w:tr>
    </w:tbl>
    <w:p>
      <w:pPr>
        <w:spacing w:after="3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0"/>
            </w:pPr>
            <w:r>
              <w:rPr>
                <w:b/>
                <w:bCs/>
              </w:rPr>
              <w:t xml:space="preserve">Authorship declaration.  </w:t>
            </w:r>
            <w:r>
              <w:t xml:space="preserve">This document translates a decade of Sashin J. Singh's original institutional architecture — conceived 2016 (Seth's Empire, Johannesburg), continuously refined through personal, academic, and lived development, and previously formalised in GBS-SETHS v1.0/v2.0, the G.O.D.S. data room, and the live institutional platform — into a registration-grade instrument. AI production tools were used to draft, structure, cross-reference, and format this document from that existing body of work and from SJS's direct specification of its required structure and content. The architecture, the pillars, the methodology, the terminology, and the decade of lived commitment are SJS's own. AI did not originate the institutional design; it produced the document.</w:t>
            </w:r>
          </w:p>
        </w:tc>
      </w:tr>
    </w:tbl>
    <w:p>
      <w:r>
        <w:br w:type="page"/>
      </w:r>
    </w:p>
    <w:p>
      <w:pPr>
        <w:pStyle w:val="Heading1"/>
      </w:pPr>
      <w:r>
        <w:t xml:space="preserve">Front Matter — How This Document Was Built</w:t>
      </w:r>
    </w:p>
    <w:p>
      <w:pPr>
        <w:spacing w:after="160" w:line="276"/>
        <w:jc w:val="left"/>
      </w:pPr>
      <w:r>
        <w:rPr>
          <w:b/>
          <w:bCs/>
        </w:rPr>
        <w:t xml:space="preserve">This is a consolidation, not a rewrite. </w:t>
      </w:r>
      <w:r>
        <w:t xml:space="preserve">GBS-SETHS v1.0 (10 sections, July 2026) and GBS-SETHS v2.0 (15 sections, July 2026) were both complete, independently useful documents that had grown in parallel — v2.0 expanded the constitutional and architectural depth (the Ten-Level System, the G.O.D.S. Intelligence System, the Seven GBS Universal Pillars, the AI Workforce Adaptation Framework, the Skills Passport, the UDOC Nine-Module Architecture, the Seven-Region Deployment Strategy, the 250-Year Roadmap) while v1.0 retained granular operational content that v2.0 did not carry forward — the Certification Standards tier system, the Stage 0–6 Implementation Roadmap with concrete monthly milestones, the full Self-Affirmation Contract text, and the Franchise Licensing Economics table. Read side by side, neither version was wrong or superseded — they were complementary drafts of the same institution, written at different levels of resolution.</w:t>
      </w:r>
    </w:p>
    <w:p>
      <w:pPr>
        <w:spacing w:after="160" w:line="276"/>
        <w:jc w:val="left"/>
      </w:pPr>
      <w:r>
        <w:t xml:space="preserve">This Version 3.0 merges both without loss. Every substantive element of v1.0 and every substantive element of v2.0 appears here once, in the most complete form either version stated it, organised into a single nine-part architecture. Where the two versions described the same thing from different angles — the Country-Specific Deployment table in v1.0 and the Seven-Region Deployment Strategy in v2.0, for example — both are retained side by side because they answer different questions (near-term sequencing versus end-state regional architecture) rather than one being collapsed into the other.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One naming discrepancy is flagged here, not silently resolved.</w:t>
            </w:r>
          </w:p>
          <w:p>
            <w:pPr>
              <w:spacing w:after="160" w:line="276"/>
              <w:jc w:val="left"/>
            </w:pPr>
            <w:r>
              <w:t xml:space="preserve">GBS-SETHS Framework v1.0 and v2.0 both consistently expand S.E.T.H.S. as </w:t>
            </w:r>
            <w:r>
              <w:rPr>
                <w:i/>
                <w:iCs/>
              </w:rPr>
              <w:t xml:space="preserve">"Systematically Engineered Transfer of Human Systems."</w:t>
            </w:r>
            <w:r>
              <w:t xml:space="preserve"> Two other current SJS documents — the Constitutional Governance Charter / MOI Blueprint, and the live institutional platform (capstoneprojectsjs.netlify.app), fetched the same day this consolidation was produced — consistently use </w:t>
            </w:r>
            <w:r>
              <w:rPr>
                <w:i/>
                <w:iCs/>
              </w:rPr>
              <w:t xml:space="preserve">"Systematically Engineered To Hinder Speculators"</w:t>
            </w:r>
            <w:r>
              <w:t xml:space="preserve"> instead. Both phrasings appear multiple times, in multiple places, in what are each internally consistent documents. This consolidation preserves the expansion used inside v1.0/v2.0 themselves, since that is the material being merged. It does not silently pick a winner across the wider document set. This is now the fifth cross-document discrepancy on record, alongside T.S. Industries naming, the patent-count variance, the T.S. sector-count variance, and the World Problems count — see GODS_DataRoom_Reference.md. One sentence from SJS confirming which expansion is canonical resolves it everywhere at once.</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1600"/>
        <w:gridCol w:w="2360"/>
        <w:gridCol w:w="4000"/>
      </w:tblGrid>
      <w:tr>
        <w:trPr>
          <w:tblHeader/>
        </w:trPr>
        <w:tc>
          <w:tcPr>
            <w:tcW w:type="dxa" w:w="1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Version</w:t>
            </w:r>
          </w:p>
        </w:tc>
        <w:tc>
          <w:tcPr>
            <w:tcW w:type="dxa" w:w="1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Date</w:t>
            </w:r>
          </w:p>
        </w:tc>
        <w:tc>
          <w:tcPr>
            <w:tcW w:type="dxa" w:w="23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Author</w:t>
            </w:r>
          </w:p>
        </w:tc>
        <w:tc>
          <w:tcPr>
            <w:tcW w:type="dxa" w:w="40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Change Summary</w:t>
            </w:r>
          </w:p>
        </w:tc>
      </w:tr>
      <w:tr>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1.0</w:t>
            </w:r>
          </w:p>
        </w:tc>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July 2026</w:t>
            </w:r>
          </w:p>
        </w:tc>
        <w:tc>
          <w:tcPr>
            <w:tcW w:type="dxa" w:w="23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SJS + AI documentation assistance</w:t>
            </w:r>
          </w:p>
        </w:tc>
        <w:tc>
          <w:tcPr>
            <w:tcW w:type="dxa" w:w="4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First complete institutional articulation — 10 sections</w:t>
            </w:r>
          </w:p>
        </w:tc>
      </w:tr>
      <w:tr>
        <w:tc>
          <w:tcPr>
            <w:tcW w:type="dxa" w:w="1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2.0</w:t>
            </w:r>
          </w:p>
        </w:tc>
        <w:tc>
          <w:tcPr>
            <w:tcW w:type="dxa" w:w="1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July 2026</w:t>
            </w:r>
          </w:p>
        </w:tc>
        <w:tc>
          <w:tcPr>
            <w:tcW w:type="dxa" w:w="23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SJS + AI documentation assistance</w:t>
            </w:r>
          </w:p>
        </w:tc>
        <w:tc>
          <w:tcPr>
            <w:tcW w:type="dxa" w:w="4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Expanded to full constitutional/architectural depth — 15 sections</w:t>
            </w:r>
          </w:p>
        </w:tc>
      </w:tr>
      <w:tr>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3.0</w:t>
            </w:r>
          </w:p>
        </w:tc>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July 2026</w:t>
            </w:r>
          </w:p>
        </w:tc>
        <w:tc>
          <w:tcPr>
            <w:tcW w:type="dxa" w:w="23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SJS + AI documentation assistance</w:t>
            </w:r>
          </w:p>
        </w:tc>
        <w:tc>
          <w:tcPr>
            <w:tcW w:type="dxa" w:w="4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Consolidated super version — merges v1.0 and v2.0 without loss; corrects unemployment figures to Stats SA Q1 2026 primary source (32.7%/60.9%); reframes UDOC build-status language against the live site's current honesty markers; flags the S.E.T.H.S. acronym discrepancy explicitly rather than picking a side</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Systemic trace — the seven GBS questions this document answers</w:t>
            </w:r>
          </w:p>
          <w:p>
            <w:pPr>
              <w:spacing w:after="60"/>
            </w:pPr>
            <w:r>
              <w:rPr>
                <w:b/>
                <w:bCs/>
              </w:rPr>
              <w:t xml:space="preserve">What information exists?  </w:t>
            </w:r>
            <w:r>
              <w:t xml:space="preserve">A decade of original institutional design — the Constitutional Pillars, the GBS philosophy, the S.E.T.H.S. methodology, the franchise architecture, the capital model — much of it now formalised across two prior framework versions plus the wider 73-document data room.</w:t>
            </w:r>
          </w:p>
          <w:p>
            <w:pPr>
              <w:spacing w:after="60"/>
            </w:pPr>
            <w:r>
              <w:rPr>
                <w:b/>
                <w:bCs/>
              </w:rPr>
              <w:t xml:space="preserve">How is it communicated?  </w:t>
            </w:r>
            <w:r>
              <w:t xml:space="preserve">Through this consolidated document itself, the live institutional platform, the pledge register, and direct engagement with DFIs, government desks, and franchise partners as GBS-SETHS scales.</w:t>
            </w:r>
          </w:p>
          <w:p>
            <w:pPr>
              <w:spacing w:after="60"/>
            </w:pPr>
            <w:r>
              <w:rPr>
                <w:b/>
                <w:bCs/>
              </w:rPr>
              <w:t xml:space="preserve">How is it transported?  </w:t>
            </w:r>
            <w:r>
              <w:t xml:space="preserve">By UDOC's governance and audit infrastructure, the GBS Intelligence System, and the franchise licensing chain (Layer 1 → 2 → 3 → 4 → 5) that carries the constitutional standard intact wherever it is licensed.</w:t>
            </w:r>
          </w:p>
          <w:p>
            <w:pPr>
              <w:spacing w:after="60"/>
            </w:pPr>
            <w:r>
              <w:rPr>
                <w:b/>
                <w:bCs/>
              </w:rPr>
              <w:t xml:space="preserve">How is it received?  </w:t>
            </w:r>
            <w:r>
              <w:t xml:space="preserve">By participants (via the CET/CTE loop and the Skills Passport), by franchise operators (via certification), and by capital partners (via UDOC-verified outcome data).</w:t>
            </w:r>
          </w:p>
          <w:p>
            <w:pPr>
              <w:spacing w:after="60"/>
            </w:pPr>
            <w:r>
              <w:rPr>
                <w:b/>
                <w:bCs/>
              </w:rPr>
              <w:t xml:space="preserve">How is learning/compliance verified?  </w:t>
            </w:r>
            <w:r>
              <w:t xml:space="preserve">Through UDOC's sealed audit trail, the COB's constitutional compliance review, and outcome-based certification tiers that require evidence, not attendance.</w:t>
            </w:r>
          </w:p>
          <w:p>
            <w:pPr>
              <w:spacing w:after="60"/>
            </w:pPr>
            <w:r>
              <w:rPr>
                <w:b/>
                <w:bCs/>
              </w:rPr>
              <w:t xml:space="preserve">How is the process repeated?  </w:t>
            </w:r>
            <w:r>
              <w:t xml:space="preserve">Through the CTE loop — graduates become mentors, mentors deliver the next cohort — and through the franchise model's replication of certified nodes.</w:t>
            </w:r>
          </w:p>
          <w:p>
            <w:pPr>
              <w:spacing w:after="0"/>
            </w:pPr>
            <w:r>
              <w:rPr>
                <w:b/>
                <w:bCs/>
              </w:rPr>
              <w:t xml:space="preserve">How does it scale to civilisational level?  </w:t>
            </w:r>
            <w:r>
              <w:t xml:space="preserve">From one participant, to one national pilot, to a five-layer global franchise network operating under one constitutional standard across seven world regions, over a 250-year mandate.</w:t>
            </w:r>
          </w:p>
        </w:tc>
      </w:tr>
    </w:tbl>
    <w:p>
      <w:r>
        <w:br w:type="page"/>
      </w:r>
    </w:p>
    <w:p>
      <w:pPr>
        <w:spacing w:after="60" w:before="200"/>
      </w:pPr>
      <w:r>
        <w:rPr>
          <w:b/>
          <w:bCs/>
          <w:color w:val="8C7330"/>
          <w:sz w:val="22"/>
          <w:szCs w:val="22"/>
        </w:rPr>
        <w:t xml:space="preserve">PART I</w:t>
      </w:r>
    </w:p>
    <w:p>
      <w:pPr>
        <w:spacing w:after="300"/>
      </w:pPr>
      <w:r>
        <w:rPr>
          <w:b/>
          <w:bCs/>
          <w:color w:val="16233A"/>
          <w:sz w:val="26"/>
          <w:szCs w:val="26"/>
        </w:rPr>
        <w:t xml:space="preserve">G.O.D.S. CONSTITUTIONAL FOUNDATION</w:t>
      </w:r>
    </w:p>
    <w:p>
      <w:pPr>
        <w:pStyle w:val="Heading1"/>
      </w:pPr>
      <w:r>
        <w:t xml:space="preserve">1. Origin &amp; Founding Mandate</w:t>
      </w:r>
    </w:p>
    <w:p>
      <w:pPr>
        <w:spacing w:after="160" w:line="276"/>
        <w:jc w:val="left"/>
      </w:pPr>
      <w:r>
        <w:t xml:space="preserve">G.O.D.S Holdings was conceived in Johannesburg in 2016 by Sashin J. Singh — not as a technology company, not as a social enterprise, and not as a government programme, but as a civilisational infrastructure project: an institution designed to outlast its founder, its founding team, its founding government, and its founding era. The name carries a dual meaning — Good Orderly Directional Systems, and, at the level of general operating philosophy, a General Belief System built not on religion or ideology but on what connects human beings across every culture, language, and circumstance.</w:t>
      </w:r>
    </w:p>
    <w:p>
      <w:pPr>
        <w:spacing w:after="160" w:line="276"/>
        <w:jc w:val="left"/>
      </w:pPr>
      <w:r>
        <w:t xml:space="preserve">The triggering insight was simple but radical: with so many ways to make money in the world, it is absurd that people remain poor. The failure is not human intelligence — it is systematic. People do not lack potential; they lack structured access to the transfer of knowledge, skill, and opportunity. Fix the transfer mechanism, and everything downstream follows. That observation became the intellectual foundation of S.E.T.H.S., the operating methodology of GBS-SETHS, the governance architecture of UDOC, the capital engine of M.A.D.I.B.A, and the production infrastructure of T.S. Industries — The Technological Sector.</w:t>
      </w:r>
    </w:p>
    <w:p>
      <w:pPr>
        <w:spacing w:after="160" w:line="276"/>
        <w:jc w:val="left"/>
      </w:pPr>
      <w:r>
        <w:t xml:space="preserve">The origin runs through three distinct phases, documented consistently across the founder's own materials: a 2016 self-help work written as personal recovery documentation; Seth's Empire (2017–2022), the first formalised concept — a recruiting-and-surety arrangement placing recovering addicts and parolees with client companies, structured with a commercial engine alongside a delivery/infrastructure operation that became the template for what is now T.S. Industries; and the 2022–2026 period in which the founder's own analysis — that workforce-reintegration failure is a symptom, not the disease, and that people who cannot reintegrate are failed by four systems simultaneously (welfare that doesn't invest, justice that doesn't prepare, education that has written them off, labour markets without a pathway) — produced the four-division closed loop: S.E.T.H.S. (workforce) → T.S. Industries (infrastructure) → UDOC (governance) → M.A.D.I.B.A (capital).</w:t>
      </w:r>
    </w:p>
    <w:p>
      <w:pPr>
        <w:spacing w:after="160" w:line="276"/>
        <w:jc w:val="left"/>
      </w:pPr>
      <w:r>
        <w:t xml:space="preserve">The 250-year mandate is not a marketing phrase. It is an engineering specification. Systems designed to last 250 years must be constitutionally governed, not personality-led — they must survive founder transitions, political cycles, economic crises, technological revolutions, and generational cultural shifts. G.O.D.S Holdings is designed accordingly, with a constitutional IP Trust that cannot be wound up, a Constitutional Oversight Board with removal authority over any founder, and governance principles that bind the institution regardless of who leads it.</w:t>
      </w:r>
    </w:p>
    <w:p>
      <w:pPr>
        <w:pStyle w:val="Heading2"/>
      </w:pPr>
      <w:r>
        <w:t xml:space="preserve">1.1  The 250-Year Vision Statement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i/>
                <w:iCs/>
              </w:rPr>
              <w:t xml:space="preserve">"To build the permanent infrastructure through which human capability is continuously developed, transferred, and compounded — so that every generation, in every country, finds a system ready to transform their potential into measurable economic participation — for as long as human civilisation requires such infrastructure to function."</w:t>
            </w:r>
            <w:r>
              <w:t xml:space="preserve">  — Sashin J. Singh, Founding Architect, G.O.D.S Holdings</w:t>
            </w:r>
          </w:p>
        </w:tc>
      </w:tr>
    </w:tbl>
    <w:p>
      <w:pPr>
        <w:pStyle w:val="Heading2"/>
      </w:pPr>
      <w:r>
        <w:t xml:space="preserve">1.2  The Ten-Level G.O.D.S. System Architecture</w:t>
      </w:r>
    </w:p>
    <w:p>
      <w:pPr>
        <w:spacing w:after="160" w:line="276"/>
        <w:jc w:val="left"/>
      </w:pPr>
      <w:r>
        <w:t xml:space="preserve">G.O.D.S. Holdings is not a single entity — it is a ten-level operating system. Each level is a distinct institutional function; together they form the complete civilisational infrastructure the 250-year mandate requires.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3660"/>
        <w:gridCol w:w="5000"/>
      </w:tblGrid>
      <w:tr>
        <w:trPr>
          <w:tblHeader/>
        </w:trPr>
        <w:tc>
          <w:tcPr>
            <w:tcW w:type="dxa" w:w="7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Level</w:t>
            </w:r>
          </w:p>
        </w:tc>
        <w:tc>
          <w:tcPr>
            <w:tcW w:type="dxa" w:w="36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System</w:t>
            </w:r>
          </w:p>
        </w:tc>
        <w:tc>
          <w:tcPr>
            <w:tcW w:type="dxa" w:w="50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Function</w:t>
            </w:r>
          </w:p>
        </w:tc>
      </w:tr>
      <w:tr>
        <w:tc>
          <w:tcPr>
            <w:tcW w:type="dxa" w:w="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0</w:t>
            </w:r>
          </w:p>
        </w:tc>
        <w:tc>
          <w:tcPr>
            <w:tcW w:type="dxa" w:w="3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G.O.D.S Holdings (Pty) Ltd</w:t>
            </w:r>
          </w:p>
        </w:tc>
        <w:tc>
          <w:tcPr>
            <w:tcW w:type="dxa" w:w="5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Institutional owner. Holds a perpetual exclusive licence from the IP Trust. Governs all divisions. Constitutional authority.</w:t>
            </w:r>
          </w:p>
        </w:tc>
      </w:tr>
      <w:tr>
        <w:tc>
          <w:tcPr>
            <w:tcW w:type="dxa" w:w="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1</w:t>
            </w:r>
          </w:p>
        </w:tc>
        <w:tc>
          <w:tcPr>
            <w:tcW w:type="dxa" w:w="3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GBS — Global Belief System</w:t>
            </w:r>
          </w:p>
        </w:tc>
        <w:tc>
          <w:tcPr>
            <w:tcW w:type="dxa" w:w="5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Constitutional doctrine layer. Seven Universal Principles. Franchise governance. Political-neutrality architecture.</w:t>
            </w:r>
          </w:p>
        </w:tc>
      </w:tr>
      <w:tr>
        <w:tc>
          <w:tcPr>
            <w:tcW w:type="dxa" w:w="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2</w:t>
            </w:r>
          </w:p>
        </w:tc>
        <w:tc>
          <w:tcPr>
            <w:tcW w:type="dxa" w:w="3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GBS Global Council</w:t>
            </w:r>
          </w:p>
        </w:tc>
        <w:tc>
          <w:tcPr>
            <w:tcW w:type="dxa" w:w="5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International standards body. Cross-national policy alignment. Treaty interface. Civilisational-continuity governance.</w:t>
            </w:r>
          </w:p>
        </w:tc>
      </w:tr>
      <w:tr>
        <w:tc>
          <w:tcPr>
            <w:tcW w:type="dxa" w:w="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3</w:t>
            </w:r>
          </w:p>
        </w:tc>
        <w:tc>
          <w:tcPr>
            <w:tcW w:type="dxa" w:w="3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GBS Franchise Network</w:t>
            </w:r>
          </w:p>
        </w:tc>
        <w:tc>
          <w:tcPr>
            <w:tcW w:type="dxa" w:w="5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National, provincial, and municipal licensed operators. Culturally adapted GBS-SETHS deployment.</w:t>
            </w:r>
          </w:p>
        </w:tc>
      </w:tr>
      <w:tr>
        <w:tc>
          <w:tcPr>
            <w:tcW w:type="dxa" w:w="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4</w:t>
            </w:r>
          </w:p>
        </w:tc>
        <w:tc>
          <w:tcPr>
            <w:tcW w:type="dxa" w:w="3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S.E.T.H.S. Operations</w:t>
            </w:r>
          </w:p>
        </w:tc>
        <w:tc>
          <w:tcPr>
            <w:tcW w:type="dxa" w:w="5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Human acceleration engine. Participant intake, development, placement, and lifetime support. The operational core.</w:t>
            </w:r>
          </w:p>
        </w:tc>
      </w:tr>
      <w:tr>
        <w:tc>
          <w:tcPr>
            <w:tcW w:type="dxa" w:w="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5</w:t>
            </w:r>
          </w:p>
        </w:tc>
        <w:tc>
          <w:tcPr>
            <w:tcW w:type="dxa" w:w="3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CET/CTE Engine</w:t>
            </w:r>
          </w:p>
        </w:tc>
        <w:tc>
          <w:tcPr>
            <w:tcW w:type="dxa" w:w="5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Educational methodology. Communication–Education–Transportation loop driving knowledge transfer at every layer.</w:t>
            </w:r>
          </w:p>
        </w:tc>
      </w:tr>
      <w:tr>
        <w:tc>
          <w:tcPr>
            <w:tcW w:type="dxa" w:w="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6</w:t>
            </w:r>
          </w:p>
        </w:tc>
        <w:tc>
          <w:tcPr>
            <w:tcW w:type="dxa" w:w="3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G.O.D.S. Intelligence System (GIS)</w:t>
            </w:r>
          </w:p>
        </w:tc>
        <w:tc>
          <w:tcPr>
            <w:tcW w:type="dxa" w:w="5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AI backbone. Supersedes EVA. Governs UDOC decisions. Powers participant navigation, assessment, and compliance across all levels.</w:t>
            </w:r>
          </w:p>
        </w:tc>
      </w:tr>
      <w:tr>
        <w:tc>
          <w:tcPr>
            <w:tcW w:type="dxa" w:w="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7</w:t>
            </w:r>
          </w:p>
        </w:tc>
        <w:tc>
          <w:tcPr>
            <w:tcW w:type="dxa" w:w="3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UDOC — Unified Digital Oversight &amp; Coordination</w:t>
            </w:r>
          </w:p>
        </w:tc>
        <w:tc>
          <w:tcPr>
            <w:tcW w:type="dxa" w:w="5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Governance technology layer. Sealed, auditable AI governance decisions. Constitutional enforcement. Regulatory compliance engine.</w:t>
            </w:r>
          </w:p>
        </w:tc>
      </w:tr>
      <w:tr>
        <w:tc>
          <w:tcPr>
            <w:tcW w:type="dxa" w:w="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8</w:t>
            </w:r>
          </w:p>
        </w:tc>
        <w:tc>
          <w:tcPr>
            <w:tcW w:type="dxa" w:w="3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M.A.D.I.B.A Capital Engine</w:t>
            </w:r>
          </w:p>
        </w:tc>
        <w:tc>
          <w:tcPr>
            <w:tcW w:type="dxa" w:w="5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Capital deployment and sovereignty alignment. DFI interface. Impact bond structure. Revenue recycling.</w:t>
            </w:r>
          </w:p>
        </w:tc>
      </w:tr>
      <w:tr>
        <w:tc>
          <w:tcPr>
            <w:tcW w:type="dxa" w:w="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9</w:t>
            </w:r>
          </w:p>
        </w:tc>
        <w:tc>
          <w:tcPr>
            <w:tcW w:type="dxa" w:w="3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T.S. Industries — Deployment Layer</w:t>
            </w:r>
          </w:p>
        </w:tc>
        <w:tc>
          <w:tcPr>
            <w:tcW w:type="dxa" w:w="5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Production and infrastructure. Primary employer for S.E.T.H.S. graduates. Seven-subsidiary SPV co-ownership model.</w:t>
            </w:r>
          </w:p>
        </w:tc>
      </w:tr>
      <w:tr>
        <w:tc>
          <w:tcPr>
            <w:tcW w:type="dxa" w:w="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10</w:t>
            </w:r>
          </w:p>
        </w:tc>
        <w:tc>
          <w:tcPr>
            <w:tcW w:type="dxa" w:w="3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Continental Deployment Framework</w:t>
            </w:r>
          </w:p>
        </w:tc>
        <w:tc>
          <w:tcPr>
            <w:tcW w:type="dxa" w:w="5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Regional implementation. Culturally adapted, locally governed, globally standardised.</w:t>
            </w:r>
          </w:p>
        </w:tc>
      </w:tr>
    </w:tbl>
    <w:p>
      <w:pPr>
        <w:pStyle w:val="Heading1"/>
      </w:pPr>
      <w:r>
        <w:t xml:space="preserve">2. The Twelve G.O.D.S. Constitutional Pillars</w:t>
      </w:r>
    </w:p>
    <w:p>
      <w:pPr>
        <w:spacing w:after="160" w:line="276"/>
        <w:jc w:val="left"/>
      </w:pPr>
      <w:r>
        <w:t xml:space="preserve">The Twelve Constitutional Pillars are the non-negotiable governance principles of G.O.D.S Holdings and every system it operates. They bind every franchise node, every delivery operator, every employer partner, and every division — globally and permanently. They are not values aspirations; they are constitutional obligations, enforceable by the Constitutional Oversight Board (COB), and given full institutional-authority treatment in Document 01 of this package, the Institutional Constitution.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00"/>
        <w:gridCol w:w="1800"/>
        <w:gridCol w:w="7060"/>
      </w:tblGrid>
      <w:tr>
        <w:trPr>
          <w:tblHeader/>
        </w:trPr>
        <w:tc>
          <w:tcPr>
            <w:tcW w:type="dxa" w:w="5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w:t>
            </w:r>
          </w:p>
        </w:tc>
        <w:tc>
          <w:tcPr>
            <w:tcW w:type="dxa" w:w="18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Pillar</w:t>
            </w:r>
          </w:p>
        </w:tc>
        <w:tc>
          <w:tcPr>
            <w:tcW w:type="dxa" w:w="70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Constitutional Obligation</w:t>
            </w:r>
          </w:p>
        </w:tc>
      </w:tr>
      <w:tr>
        <w:tc>
          <w:tcPr>
            <w:tcW w:type="dxa" w:w="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w:t>
            </w:r>
          </w:p>
        </w:tc>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Human Dignity</w:t>
            </w:r>
          </w:p>
        </w:tc>
        <w:tc>
          <w:tcPr>
            <w:tcW w:type="dxa" w:w="70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Every participant, employee, partner, and stakeholder interaction must affirm and protect human dignity. No economic or operational pressure justifies its compromise.</w:t>
            </w:r>
          </w:p>
        </w:tc>
      </w:tr>
      <w:tr>
        <w:tc>
          <w:tcPr>
            <w:tcW w:type="dxa" w:w="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II</w:t>
            </w:r>
          </w:p>
        </w:tc>
        <w:tc>
          <w:tcPr>
            <w:tcW w:type="dxa" w:w="1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Contribution First</w:t>
            </w:r>
          </w:p>
        </w:tc>
        <w:tc>
          <w:tcPr>
            <w:tcW w:type="dxa" w:w="70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Every individual possesses productive potential. GBS-SETHS's obligation is to find it, develop it, and connect it to economic opportunity — regardless of prior circumstances.</w:t>
            </w:r>
          </w:p>
        </w:tc>
      </w:tr>
      <w:tr>
        <w:tc>
          <w:tcPr>
            <w:tcW w:type="dxa" w:w="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III</w:t>
            </w:r>
          </w:p>
        </w:tc>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Sovereign Respect</w:t>
            </w:r>
          </w:p>
        </w:tc>
        <w:tc>
          <w:tcPr>
            <w:tcW w:type="dxa" w:w="70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G.O.D.S operates as a sovereign-aligned, politically neutral institution. It works with governments; it is not captured by them.</w:t>
            </w:r>
          </w:p>
        </w:tc>
      </w:tr>
      <w:tr>
        <w:tc>
          <w:tcPr>
            <w:tcW w:type="dxa" w:w="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IV</w:t>
            </w:r>
          </w:p>
        </w:tc>
        <w:tc>
          <w:tcPr>
            <w:tcW w:type="dxa" w:w="1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Ethical Profitability</w:t>
            </w:r>
          </w:p>
        </w:tc>
        <w:tc>
          <w:tcPr>
            <w:tcW w:type="dxa" w:w="70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Financial returns are necessary and must be earned ethically, transparently, and in ways that reinforce rather than undermine the mission.</w:t>
            </w:r>
          </w:p>
        </w:tc>
      </w:tr>
      <w:tr>
        <w:tc>
          <w:tcPr>
            <w:tcW w:type="dxa" w:w="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V</w:t>
            </w:r>
          </w:p>
        </w:tc>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Governance First</w:t>
            </w:r>
          </w:p>
        </w:tc>
        <w:tc>
          <w:tcPr>
            <w:tcW w:type="dxa" w:w="70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No decision, contract, partnership, or investment may proceed without constitutional governance review. The COB is the institution's supreme governance authority.</w:t>
            </w:r>
          </w:p>
        </w:tc>
      </w:tr>
      <w:tr>
        <w:tc>
          <w:tcPr>
            <w:tcW w:type="dxa" w:w="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VI</w:t>
            </w:r>
          </w:p>
        </w:tc>
        <w:tc>
          <w:tcPr>
            <w:tcW w:type="dxa" w:w="1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Transparency</w:t>
            </w:r>
          </w:p>
        </w:tc>
        <w:tc>
          <w:tcPr>
            <w:tcW w:type="dxa" w:w="70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All institutional decisions, financial flows, outcome data, and constitutional compliance records are documented in verifiable form.</w:t>
            </w:r>
          </w:p>
        </w:tc>
      </w:tr>
      <w:tr>
        <w:tc>
          <w:tcPr>
            <w:tcW w:type="dxa" w:w="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VII</w:t>
            </w:r>
          </w:p>
        </w:tc>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Founder Constraint</w:t>
            </w:r>
          </w:p>
        </w:tc>
        <w:tc>
          <w:tcPr>
            <w:tcW w:type="dxa" w:w="70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founding architect may not unilaterally acquire Class A IP Trust shares, amend the Constitution, dissolve the COB, or override a COB halt decision.</w:t>
            </w:r>
          </w:p>
        </w:tc>
      </w:tr>
      <w:tr>
        <w:tc>
          <w:tcPr>
            <w:tcW w:type="dxa" w:w="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VIII</w:t>
            </w:r>
          </w:p>
        </w:tc>
        <w:tc>
          <w:tcPr>
            <w:tcW w:type="dxa" w:w="1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Human Primacy in AI</w:t>
            </w:r>
          </w:p>
        </w:tc>
        <w:tc>
          <w:tcPr>
            <w:tcW w:type="dxa" w:w="70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AI tools may support administration, learning, and navigation. They may not replace human case management, facilitation, or mentorship.</w:t>
            </w:r>
          </w:p>
        </w:tc>
      </w:tr>
      <w:tr>
        <w:tc>
          <w:tcPr>
            <w:tcW w:type="dxa" w:w="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IX</w:t>
            </w:r>
          </w:p>
        </w:tc>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Reintegration</w:t>
            </w:r>
          </w:p>
        </w:tc>
        <w:tc>
          <w:tcPr>
            <w:tcW w:type="dxa" w:w="70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criminal justice-involved, substance-recovery, and long-term excluded population is a primary cohort of GBS-SETHS — not a tolerated edge case.</w:t>
            </w:r>
          </w:p>
        </w:tc>
      </w:tr>
      <w:tr>
        <w:tc>
          <w:tcPr>
            <w:tcW w:type="dxa" w:w="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X</w:t>
            </w:r>
          </w:p>
        </w:tc>
        <w:tc>
          <w:tcPr>
            <w:tcW w:type="dxa" w:w="1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Long-Horizon Discipline</w:t>
            </w:r>
          </w:p>
        </w:tc>
        <w:tc>
          <w:tcPr>
            <w:tcW w:type="dxa" w:w="70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250-year mandate demands decisions calibrated to generational outcomes, not quarterly cycles.</w:t>
            </w:r>
          </w:p>
        </w:tc>
      </w:tr>
      <w:tr>
        <w:tc>
          <w:tcPr>
            <w:tcW w:type="dxa" w:w="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XI</w:t>
            </w:r>
          </w:p>
        </w:tc>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Anti-Corruption</w:t>
            </w:r>
          </w:p>
        </w:tc>
        <w:tc>
          <w:tcPr>
            <w:tcW w:type="dxa" w:w="70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No node, operator, or employer partner may manipulate outcome data or extract learnership credit without genuine development intent.</w:t>
            </w:r>
          </w:p>
        </w:tc>
      </w:tr>
      <w:tr>
        <w:tc>
          <w:tcPr>
            <w:tcW w:type="dxa" w:w="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XII</w:t>
            </w:r>
          </w:p>
        </w:tc>
        <w:tc>
          <w:tcPr>
            <w:tcW w:type="dxa" w:w="1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Evidence-Driven</w:t>
            </w:r>
          </w:p>
        </w:tc>
        <w:tc>
          <w:tcPr>
            <w:tcW w:type="dxa" w:w="70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Every framework, methodology, and expansion decision must be grounded in measured outcomes, sourced data, and honest self-assessment.</w:t>
            </w:r>
          </w:p>
        </w:tc>
      </w:tr>
    </w:tbl>
    <w:p>
      <w:pPr>
        <w:pStyle w:val="Heading1"/>
      </w:pPr>
      <w:r>
        <w:t xml:space="preserve">3. The G.O.D.S. Intelligence System — Level 6</w:t>
      </w:r>
    </w:p>
    <w:p>
      <w:pPr>
        <w:spacing w:after="160" w:line="276"/>
        <w:jc w:val="left"/>
      </w:pPr>
      <w:r>
        <w:t xml:space="preserve">The G.O.D.S. Intelligence System (GIS) is the artificial intelligence backbone of the entire G.O.D.S. ecosystem. It supersedes EVA (Engine for Verified Accountability) — the original UDOC-specific AI governance engine — by expanding its role from a single-division decision engine into a cross-institutional intelligence layer serving all ten levels of the G.O.D.S. architecture simultaneously. GIS is not a general-purpose AI chatbot; it is a constitutionally governed, sovereign-aligned, domain-specific intelligence system designed to govern, navigate, assess, verify, and report at institutional scale.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4600"/>
        <w:gridCol w:w="2760"/>
      </w:tblGrid>
      <w:tr>
        <w:trPr>
          <w:tblHeader/>
        </w:trPr>
        <w:tc>
          <w:tcPr>
            <w:tcW w:type="dxa" w:w="20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Function</w:t>
            </w:r>
          </w:p>
        </w:tc>
        <w:tc>
          <w:tcPr>
            <w:tcW w:type="dxa" w:w="4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What GIS Does</w:t>
            </w:r>
          </w:p>
        </w:tc>
        <w:tc>
          <w:tcPr>
            <w:tcW w:type="dxa" w:w="27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Who It Serves</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Digital Governor</w:t>
            </w:r>
          </w:p>
        </w:tc>
        <w:tc>
          <w:tcPr>
            <w:tcW w:type="dxa" w:w="4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Issues sealed, auditable governance decisions via UDOC. Applies constitutional pillar compliance checks to every institutional decision.</w:t>
            </w:r>
          </w:p>
        </w:tc>
        <w:tc>
          <w:tcPr>
            <w:tcW w:type="dxa" w:w="27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COB, Division Heads, National GBS Authorities</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Career Navigator</w:t>
            </w:r>
          </w:p>
        </w:tc>
        <w:tc>
          <w:tcPr>
            <w:tcW w:type="dxa" w:w="4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Assesses each participant's skills, goals, learning style, and employment barriers. Maps them to vocational pathway and employer ecosystem.</w:t>
            </w:r>
          </w:p>
        </w:tc>
        <w:tc>
          <w:tcPr>
            <w:tcW w:type="dxa" w:w="27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S.E.T.H.S. Participants (all four cohorts)</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Digital Mentor</w:t>
            </w:r>
          </w:p>
        </w:tc>
        <w:tc>
          <w:tcPr>
            <w:tcW w:type="dxa" w:w="4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Provides on-demand learning support, progress monitoring, and motivational guidance throughout the CET/CTE journey.</w:t>
            </w:r>
          </w:p>
        </w:tc>
        <w:tc>
          <w:tcPr>
            <w:tcW w:type="dxa" w:w="27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S.E.T.H.S. Participants</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Compliance Verifier</w:t>
            </w:r>
          </w:p>
        </w:tc>
        <w:tc>
          <w:tcPr>
            <w:tcW w:type="dxa" w:w="4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Verifies delivery operators, employer partners, and franchise nodes meet constitutional and operational standards; flags violations to the COB.</w:t>
            </w:r>
          </w:p>
        </w:tc>
        <w:tc>
          <w:tcPr>
            <w:tcW w:type="dxa" w:w="27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Regional GBS, Delivery Operators, Employer Ecosystem</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Research &amp; Intelligence Engine</w:t>
            </w:r>
          </w:p>
        </w:tc>
        <w:tc>
          <w:tcPr>
            <w:tcW w:type="dxa" w:w="4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Tracks global AI displacement trends, labour market shifts, and regulatory developments to inform methodology updates.</w:t>
            </w:r>
          </w:p>
        </w:tc>
        <w:tc>
          <w:tcPr>
            <w:tcW w:type="dxa" w:w="27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Leadership, GBS Global Council</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Outcome Auditor</w:t>
            </w:r>
          </w:p>
        </w:tc>
        <w:tc>
          <w:tcPr>
            <w:tcW w:type="dxa" w:w="4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Records, verifies, and reports all participant outcomes to UDOC's sealed audit trail.</w:t>
            </w:r>
          </w:p>
        </w:tc>
        <w:tc>
          <w:tcPr>
            <w:tcW w:type="dxa" w:w="27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M.A.D.I.B.A, COB, DFI partners</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Franchise Intelligence</w:t>
            </w:r>
          </w:p>
        </w:tc>
        <w:tc>
          <w:tcPr>
            <w:tcW w:type="dxa" w:w="4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Monitors performance across all GBS franchise nodes globally; escalates underperformance to National/Regional GBS authorities.</w:t>
            </w:r>
          </w:p>
        </w:tc>
        <w:tc>
          <w:tcPr>
            <w:tcW w:type="dxa" w:w="27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GBS Global Council, Layer 2 National GBS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Honesty tier — what is proven, what is designed, what is aspirational</w:t>
            </w:r>
          </w:p>
          <w:p>
            <w:pPr>
              <w:spacing w:after="60"/>
            </w:pPr>
            <w:r>
              <w:rPr>
                <w:b/>
                <w:bCs/>
              </w:rPr>
              <w:t xml:space="preserve">Proven / live:  </w:t>
            </w:r>
            <w:r>
              <w:t xml:space="preserve">GIS's design specification and its role in the constitutional architecture are complete and documented, consistent across v1.0, v2.0, and this consolidation.</w:t>
            </w:r>
          </w:p>
          <w:p>
            <w:pPr>
              <w:spacing w:after="60"/>
            </w:pPr>
            <w:r>
              <w:rPr>
                <w:b/>
                <w:bCs/>
              </w:rPr>
              <w:t xml:space="preserve">Designed / production-specified, not yet built:  </w:t>
            </w:r>
            <w:r>
              <w:t xml:space="preserve">GIS is a production-designed intelligence layer superseding EVA; its full production build has not been separately verified as commercially deployed at the time of this document, distinct from UDOC's capstone-level backend build, which is deployed and operational per Section 12 below.</w:t>
            </w:r>
          </w:p>
          <w:p>
            <w:pPr>
              <w:spacing w:after="0"/>
            </w:pPr>
            <w:r>
              <w:rPr>
                <w:b/>
                <w:bCs/>
              </w:rPr>
              <w:t xml:space="preserve">Aspirational / long-horizon:  </w:t>
            </w:r>
            <w:r>
              <w:t xml:space="preserve">GIS operating as a cross-institutional intelligence layer at full ten-level scale, across a global franchise network, is a multi-year build target tied to the phases in Part VIII.</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Constitutional non-negotiable — fail-closed by design.</w:t>
            </w:r>
          </w:p>
          <w:p>
            <w:pPr>
              <w:spacing w:after="160" w:line="276"/>
              <w:jc w:val="left"/>
            </w:pPr>
            <w:r>
              <w:t xml:space="preserve">The G.O.D.S. Intelligence System operates fail-closed. In the absence of verified sovereign authorisation, GIS defaults to BLOCK. No AI decision in the G.O.D.S. ecosystem is permitted to harm a participant, violate a constitutional pillar, or override a COB halt — regardless of system state, network condition, or operational pressure. Human primacy (Pillar VIII) is not a preference setting; it is a hard architectural constraint at the foundation layer.</w:t>
            </w:r>
          </w:p>
        </w:tc>
      </w:tr>
    </w:tbl>
    <w:p>
      <w:r>
        <w:br w:type="page"/>
      </w:r>
    </w:p>
    <w:p>
      <w:pPr>
        <w:spacing w:after="60" w:before="200"/>
      </w:pPr>
      <w:r>
        <w:rPr>
          <w:b/>
          <w:bCs/>
          <w:color w:val="8C7330"/>
          <w:sz w:val="22"/>
          <w:szCs w:val="22"/>
        </w:rPr>
        <w:t xml:space="preserve">PART II</w:t>
      </w:r>
    </w:p>
    <w:p>
      <w:pPr>
        <w:spacing w:after="300"/>
      </w:pPr>
      <w:r>
        <w:rPr>
          <w:b/>
          <w:bCs/>
          <w:color w:val="16233A"/>
          <w:sz w:val="26"/>
          <w:szCs w:val="26"/>
        </w:rPr>
        <w:t xml:space="preserve">GBS — THE GLOBAL BELIEF SYSTEM FRAMEWORK</w:t>
      </w:r>
    </w:p>
    <w:p>
      <w:pPr>
        <w:pStyle w:val="Heading1"/>
      </w:pPr>
      <w:r>
        <w:t xml:space="preserve">4. What GBS Is — and Is Not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GBS is not: </w:t>
            </w:r>
            <w:r>
              <w:t xml:space="preserve">A religion. An ideology. A political movement. A charity. A social welfare programme. </w:t>
            </w:r>
            <w:r>
              <w:rPr>
                <w:b/>
                <w:bCs/>
              </w:rPr>
              <w:t xml:space="preserve">GBS is: </w:t>
            </w:r>
            <w:r>
              <w:t xml:space="preserve">A governance doctrine. A constitutional framework. A globally deployable standard for human development. A franchise infrastructure. The civilisational belief that every human being possesses transferable value and every society has an obligation to continuously transform human potential into measurable capability.</w:t>
            </w:r>
          </w:p>
        </w:tc>
      </w:tr>
    </w:tbl>
    <w:p>
      <w:pPr>
        <w:spacing w:after="160" w:line="276"/>
        <w:jc w:val="left"/>
      </w:pPr>
      <w:r>
        <w:t xml:space="preserve">GBS operates by holding three things in tension that most institutions cannot: it is politically neutral (it works with any government), culturally adaptable (it operates within any cultural context), and constitutionally non-negotiable (its seven universal principles apply everywhere, always, without exception). The 20% localisation allowance means every franchise can adapt language, vocational pathways, and cultural delivery — the 80% constitutional framework never moves.</w:t>
      </w:r>
    </w:p>
    <w:p>
      <w:pPr>
        <w:pStyle w:val="Heading1"/>
      </w:pPr>
      <w:r>
        <w:t xml:space="preserve">5. The Seven GBS Universal Pillars</w:t>
      </w:r>
    </w:p>
    <w:p>
      <w:pPr>
        <w:spacing w:after="160" w:line="276"/>
        <w:jc w:val="left"/>
      </w:pPr>
      <w:r>
        <w:t xml:space="preserve">The Seven GBS Universal Pillars define what the Global Belief System stands for at civilisational level. They are not S.E.T.H.S.-specific (those have their own five foundational pillars, Part III); they are the human values GBS holds as universal across every context in which it operates.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00"/>
        <w:gridCol w:w="1600"/>
        <w:gridCol w:w="3600"/>
        <w:gridCol w:w="3660"/>
      </w:tblGrid>
      <w:tr>
        <w:trPr>
          <w:tblHeader/>
        </w:trPr>
        <w:tc>
          <w:tcPr>
            <w:tcW w:type="dxa" w:w="5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w:t>
            </w:r>
          </w:p>
        </w:tc>
        <w:tc>
          <w:tcPr>
            <w:tcW w:type="dxa" w:w="1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Pillar</w:t>
            </w:r>
          </w:p>
        </w:tc>
        <w:tc>
          <w:tcPr>
            <w:tcW w:type="dxa" w:w="3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Universal Principle</w:t>
            </w:r>
          </w:p>
        </w:tc>
        <w:tc>
          <w:tcPr>
            <w:tcW w:type="dxa" w:w="36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Why It Matters Globally (2026)</w:t>
            </w:r>
          </w:p>
        </w:tc>
      </w:tr>
      <w:tr>
        <w:tc>
          <w:tcPr>
            <w:tcW w:type="dxa" w:w="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w:t>
            </w:r>
          </w:p>
        </w:tc>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Human Value</w:t>
            </w:r>
          </w:p>
        </w:tc>
        <w:tc>
          <w:tcPr>
            <w:tcW w:type="dxa" w:w="3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Every individual possesses productive potential that can be developed and transferred into economic and social contribution, regardless of prior circumstances.</w:t>
            </w:r>
          </w:p>
        </w:tc>
        <w:tc>
          <w:tcPr>
            <w:tcW w:type="dxa" w:w="3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1.2 billion young people globally are NEET (ILO). Human value is the counter-assertion to the world's growing practice of writing people off.</w:t>
            </w:r>
          </w:p>
        </w:tc>
      </w:tr>
      <w:tr>
        <w:tc>
          <w:tcPr>
            <w:tcW w:type="dxa" w:w="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2</w:t>
            </w:r>
          </w:p>
        </w:tc>
        <w:tc>
          <w:tcPr>
            <w:tcW w:type="dxa" w:w="1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Continuous Education</w:t>
            </w:r>
          </w:p>
        </w:tc>
        <w:tc>
          <w:tcPr>
            <w:tcW w:type="dxa" w:w="3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Learning never ends. A qualification is a milestone, not a destination. The capacity to keep learning is the primary human competitive advantage against automation.</w:t>
            </w:r>
          </w:p>
        </w:tc>
        <w:tc>
          <w:tcPr>
            <w:tcW w:type="dxa" w:w="3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WEF projects 44% of workers will need reskilling by 2030.</w:t>
            </w:r>
          </w:p>
        </w:tc>
      </w:tr>
      <w:tr>
        <w:tc>
          <w:tcPr>
            <w:tcW w:type="dxa" w:w="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3</w:t>
            </w:r>
          </w:p>
        </w:tc>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Capability Transfer</w:t>
            </w:r>
          </w:p>
        </w:tc>
        <w:tc>
          <w:tcPr>
            <w:tcW w:type="dxa" w:w="3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Knowledge that stays with one person has not yet fulfilled its function. The CET/CTE loop operationalises transfer as the purpose of knowledge.</w:t>
            </w:r>
          </w:p>
        </w:tc>
        <w:tc>
          <w:tcPr>
            <w:tcW w:type="dxa" w:w="3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Skills shortages are systemic globally — the problem is inadequate transfer infrastructure, not lack of knowledge.</w:t>
            </w:r>
          </w:p>
        </w:tc>
      </w:tr>
      <w:tr>
        <w:tc>
          <w:tcPr>
            <w:tcW w:type="dxa" w:w="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4</w:t>
            </w:r>
          </w:p>
        </w:tc>
        <w:tc>
          <w:tcPr>
            <w:tcW w:type="dxa" w:w="1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Economic Participation</w:t>
            </w:r>
          </w:p>
        </w:tc>
        <w:tc>
          <w:tcPr>
            <w:tcW w:type="dxa" w:w="3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Exclusion from formal economic participation is a systemic design flaw, not a personal failure.</w:t>
            </w:r>
          </w:p>
        </w:tc>
        <w:tc>
          <w:tcPr>
            <w:tcW w:type="dxa" w:w="3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South Africa's expanded unemployment rate stood at 43.7% (Stats SA QLFS, Q1 2026).</w:t>
            </w:r>
          </w:p>
        </w:tc>
      </w:tr>
      <w:tr>
        <w:tc>
          <w:tcPr>
            <w:tcW w:type="dxa" w:w="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5</w:t>
            </w:r>
          </w:p>
        </w:tc>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Technological Adaptation</w:t>
            </w:r>
          </w:p>
        </w:tc>
        <w:tc>
          <w:tcPr>
            <w:tcW w:type="dxa" w:w="3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Technology, including AI, is a tool for human acceleration, not a replacement for human value.</w:t>
            </w:r>
          </w:p>
        </w:tc>
        <w:tc>
          <w:tcPr>
            <w:tcW w:type="dxa" w:w="3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WEF's Future of Jobs 2025 projects roughly 92 million roles displaced and roughly 170 million created by 2030 — a net gain that depends entirely on adaptation infrastructure existing at scale.</w:t>
            </w:r>
          </w:p>
        </w:tc>
      </w:tr>
      <w:tr>
        <w:tc>
          <w:tcPr>
            <w:tcW w:type="dxa" w:w="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6</w:t>
            </w:r>
          </w:p>
        </w:tc>
        <w:tc>
          <w:tcPr>
            <w:tcW w:type="dxa" w:w="1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Sustainability</w:t>
            </w:r>
          </w:p>
        </w:tc>
        <w:tc>
          <w:tcPr>
            <w:tcW w:type="dxa" w:w="3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Systems that consume more than they regenerate cannot serve a 250-year mandate. The CTE peer-mentor pipeline grows delivery capacity organically.</w:t>
            </w:r>
          </w:p>
        </w:tc>
        <w:tc>
          <w:tcPr>
            <w:tcW w:type="dxa" w:w="3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Government-funded training programmes typically require perpetual budget injections; GBS-SETHS's alumni-to-mentor pipeline is its structural sustainability mechanism.</w:t>
            </w:r>
          </w:p>
        </w:tc>
      </w:tr>
      <w:tr>
        <w:tc>
          <w:tcPr>
            <w:tcW w:type="dxa" w:w="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7</w:t>
            </w:r>
          </w:p>
        </w:tc>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Generational Continuity</w:t>
            </w:r>
          </w:p>
        </w:tc>
        <w:tc>
          <w:tcPr>
            <w:tcW w:type="dxa" w:w="3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measure of a human-development system is what the grandchildren of its first cohort inherit.</w:t>
            </w:r>
          </w:p>
        </w:tc>
        <w:tc>
          <w:tcPr>
            <w:tcW w:type="dxa" w:w="3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250-year mandate exists because generational continuity is the only timeframe at which systemic exclusion can be permanently reversed, not just ameliorated.</w:t>
            </w:r>
          </w:p>
        </w:tc>
      </w:tr>
    </w:tbl>
    <w:p>
      <w:pPr>
        <w:pStyle w:val="Heading1"/>
      </w:pPr>
      <w:r>
        <w:t xml:space="preserve">6. GBS Franchise Architecture — Five Layers</w:t>
      </w:r>
    </w:p>
    <w:p>
      <w:pPr>
        <w:spacing w:after="160" w:line="276"/>
        <w:jc w:val="left"/>
      </w:pPr>
      <w:r>
        <w:t xml:space="preserve">The GBS franchise model is the mechanism through which Sashin J. Singh's 2016 vision becomes a global institution. It is not a licensing arrangement in the conventional commercial sense — it is a constitutional adoption framework. Every node that joins the GBS network adopts the constitutional framework and accepts the governance authority of GBS Global (Layer 1). A full operational handbook for this architecture is Document 03 of this package, the Franchise Licensing Handbook.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2800"/>
        <w:gridCol w:w="5660"/>
      </w:tblGrid>
      <w:tr>
        <w:trPr>
          <w:tblHeader/>
        </w:trPr>
        <w:tc>
          <w:tcPr>
            <w:tcW w:type="dxa" w:w="9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Layer</w:t>
            </w:r>
          </w:p>
        </w:tc>
        <w:tc>
          <w:tcPr>
            <w:tcW w:type="dxa" w:w="28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Entity</w:t>
            </w:r>
          </w:p>
        </w:tc>
        <w:tc>
          <w:tcPr>
            <w:tcW w:type="dxa" w:w="56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Role &amp; Constitutional Obligations</w:t>
            </w:r>
          </w:p>
        </w:tc>
      </w:tr>
      <w:tr>
        <w:tc>
          <w:tcPr>
            <w:tcW w:type="dxa" w:w="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w:t>
            </w:r>
          </w:p>
        </w:tc>
        <w:tc>
          <w:tcPr>
            <w:tcW w:type="dxa" w:w="2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GBS Global (G.O.D.S Holdings)</w:t>
            </w:r>
          </w:p>
        </w:tc>
        <w:tc>
          <w:tcPr>
            <w:tcW w:type="dxa" w:w="5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IP owner, constitutional authority, methodology custodian, global standards setter, royalty receiver, research engine. Every node's licence flows from Layer 1.</w:t>
            </w:r>
          </w:p>
        </w:tc>
      </w:tr>
      <w:tr>
        <w:tc>
          <w:tcPr>
            <w:tcW w:type="dxa" w:w="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2</w:t>
            </w:r>
          </w:p>
        </w:tc>
        <w:tc>
          <w:tcPr>
            <w:tcW w:type="dxa" w:w="2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National GBS Authority</w:t>
            </w:r>
          </w:p>
        </w:tc>
        <w:tc>
          <w:tcPr>
            <w:tcW w:type="dxa" w:w="5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Country-level licensed operator. Localises policy, language, labour-market requirements, and accreditation within the 20% adaptation allowance. Reports outcomes to GBS Global.</w:t>
            </w:r>
          </w:p>
        </w:tc>
      </w:tr>
      <w:tr>
        <w:tc>
          <w:tcPr>
            <w:tcW w:type="dxa" w:w="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3</w:t>
            </w:r>
          </w:p>
        </w:tc>
        <w:tc>
          <w:tcPr>
            <w:tcW w:type="dxa" w:w="2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Regional GBS Authority</w:t>
            </w:r>
          </w:p>
        </w:tc>
        <w:tc>
          <w:tcPr>
            <w:tcW w:type="dxa" w:w="5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Province/state/metro operational entity. Sub-licensed from National GBS. Runs regional cohorts, manages employer partnerships, coordinates T.S. Industries workforce pipeline.</w:t>
            </w:r>
          </w:p>
        </w:tc>
      </w:tr>
      <w:tr>
        <w:tc>
          <w:tcPr>
            <w:tcW w:type="dxa" w:w="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4</w:t>
            </w:r>
          </w:p>
        </w:tc>
        <w:tc>
          <w:tcPr>
            <w:tcW w:type="dxa" w:w="2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S.E.T.H.S. Delivery Operators</w:t>
            </w:r>
          </w:p>
        </w:tc>
        <w:tc>
          <w:tcPr>
            <w:tcW w:type="dxa" w:w="56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Accredited training providers, NGOs, TVET colleges, corporate academies, rehabilitation centres, veterans and prison-reintegration programmes. Licensed to deliver, not own, the methodology.</w:t>
            </w:r>
          </w:p>
        </w:tc>
      </w:tr>
      <w:tr>
        <w:tc>
          <w:tcPr>
            <w:tcW w:type="dxa" w:w="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5</w:t>
            </w:r>
          </w:p>
        </w:tc>
        <w:tc>
          <w:tcPr>
            <w:tcW w:type="dxa" w:w="2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Certified Employer Ecosystems</w:t>
            </w:r>
          </w:p>
        </w:tc>
        <w:tc>
          <w:tcPr>
            <w:tcW w:type="dxa" w:w="56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Companies, co-operatives, government departments, T.S. Industries subsidiaries. Commit to preference-placement of graduates; bound by the Absorption Commitment Clause below.</w:t>
            </w:r>
          </w:p>
        </w:tc>
      </w:tr>
    </w:tbl>
    <w:p>
      <w:pPr>
        <w:pStyle w:val="Heading2"/>
      </w:pPr>
      <w:r>
        <w:t xml:space="preserve">6.1  Franchise Governance — Audit, Compliance &amp; Revocation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600"/>
        <w:gridCol w:w="2700"/>
        <w:gridCol w:w="1860"/>
      </w:tblGrid>
      <w:tr>
        <w:trPr>
          <w:tblHeader/>
        </w:trPr>
        <w:tc>
          <w:tcPr>
            <w:tcW w:type="dxa" w:w="22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Mechanism</w:t>
            </w:r>
          </w:p>
        </w:tc>
        <w:tc>
          <w:tcPr>
            <w:tcW w:type="dxa" w:w="2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Trigger</w:t>
            </w:r>
          </w:p>
        </w:tc>
        <w:tc>
          <w:tcPr>
            <w:tcW w:type="dxa" w:w="27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Process</w:t>
            </w:r>
          </w:p>
        </w:tc>
        <w:tc>
          <w:tcPr>
            <w:tcW w:type="dxa" w:w="18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Outcome</w:t>
            </w:r>
          </w:p>
        </w:tc>
      </w:tr>
      <w:tr>
        <w:tc>
          <w:tcPr>
            <w:tcW w:type="dxa" w:w="2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Annual Compliance Audit</w:t>
            </w:r>
          </w:p>
        </w:tc>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All active nodes — mandatory</w:t>
            </w:r>
          </w:p>
        </w:tc>
        <w:tc>
          <w:tcPr>
            <w:tcW w:type="dxa" w:w="2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GIS-powered outcome review + COB-reviewed compliance certificate</w:t>
            </w:r>
          </w:p>
        </w:tc>
        <w:tc>
          <w:tcPr>
            <w:tcW w:type="dxa" w:w="18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Certification renewed or conditional status applied</w:t>
            </w:r>
          </w:p>
        </w:tc>
      </w:tr>
      <w:tr>
        <w:tc>
          <w:tcPr>
            <w:tcW w:type="dxa" w:w="2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Outcome Underperformance Flag</w:t>
            </w:r>
          </w:p>
        </w:tc>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Node falls &gt;20% below minimum placement benchmark for two consecutive cohorts</w:t>
            </w:r>
          </w:p>
        </w:tc>
        <w:tc>
          <w:tcPr>
            <w:tcW w:type="dxa" w:w="2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Regional GBS investigation + remediation plan within 60 days</w:t>
            </w:r>
          </w:p>
        </w:tc>
        <w:tc>
          <w:tcPr>
            <w:tcW w:type="dxa" w:w="18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Node placed on probation; GIS monitoring intensified</w:t>
            </w:r>
          </w:p>
        </w:tc>
      </w:tr>
      <w:tr>
        <w:tc>
          <w:tcPr>
            <w:tcW w:type="dxa" w:w="2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Constitutional Violation</w:t>
            </w:r>
          </w:p>
        </w:tc>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Any breach of the 12 Pillars</w:t>
            </w:r>
          </w:p>
        </w:tc>
        <w:tc>
          <w:tcPr>
            <w:tcW w:type="dxa" w:w="2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Immediate COB review; GIS issues provisional BLOCK on affected node operations</w:t>
            </w:r>
          </w:p>
        </w:tc>
        <w:tc>
          <w:tcPr>
            <w:tcW w:type="dxa" w:w="18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Remediation required; repeated violations = licence revocation</w:t>
            </w:r>
          </w:p>
        </w:tc>
      </w:tr>
      <w:tr>
        <w:tc>
          <w:tcPr>
            <w:tcW w:type="dxa" w:w="2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Licence Revocation</w:t>
            </w:r>
          </w:p>
        </w:tc>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Repeated constitutional violation or fraud</w:t>
            </w:r>
          </w:p>
        </w:tc>
        <w:tc>
          <w:tcPr>
            <w:tcW w:type="dxa" w:w="2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COB decision (3/5 majority); all participants transferred to adjacent node</w:t>
            </w:r>
          </w:p>
        </w:tc>
        <w:tc>
          <w:tcPr>
            <w:tcW w:type="dxa" w:w="18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Node removed from GBS network; all branded materials retrieved</w:t>
            </w:r>
          </w:p>
        </w:tc>
      </w:tr>
      <w:tr>
        <w:tc>
          <w:tcPr>
            <w:tcW w:type="dxa" w:w="2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Appeal Process</w:t>
            </w:r>
          </w:p>
        </w:tc>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Any node subject to revocation</w:t>
            </w:r>
          </w:p>
        </w:tc>
        <w:tc>
          <w:tcPr>
            <w:tcW w:type="dxa" w:w="2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Formal submission to GBS Global within 30 days</w:t>
            </w:r>
          </w:p>
        </w:tc>
        <w:tc>
          <w:tcPr>
            <w:tcW w:type="dxa" w:w="18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COB final hearing; decision binding and permanent</w:t>
            </w:r>
          </w:p>
        </w:tc>
      </w:tr>
    </w:tbl>
    <w:p>
      <w:pPr>
        <w:pStyle w:val="Heading2"/>
      </w:pPr>
      <w:r>
        <w:t xml:space="preserve">6.2  Franchise Licensing Economics</w:t>
      </w:r>
    </w:p>
    <w:p>
      <w:pPr>
        <w:spacing w:after="160" w:line="276"/>
        <w:jc w:val="left"/>
      </w:pPr>
      <w:r>
        <w:t xml:space="preserve">The GBS franchise model is designed to be financially self-sustaining at scale while keeping participant costs at zero. The economic model is built on licensing fees from operators, outcome-based government funding, employer partnership fees, and philanthropic/DFI capital for start-up cohorts. The full modelled version of this table, with scenario tabs, is Document 07 of this package, the Financial Model Workbook.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2700"/>
        <w:gridCol w:w="4160"/>
      </w:tblGrid>
      <w:tr>
        <w:trPr>
          <w:tblHeader/>
        </w:trPr>
        <w:tc>
          <w:tcPr>
            <w:tcW w:type="dxa" w:w="25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Revenue Stream</w:t>
            </w:r>
          </w:p>
        </w:tc>
        <w:tc>
          <w:tcPr>
            <w:tcW w:type="dxa" w:w="27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Source</w:t>
            </w:r>
          </w:p>
        </w:tc>
        <w:tc>
          <w:tcPr>
            <w:tcW w:type="dxa" w:w="41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Structure</w:t>
            </w:r>
          </w:p>
        </w:tc>
      </w:tr>
      <w:tr>
        <w:tc>
          <w:tcPr>
            <w:tcW w:type="dxa" w:w="2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National Franchise Licence</w:t>
            </w:r>
          </w:p>
        </w:tc>
        <w:tc>
          <w:tcPr>
            <w:tcW w:type="dxa" w:w="2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National GBS (Layer 2)</w:t>
            </w:r>
          </w:p>
        </w:tc>
        <w:tc>
          <w:tcPr>
            <w:tcW w:type="dxa" w:w="4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Upfront licence fee + annual renewal + % of cohort revenue shared upward to GBS Global. Rate negotiated per country by GDP/capita and market size.</w:t>
            </w:r>
          </w:p>
        </w:tc>
      </w:tr>
      <w:tr>
        <w:tc>
          <w:tcPr>
            <w:tcW w:type="dxa" w:w="2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Regional Sub-Licence</w:t>
            </w:r>
          </w:p>
        </w:tc>
        <w:tc>
          <w:tcPr>
            <w:tcW w:type="dxa" w:w="2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Regional GBS (Layer 3)</w:t>
            </w:r>
          </w:p>
        </w:tc>
        <w:tc>
          <w:tcPr>
            <w:tcW w:type="dxa" w:w="4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Annual fee to National GBS. Includes branded curriculum, UDOC-governed case management systems, and the certified facilitator pool.</w:t>
            </w:r>
          </w:p>
        </w:tc>
      </w:tr>
      <w:tr>
        <w:tc>
          <w:tcPr>
            <w:tcW w:type="dxa" w:w="2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Delivery Operator Certification</w:t>
            </w:r>
          </w:p>
        </w:tc>
        <w:tc>
          <w:tcPr>
            <w:tcW w:type="dxa" w:w="2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Layer 4 operators</w:t>
            </w:r>
          </w:p>
        </w:tc>
        <w:tc>
          <w:tcPr>
            <w:tcW w:type="dxa" w:w="4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Annual certification fee. Recertification every 24 months. Revoked for constitutional violations or persistent poor outcomes.</w:t>
            </w:r>
          </w:p>
        </w:tc>
      </w:tr>
      <w:tr>
        <w:tc>
          <w:tcPr>
            <w:tcW w:type="dxa" w:w="2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Government Outcomes-Based Funding</w:t>
            </w:r>
          </w:p>
        </w:tc>
        <w:tc>
          <w:tcPr>
            <w:tcW w:type="dxa" w:w="2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SETA, EPWP, DSD, DCS, Provincial Skills Development</w:t>
            </w:r>
          </w:p>
        </w:tc>
        <w:tc>
          <w:tcPr>
            <w:tcW w:type="dxa" w:w="4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Per-outcome payment per verified 90-day employment placement. PFMA/MFMA compliant (Section 217, Constitution of SA).</w:t>
            </w:r>
          </w:p>
        </w:tc>
      </w:tr>
      <w:tr>
        <w:tc>
          <w:tcPr>
            <w:tcW w:type="dxa" w:w="2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Employer Partnership Fee</w:t>
            </w:r>
          </w:p>
        </w:tc>
        <w:tc>
          <w:tcPr>
            <w:tcW w:type="dxa" w:w="2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Layer 5 employers</w:t>
            </w:r>
          </w:p>
        </w:tc>
        <w:tc>
          <w:tcPr>
            <w:tcW w:type="dxa" w:w="4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Annual fee for preferred access to the graduate pool, co-branded employer profile, priority matching, UDOC-verified assessments.</w:t>
            </w:r>
          </w:p>
        </w:tc>
      </w:tr>
      <w:tr>
        <w:tc>
          <w:tcPr>
            <w:tcW w:type="dxa" w:w="2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B-BBEE Skills Development Credits</w:t>
            </w:r>
          </w:p>
        </w:tc>
        <w:tc>
          <w:tcPr>
            <w:tcW w:type="dxa" w:w="2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Host employers (Layer 5)</w:t>
            </w:r>
          </w:p>
        </w:tc>
        <w:tc>
          <w:tcPr>
            <w:tcW w:type="dxa" w:w="4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Employers earn B-BBEE scorecard points. The Absorption Commitment Clause (below) closes the credit-extraction gap identified through lived experience.</w:t>
            </w:r>
          </w:p>
        </w:tc>
      </w:tr>
    </w:tbl>
    <w:p>
      <w:pPr>
        <w:pStyle w:val="Heading2"/>
      </w:pPr>
      <w:r>
        <w:t xml:space="preserve">6.3  The GBS Absorption Commitment Clause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Non-negotiable in every GBS-SETHS employer partnership agreement:</w:t>
            </w:r>
          </w:p>
          <w:p>
            <w:pPr>
              <w:spacing w:after="160" w:line="276"/>
              <w:jc w:val="left"/>
            </w:pPr>
            <w:r>
              <w:rPr>
                <w:i/>
                <w:iCs/>
              </w:rPr>
              <w:t xml:space="preserve">"An employer who participates in GBS-SETHS as a B-BBEE skills development host commits to offering formal absorption consideration to every participant who completes the programme within their sector. 'Absorption consideration' means a documented interview process and a written decision letter within 30 days of programme completion. This does not guarantee employment — it guarantees that the participant is formally considered. The commitment letter forms part of the employer's UDOC-verified compliance record."</w:t>
            </w:r>
          </w:p>
          <w:p>
            <w:pPr>
              <w:spacing w:after="160" w:line="276"/>
              <w:jc w:val="left"/>
            </w:pPr>
            <w:r>
              <w:t xml:space="preserve">This clause directly addresses the learnership-abuse dynamic identified through the founder's own lived experience with the Terraco/Progression learnership model, where companies extract B-BBEE credits without ever intending to create employment. It does not prohibit non-absorption; it requires transparency and documented accountability, enforced through UDOC's sealed, auditable employer compliance records.</w:t>
            </w:r>
          </w:p>
        </w:tc>
      </w:tr>
    </w:tbl>
    <w:p>
      <w:r>
        <w:br w:type="page"/>
      </w:r>
    </w:p>
    <w:p>
      <w:pPr>
        <w:spacing w:after="60" w:before="200"/>
      </w:pPr>
      <w:r>
        <w:rPr>
          <w:b/>
          <w:bCs/>
          <w:color w:val="8C7330"/>
          <w:sz w:val="22"/>
          <w:szCs w:val="22"/>
        </w:rPr>
        <w:t xml:space="preserve">PART III</w:t>
      </w:r>
    </w:p>
    <w:p>
      <w:pPr>
        <w:spacing w:after="300"/>
      </w:pPr>
      <w:r>
        <w:rPr>
          <w:b/>
          <w:bCs/>
          <w:color w:val="16233A"/>
          <w:sz w:val="26"/>
          <w:szCs w:val="26"/>
        </w:rPr>
        <w:t xml:space="preserve">S.E.T.H.S. — THE HUMAN ACCELERATION ENGINE</w:t>
      </w:r>
    </w:p>
    <w:p>
      <w:pPr>
        <w:pStyle w:val="Heading1"/>
      </w:pPr>
      <w:r>
        <w:t xml:space="preserve">7. S.E.T.H.S. — Origin, Evolution &amp; Primary Identity</w:t>
      </w:r>
    </w:p>
    <w:p>
      <w:pPr>
        <w:spacing w:after="160" w:line="276"/>
        <w:jc w:val="left"/>
      </w:pPr>
      <w:r>
        <w:t xml:space="preserve">S.E.T.H.S. began in 2016 as Seth's Empire — named for the founder's son, Seth, then aged three. The original concept was a recruiting agency and surety arrangement specialising in placing recovering drug addicts and parolees (minor, non-violent offences only) with client companies, using IoT-based monitoring and cyclical mental and physical stability reviews. Seth's Empire stood surety for these individuals against client contractual requirements; where no external client contract was available, Seth's Empire employed them directly — functioning as employer-of-last-resort, not merely placement agent.</w:t>
      </w:r>
    </w:p>
    <w:p>
      <w:pPr>
        <w:spacing w:after="160" w:line="276"/>
        <w:jc w:val="left"/>
      </w:pPr>
      <w:r>
        <w:t xml:space="preserve">Over the following decade, as the founder's institutional vision expanded and as AI displacement began reshaping global labour markets, S.E.T.H.S. evolved. The rehabilitation and reintegration mission remained intact — and is explicitly protected as a primary cohort under Constitutional Pillar IX. S.E.T.H.S.'s primary identity going forward is broader: it is the Human Acceleration Engine, a response to AI-driven workforce displacement that serves everyone the world's economic systems are failing to prepare for an automated future.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S.E.T.H.S. Primary Identity (2026 onwards): </w:t>
            </w:r>
            <w:r>
              <w:t xml:space="preserve">Not a skills development programme with a reintegration arm. The Human Acceleration Engine — a lifelong, constitutionally governed system that continuously moves individuals from exclusion, displacement, or stagnation toward productive participation, economic dignity, and generational contribution.</w:t>
            </w:r>
          </w:p>
        </w:tc>
      </w:tr>
    </w:tbl>
    <w:p>
      <w:pPr>
        <w:pStyle w:val="Heading2"/>
      </w:pPr>
      <w:r>
        <w:t xml:space="preserve">7.1  The Four Target Cohorts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000"/>
        <w:gridCol w:w="2000"/>
        <w:gridCol w:w="1960"/>
      </w:tblGrid>
      <w:tr>
        <w:trPr>
          <w:tblHeader/>
        </w:trPr>
        <w:tc>
          <w:tcPr>
            <w:tcW w:type="dxa" w:w="2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Cohort</w:t>
            </w:r>
          </w:p>
        </w:tc>
        <w:tc>
          <w:tcPr>
            <w:tcW w:type="dxa" w:w="30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Population</w:t>
            </w:r>
          </w:p>
        </w:tc>
        <w:tc>
          <w:tcPr>
            <w:tcW w:type="dxa" w:w="20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Displacement Cause</w:t>
            </w:r>
          </w:p>
        </w:tc>
        <w:tc>
          <w:tcPr>
            <w:tcW w:type="dxa" w:w="19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Primary Entry Point</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 — Original (Rehabilitation &amp; Reintegration)</w:t>
            </w:r>
          </w:p>
        </w:tc>
        <w:tc>
          <w:tcPr>
            <w:tcW w:type="dxa" w:w="3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Justice-system leavers, substance recovery, mental health crises, domestic disruption, long-term marginalisation</w:t>
            </w:r>
          </w:p>
        </w:tc>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System-inflicted exclusion</w:t>
            </w:r>
          </w:p>
        </w:tc>
        <w:tc>
          <w:tcPr>
            <w:tcW w:type="dxa" w:w="1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Phase 0: Stabilisation &amp; Assessment. IoT-monitored surety model. Case-manager-led intake.</w:t>
            </w:r>
          </w:p>
        </w:tc>
      </w:tr>
      <w:tr>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2 — AI Displacement</w:t>
            </w:r>
          </w:p>
        </w:tc>
        <w:tc>
          <w:tcPr>
            <w:tcW w:type="dxa" w:w="3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Clerks, call-centre workers, bookkeepers, data-entry staff, administrative staff, factory workers displaced by automation and AI</w:t>
            </w:r>
          </w:p>
        </w:tc>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Technological disruption</w:t>
            </w:r>
          </w:p>
        </w:tc>
        <w:tc>
          <w:tcPr>
            <w:tcW w:type="dxa" w:w="19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Phase 1: AI Awareness Module. Rapid pathway reassignment.</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3 — Workforce Evolution</w:t>
            </w:r>
          </w:p>
        </w:tc>
        <w:tc>
          <w:tcPr>
            <w:tcW w:type="dxa" w:w="3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Teachers, nurses, accountants, engineers, managers, government employees still employed but needing adaptation skills</w:t>
            </w:r>
          </w:p>
        </w:tc>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Near-future technological disruption</w:t>
            </w:r>
          </w:p>
        </w:tc>
        <w:tc>
          <w:tcPr>
            <w:tcW w:type="dxa" w:w="1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Phase 2: AI Augmentation &amp; Collaboration skills, via Employer Ecosystem Partners.</w:t>
            </w:r>
          </w:p>
        </w:tc>
      </w:tr>
      <w:tr>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4 — Future Workforce</w:t>
            </w:r>
          </w:p>
        </w:tc>
        <w:tc>
          <w:tcPr>
            <w:tcW w:type="dxa" w:w="3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Students, graduates, apprentices entering a labour market fundamentally different from the one their training targeted</w:t>
            </w:r>
          </w:p>
        </w:tc>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Structural misalignment, education vs. economy</w:t>
            </w:r>
          </w:p>
        </w:tc>
        <w:tc>
          <w:tcPr>
            <w:tcW w:type="dxa" w:w="19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Phase 1 Stream alignment + AI Literacy Certification + Career Roadmap.</w:t>
            </w:r>
          </w:p>
        </w:tc>
      </w:tr>
    </w:tbl>
    <w:p>
      <w:pPr>
        <w:pStyle w:val="Heading2"/>
      </w:pPr>
      <w:r>
        <w:t xml:space="preserve">7.2  The Seven Core Mission Domains</w:t>
      </w:r>
    </w:p>
    <w:p>
      <w:pPr>
        <w:spacing w:after="160" w:line="276"/>
        <w:jc w:val="left"/>
      </w:pPr>
      <w:r>
        <w:t xml:space="preserve">Alongside the cohort model, GBS-SETHS operates across seven interconnected mission domains. No participant is served by one domain alone — the system moves each person through multiple domains simultaneously, and returns to earlier domains when life requires 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00"/>
        <w:gridCol w:w="2600"/>
        <w:gridCol w:w="6260"/>
      </w:tblGrid>
      <w:tr>
        <w:trPr>
          <w:tblHeader/>
        </w:trPr>
        <w:tc>
          <w:tcPr>
            <w:tcW w:type="dxa" w:w="5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w:t>
            </w:r>
          </w:p>
        </w:tc>
        <w:tc>
          <w:tcPr>
            <w:tcW w:type="dxa" w:w="2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Domain</w:t>
            </w:r>
          </w:p>
        </w:tc>
        <w:tc>
          <w:tcPr>
            <w:tcW w:type="dxa" w:w="62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What It Means in Practice</w:t>
            </w:r>
          </w:p>
        </w:tc>
      </w:tr>
      <w:tr>
        <w:tc>
          <w:tcPr>
            <w:tcW w:type="dxa" w:w="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w:t>
            </w:r>
          </w:p>
        </w:tc>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Rehabilitation &amp; Reintegration</w:t>
            </w:r>
          </w:p>
        </w:tc>
        <w:tc>
          <w:tcPr>
            <w:tcW w:type="dxa" w:w="6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For individuals exiting the criminal justice system, substance recovery, mental health crises, or domestic disruption. The original S.E.T.H.S. DNA — structured surety, monitored reintegration, employer preparation.</w:t>
            </w:r>
          </w:p>
        </w:tc>
      </w:tr>
      <w:tr>
        <w:tc>
          <w:tcPr>
            <w:tcW w:type="dxa" w:w="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2</w:t>
            </w:r>
          </w:p>
        </w:tc>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Workforce Development</w:t>
            </w:r>
          </w:p>
        </w:tc>
        <w:tc>
          <w:tcPr>
            <w:tcW w:type="dxa" w:w="6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Core vocational skills across streams aligned directly with T.S. Industries' seven subsidiaries.</w:t>
            </w:r>
          </w:p>
        </w:tc>
      </w:tr>
      <w:tr>
        <w:tc>
          <w:tcPr>
            <w:tcW w:type="dxa" w:w="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3</w:t>
            </w:r>
          </w:p>
        </w:tc>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AI Adaptation</w:t>
            </w:r>
          </w:p>
        </w:tc>
        <w:tc>
          <w:tcPr>
            <w:tcW w:type="dxa" w:w="6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AI literacy, prompt skills, and understanding of which roles AI is replacing and which it is creating — for every participant regardless of prior education. Not fear; readiness.</w:t>
            </w:r>
          </w:p>
        </w:tc>
      </w:tr>
      <w:tr>
        <w:tc>
          <w:tcPr>
            <w:tcW w:type="dxa" w:w="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4</w:t>
            </w:r>
          </w:p>
        </w:tc>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Human Capital Acceleration</w:t>
            </w:r>
          </w:p>
        </w:tc>
        <w:tc>
          <w:tcPr>
            <w:tcW w:type="dxa" w:w="6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Moving participants beyond employment into growth — supervisory skills, entrepreneurship pathways, financial literacy, personal leadership.</w:t>
            </w:r>
          </w:p>
        </w:tc>
      </w:tr>
      <w:tr>
        <w:tc>
          <w:tcPr>
            <w:tcW w:type="dxa" w:w="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5</w:t>
            </w:r>
          </w:p>
        </w:tc>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Economic Participation</w:t>
            </w:r>
          </w:p>
        </w:tc>
        <w:tc>
          <w:tcPr>
            <w:tcW w:type="dxa" w:w="6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Formal inclusion in the economy — banking, tax registration, credit access, insurance literacy — for participants who are often economically invisible.</w:t>
            </w:r>
          </w:p>
        </w:tc>
      </w:tr>
      <w:tr>
        <w:tc>
          <w:tcPr>
            <w:tcW w:type="dxa" w:w="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6</w:t>
            </w:r>
          </w:p>
        </w:tc>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Lifelong Learning</w:t>
            </w:r>
          </w:p>
        </w:tc>
        <w:tc>
          <w:tcPr>
            <w:tcW w:type="dxa" w:w="6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Phase 6 architecture (Section 9 below) — the door never closes. Alumni access upskilling and re-entry at any point in life.</w:t>
            </w:r>
          </w:p>
        </w:tc>
      </w:tr>
      <w:tr>
        <w:tc>
          <w:tcPr>
            <w:tcW w:type="dxa" w:w="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7</w:t>
            </w:r>
          </w:p>
        </w:tc>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Generational Knowledge Transfer</w:t>
            </w:r>
          </w:p>
        </w:tc>
        <w:tc>
          <w:tcPr>
            <w:tcW w:type="dxa" w:w="6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culmination of the CET/CTE loop: graduates become mentors, parents transform households, communities compound human capital across generations.</w:t>
            </w:r>
          </w:p>
        </w:tc>
      </w:tr>
    </w:tbl>
    <w:p>
      <w:pPr>
        <w:pStyle w:val="Heading1"/>
      </w:pPr>
      <w:r>
        <w:t xml:space="preserve">8. The Complete Pillar Architecture of S.E.T.H.S.</w:t>
      </w:r>
    </w:p>
    <w:p>
      <w:pPr>
        <w:spacing w:after="160" w:line="276"/>
        <w:jc w:val="left"/>
      </w:pPr>
      <w:r>
        <w:t xml:space="preserve">S.E.T.H.S. operates with two distinct pillar sets, each serving a different structural function. The Five Foundational Pillars define the character of the system and the conditions under which it operates. The Five Methodology Pillars define how the system delivers its outcomes. Both sets are constitutionally binding on every delivery operator, facilitator, and employer partner.</w:t>
      </w:r>
    </w:p>
    <w:p>
      <w:pPr>
        <w:pStyle w:val="Heading2"/>
      </w:pPr>
      <w:r>
        <w:t xml:space="preserve">8.1  The Five Foundational Pillars — Character &amp; Commercial Foundation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i/>
                <w:iCs/>
              </w:rPr>
              <w:t xml:space="preserve">"This is what 10 years of refinement produced — not a list of values, but a structural commercial machine wearing the language of dignity."</w:t>
            </w:r>
            <w:r>
              <w:t xml:space="preserve">  — Sashin J. Singh</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
        <w:gridCol w:w="1400"/>
        <w:gridCol w:w="4300"/>
        <w:gridCol w:w="2260"/>
      </w:tblGrid>
      <w:tr>
        <w:trPr>
          <w:tblHeader/>
        </w:trPr>
        <w:tc>
          <w:tcPr>
            <w:tcW w:type="dxa" w:w="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w:t>
            </w:r>
          </w:p>
        </w:tc>
        <w:tc>
          <w:tcPr>
            <w:tcW w:type="dxa" w:w="1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Pillar</w:t>
            </w:r>
          </w:p>
        </w:tc>
        <w:tc>
          <w:tcPr>
            <w:tcW w:type="dxa" w:w="43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Constitutional Definition</w:t>
            </w:r>
          </w:p>
        </w:tc>
        <w:tc>
          <w:tcPr>
            <w:tcW w:type="dxa" w:w="22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Commercial Mapping</w:t>
            </w:r>
          </w:p>
        </w:tc>
      </w:tr>
      <w:tr>
        <w:tc>
          <w:tcPr>
            <w:tcW w:type="dxa" w:w="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w:t>
            </w:r>
          </w:p>
        </w:tc>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HONESTY</w:t>
            </w:r>
          </w:p>
        </w:tc>
        <w:tc>
          <w:tcPr>
            <w:tcW w:type="dxa" w:w="43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non-negotiable foundation. Honesty with self, employer, case manager, and system. Honesty is the only currency GBS-SETHS trades in — and it compounds.</w:t>
            </w:r>
          </w:p>
        </w:tc>
        <w:tc>
          <w:tcPr>
            <w:tcW w:type="dxa" w:w="2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Employer trust. Contract reliability. UDOC audit-trail integrity. DFI confidence in outcomes data.</w:t>
            </w:r>
          </w:p>
        </w:tc>
      </w:tr>
      <w:tr>
        <w:tc>
          <w:tcPr>
            <w:tcW w:type="dxa" w:w="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II</w:t>
            </w:r>
          </w:p>
        </w:tc>
        <w:tc>
          <w:tcPr>
            <w:tcW w:type="dxa" w:w="1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TOLERANCE</w:t>
            </w:r>
          </w:p>
        </w:tc>
        <w:tc>
          <w:tcPr>
            <w:tcW w:type="dxa" w:w="43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Belief cannot be imposed, only discovered. Every participant's belief system, background, and personal starting point is the beginning, never a disqualifier.</w:t>
            </w:r>
          </w:p>
        </w:tc>
        <w:tc>
          <w:tcPr>
            <w:tcW w:type="dxa" w:w="2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Cohort retention. Long-term stability. Cross-cultural franchise scalability.</w:t>
            </w:r>
          </w:p>
        </w:tc>
      </w:tr>
      <w:tr>
        <w:tc>
          <w:tcPr>
            <w:tcW w:type="dxa" w:w="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III</w:t>
            </w:r>
          </w:p>
        </w:tc>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BELIEF SYSTEMS</w:t>
            </w:r>
          </w:p>
        </w:tc>
        <w:tc>
          <w:tcPr>
            <w:tcW w:type="dxa" w:w="43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G.O.D.S. is a General Belief System built on what connects humanity, not what divides it. No religious affiliation; respects all of them.</w:t>
            </w:r>
          </w:p>
        </w:tc>
        <w:tc>
          <w:tcPr>
            <w:tcW w:type="dxa" w:w="2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Continental scalability. No market-access barriers based on religion or culture.</w:t>
            </w:r>
          </w:p>
        </w:tc>
      </w:tr>
      <w:tr>
        <w:tc>
          <w:tcPr>
            <w:tcW w:type="dxa" w:w="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IV</w:t>
            </w:r>
          </w:p>
        </w:tc>
        <w:tc>
          <w:tcPr>
            <w:tcW w:type="dxa" w:w="1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EQUALITY</w:t>
            </w:r>
          </w:p>
        </w:tc>
        <w:tc>
          <w:tcPr>
            <w:tcW w:type="dxa" w:w="43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Every participant enters as an equal — not in circumstance, but in potential and in how the system treats them. Structured equality in process produces measurable equality in outcome.</w:t>
            </w:r>
          </w:p>
        </w:tc>
        <w:tc>
          <w:tcPr>
            <w:tcW w:type="dxa" w:w="2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Certification integrity. Credential credibility with employers. Legal compliance.</w:t>
            </w:r>
          </w:p>
        </w:tc>
      </w:tr>
      <w:tr>
        <w:tc>
          <w:tcPr>
            <w:tcW w:type="dxa" w:w="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V</w:t>
            </w:r>
          </w:p>
        </w:tc>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PRIDE</w:t>
            </w:r>
          </w:p>
        </w:tc>
        <w:tc>
          <w:tcPr>
            <w:tcW w:type="dxa" w:w="43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output of the entire journey — the state in which a graduate becomes a mentor. Pride is the system's self-replication engine.</w:t>
            </w:r>
          </w:p>
        </w:tc>
        <w:tc>
          <w:tcPr>
            <w:tcW w:type="dxa" w:w="2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Long-term retention. Peer-mentor pipeline activation. Phase 6 sustained engagement.</w:t>
            </w:r>
          </w:p>
        </w:tc>
      </w:tr>
    </w:tbl>
    <w:p>
      <w:pPr>
        <w:pStyle w:val="Heading2"/>
      </w:pPr>
      <w:r>
        <w:t xml:space="preserve">8.2  The Five GBS-SETHS Methodology Pillars — Operational Delivery</w:t>
      </w:r>
    </w:p>
    <w:p>
      <w:pPr>
        <w:spacing w:after="160" w:line="276"/>
        <w:jc w:val="left"/>
      </w:pPr>
      <w:r>
        <w:t xml:space="preserve">Together they spell C-E-T-H-S — the operational dimensions of the CET/CTE framework.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2400"/>
        <w:gridCol w:w="3500"/>
        <w:gridCol w:w="1960"/>
      </w:tblGrid>
      <w:tr>
        <w:trPr>
          <w:tblHeader/>
        </w:trPr>
        <w:tc>
          <w:tcPr>
            <w:tcW w:type="dxa" w:w="15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Pillar</w:t>
            </w:r>
          </w:p>
        </w:tc>
        <w:tc>
          <w:tcPr>
            <w:tcW w:type="dxa" w:w="2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Domain</w:t>
            </w:r>
          </w:p>
        </w:tc>
        <w:tc>
          <w:tcPr>
            <w:tcW w:type="dxa" w:w="35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Objectives</w:t>
            </w:r>
          </w:p>
        </w:tc>
        <w:tc>
          <w:tcPr>
            <w:tcW w:type="dxa" w:w="19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CET/CTE Link</w:t>
            </w:r>
          </w:p>
        </w:tc>
      </w:tr>
      <w:tr>
        <w:tc>
          <w:tcPr>
            <w:tcW w:type="dxa" w:w="1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 — Communication</w:t>
            </w:r>
          </w:p>
        </w:tc>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Language · Expression · Advocacy · AI Literacy</w:t>
            </w:r>
          </w:p>
        </w:tc>
        <w:tc>
          <w:tcPr>
            <w:tcW w:type="dxa" w:w="3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Workplace language, professional writing, negotiation, AI interaction, prompt engineering, cultural intelligence.</w:t>
            </w:r>
          </w:p>
        </w:tc>
        <w:tc>
          <w:tcPr>
            <w:tcW w:type="dxa" w:w="1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CET — Communicate: knowledge transfer from facilitator to participant.</w:t>
            </w:r>
          </w:p>
        </w:tc>
      </w:tr>
      <w:tr>
        <w:tc>
          <w:tcPr>
            <w:tcW w:type="dxa" w:w="1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 — Education</w:t>
            </w:r>
          </w:p>
        </w:tc>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Technical Skills · Certification · Career Pathways</w:t>
            </w:r>
          </w:p>
        </w:tc>
        <w:tc>
          <w:tcPr>
            <w:tcW w:type="dxa" w:w="3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Vocational skills, AI literacy, industry certifications, career pathway mapping — registered under existing SAQA unit standards, evolving toward GBS-SETHS-specific accreditation.</w:t>
            </w:r>
          </w:p>
        </w:tc>
        <w:tc>
          <w:tcPr>
            <w:tcW w:type="dxa" w:w="19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CET — Educate: structured transfer converting communication into capability.</w:t>
            </w:r>
          </w:p>
        </w:tc>
      </w:tr>
      <w:tr>
        <w:tc>
          <w:tcPr>
            <w:tcW w:type="dxa" w:w="1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 — Transportation</w:t>
            </w:r>
          </w:p>
        </w:tc>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Physical · Digital · Opportunity Access</w:t>
            </w:r>
          </w:p>
        </w:tc>
        <w:tc>
          <w:tcPr>
            <w:tcW w:type="dxa" w:w="3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Employment access support, digital connectivity, AI/cloud tool access, job matching, T.S. Industries employment pathway.</w:t>
            </w:r>
          </w:p>
        </w:tc>
        <w:tc>
          <w:tcPr>
            <w:tcW w:type="dxa" w:w="1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CET — Transfer: technology and logistics carry knowledge to employment.</w:t>
            </w:r>
          </w:p>
        </w:tc>
      </w:tr>
      <w:tr>
        <w:tc>
          <w:tcPr>
            <w:tcW w:type="dxa" w:w="1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H — Human Capital</w:t>
            </w:r>
          </w:p>
        </w:tc>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Identity · Professionalism · Entrepreneurship · Finance</w:t>
            </w:r>
          </w:p>
        </w:tc>
        <w:tc>
          <w:tcPr>
            <w:tcW w:type="dxa" w:w="3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Employment readiness, entrepreneurship readiness, financial literacy, professional identity, UDOC-verified credentials.</w:t>
            </w:r>
          </w:p>
        </w:tc>
        <w:tc>
          <w:tcPr>
            <w:tcW w:type="dxa" w:w="19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CTE — Carry: the graduate carries developed human capital into the economy.</w:t>
            </w:r>
          </w:p>
        </w:tc>
      </w:tr>
      <w:tr>
        <w:tc>
          <w:tcPr>
            <w:tcW w:type="dxa" w:w="1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 — Sustainability</w:t>
            </w:r>
          </w:p>
        </w:tc>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Alumni · Mentorship · Re-entry · Lifelong Learning</w:t>
            </w:r>
          </w:p>
        </w:tc>
        <w:tc>
          <w:tcPr>
            <w:tcW w:type="dxa" w:w="3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Alumni engagement, peer-mentor pathway, Phase 6 re-entry guarantee, the Skills Passport.</w:t>
            </w:r>
          </w:p>
        </w:tc>
        <w:tc>
          <w:tcPr>
            <w:tcW w:type="dxa" w:w="1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CTE — Evolve: the system evolves as alumni return real-world experience.</w:t>
            </w:r>
          </w:p>
        </w:tc>
      </w:tr>
    </w:tbl>
    <w:p>
      <w:pPr>
        <w:pStyle w:val="Heading1"/>
      </w:pPr>
      <w:r>
        <w:t xml:space="preserve">9. The CET/CTE Operating System</w:t>
      </w:r>
    </w:p>
    <w:p>
      <w:pPr>
        <w:spacing w:after="160" w:line="276"/>
        <w:jc w:val="left"/>
      </w:pPr>
      <w:r>
        <w:t xml:space="preserve">The CET/CTE framework is the intellectual core of GBS-SETHS — a continuous knowledge-transfer methodology first articulated in Chapter 10 of the founder's published memoir, Confessions of an Addict (He'll Never Change) (novum publishing, 2025), under the title 'The Theory of Exposure.' It is the framework that transforms a training programme into a living, self-replicating human acceleration engine.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CET — Knowledge Transfer Phase: </w:t>
            </w:r>
            <w:r>
              <w:t xml:space="preserve">A teacher communicates knowledge → technology carries it → a student learns it. </w:t>
            </w:r>
            <w:r>
              <w:rPr>
                <w:b/>
                <w:bCs/>
              </w:rPr>
              <w:t xml:space="preserve">CTE — Opportunity Exposure Phase: </w:t>
            </w:r>
            <w:r>
              <w:t xml:space="preserve">A student carries knowledge into the world → transfers it to the next learner → evolves it through real-world application.</w:t>
            </w:r>
            <w:r>
              <w:t xml:space="preserve">  </w:t>
            </w:r>
            <w:r>
              <w:rPr>
                <w:i/>
                <w:iCs/>
              </w:rPr>
              <w:t xml:space="preserve">"Not an AI engine. A human acceleration engine." — Sashin J. Singh, 2016</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2100"/>
        <w:gridCol w:w="1700"/>
        <w:gridCol w:w="3260"/>
        <w:gridCol w:w="1600"/>
      </w:tblGrid>
      <w:tr>
        <w:trPr>
          <w:tblHeader/>
        </w:trPr>
        <w:tc>
          <w:tcPr>
            <w:tcW w:type="dxa" w:w="7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Stage</w:t>
            </w:r>
          </w:p>
        </w:tc>
        <w:tc>
          <w:tcPr>
            <w:tcW w:type="dxa" w:w="21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Name</w:t>
            </w:r>
          </w:p>
        </w:tc>
        <w:tc>
          <w:tcPr>
            <w:tcW w:type="dxa" w:w="17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Duration</w:t>
            </w:r>
          </w:p>
        </w:tc>
        <w:tc>
          <w:tcPr>
            <w:tcW w:type="dxa" w:w="32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Key Activity</w:t>
            </w:r>
          </w:p>
        </w:tc>
        <w:tc>
          <w:tcPr>
            <w:tcW w:type="dxa" w:w="1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Output</w:t>
            </w:r>
          </w:p>
        </w:tc>
      </w:tr>
      <w:tr>
        <w:tc>
          <w:tcPr>
            <w:tcW w:type="dxa" w:w="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0</w:t>
            </w:r>
          </w:p>
        </w:tc>
        <w:tc>
          <w:tcPr>
            <w:tcW w:type="dxa" w:w="21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Stabilisation &amp; Assessment</w:t>
            </w:r>
          </w:p>
        </w:tc>
        <w:tc>
          <w:tcPr>
            <w:tcW w:type="dxa" w:w="1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Weeks 1–2</w:t>
            </w:r>
          </w:p>
        </w:tc>
        <w:tc>
          <w:tcPr>
            <w:tcW w:type="dxa" w:w="3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Intake profiling, safety assessment (Cohort 1), AI displacement mapping (Cohorts 2/3), cohort assignment, Self-Affirmation Contract (see box below).</w:t>
            </w:r>
          </w:p>
        </w:tc>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Participant profile; vocational pathway assignment.</w:t>
            </w:r>
          </w:p>
        </w:tc>
      </w:tr>
      <w:tr>
        <w:tc>
          <w:tcPr>
            <w:tcW w:type="dxa" w:w="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01</w:t>
            </w:r>
          </w:p>
        </w:tc>
        <w:tc>
          <w:tcPr>
            <w:tcW w:type="dxa" w:w="21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CET — Communicate</w:t>
            </w:r>
          </w:p>
        </w:tc>
        <w:tc>
          <w:tcPr>
            <w:tcW w:type="dxa" w:w="1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Weeks 3–6</w:t>
            </w:r>
          </w:p>
        </w:tc>
        <w:tc>
          <w:tcPr>
            <w:tcW w:type="dxa" w:w="3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Foundation skills: literacy, numeracy, communication, AI literacy basics. Case-manager relationship established.</w:t>
            </w:r>
          </w:p>
        </w:tc>
        <w:tc>
          <w:tcPr>
            <w:tcW w:type="dxa" w:w="1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Foundation competence; communication baseline.</w:t>
            </w:r>
          </w:p>
        </w:tc>
      </w:tr>
      <w:tr>
        <w:tc>
          <w:tcPr>
            <w:tcW w:type="dxa" w:w="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02</w:t>
            </w:r>
          </w:p>
        </w:tc>
        <w:tc>
          <w:tcPr>
            <w:tcW w:type="dxa" w:w="21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CET — Educate</w:t>
            </w:r>
          </w:p>
        </w:tc>
        <w:tc>
          <w:tcPr>
            <w:tcW w:type="dxa" w:w="1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Weeks 7–18</w:t>
            </w:r>
          </w:p>
        </w:tc>
        <w:tc>
          <w:tcPr>
            <w:tcW w:type="dxa" w:w="3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Core vocational stream + AI skills + financial literacy + professional identity. Mentorship matching.</w:t>
            </w:r>
          </w:p>
        </w:tc>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Employer-readiness certification; portfolio of evidence.</w:t>
            </w:r>
          </w:p>
        </w:tc>
      </w:tr>
      <w:tr>
        <w:tc>
          <w:tcPr>
            <w:tcW w:type="dxa" w:w="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03</w:t>
            </w:r>
          </w:p>
        </w:tc>
        <w:tc>
          <w:tcPr>
            <w:tcW w:type="dxa" w:w="21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CET — Transfer</w:t>
            </w:r>
          </w:p>
        </w:tc>
        <w:tc>
          <w:tcPr>
            <w:tcW w:type="dxa" w:w="1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Weeks 19–24</w:t>
            </w:r>
          </w:p>
        </w:tc>
        <w:tc>
          <w:tcPr>
            <w:tcW w:type="dxa" w:w="3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Active placement support, employer activation, case-manager monitoring, T.S. Industries pipeline.</w:t>
            </w:r>
          </w:p>
        </w:tc>
        <w:tc>
          <w:tcPr>
            <w:tcW w:type="dxa" w:w="1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Verified employment commencement.</w:t>
            </w:r>
          </w:p>
        </w:tc>
      </w:tr>
      <w:tr>
        <w:tc>
          <w:tcPr>
            <w:tcW w:type="dxa" w:w="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04</w:t>
            </w:r>
          </w:p>
        </w:tc>
        <w:tc>
          <w:tcPr>
            <w:tcW w:type="dxa" w:w="21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Assessment</w:t>
            </w:r>
          </w:p>
        </w:tc>
        <w:tc>
          <w:tcPr>
            <w:tcW w:type="dxa" w:w="1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Week 25, Month 3, Month 6</w:t>
            </w:r>
          </w:p>
        </w:tc>
        <w:tc>
          <w:tcPr>
            <w:tcW w:type="dxa" w:w="3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30/60/90-day employment outcome verification; UDOC sealed audit trail; COB quarterly report.</w:t>
            </w:r>
          </w:p>
        </w:tc>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Primary outcome metrics; GIS outcome record.</w:t>
            </w:r>
          </w:p>
        </w:tc>
      </w:tr>
      <w:tr>
        <w:tc>
          <w:tcPr>
            <w:tcW w:type="dxa" w:w="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05</w:t>
            </w:r>
          </w:p>
        </w:tc>
        <w:tc>
          <w:tcPr>
            <w:tcW w:type="dxa" w:w="21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Deployment</w:t>
            </w:r>
          </w:p>
        </w:tc>
        <w:tc>
          <w:tcPr>
            <w:tcW w:type="dxa" w:w="1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Months 6–12</w:t>
            </w:r>
          </w:p>
        </w:tc>
        <w:tc>
          <w:tcPr>
            <w:tcW w:type="dxa" w:w="3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Upskilling module access, employer check-ins, cohort reunion, AI adaptation support.</w:t>
            </w:r>
          </w:p>
        </w:tc>
        <w:tc>
          <w:tcPr>
            <w:tcW w:type="dxa" w:w="1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Employment retention; income growth; Skills Passport update.</w:t>
            </w:r>
          </w:p>
        </w:tc>
      </w:tr>
      <w:tr>
        <w:tc>
          <w:tcPr>
            <w:tcW w:type="dxa" w:w="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06</w:t>
            </w:r>
          </w:p>
        </w:tc>
        <w:tc>
          <w:tcPr>
            <w:tcW w:type="dxa" w:w="21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Employment</w:t>
            </w:r>
          </w:p>
        </w:tc>
        <w:tc>
          <w:tcPr>
            <w:tcW w:type="dxa" w:w="1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Continuous</w:t>
            </w:r>
          </w:p>
        </w:tc>
        <w:tc>
          <w:tcPr>
            <w:tcW w:type="dxa" w:w="3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Participant in formal employment, accessing ongoing support.</w:t>
            </w:r>
          </w:p>
        </w:tc>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Economic participation data; M.A.D.I.B.A impact metric.</w:t>
            </w:r>
          </w:p>
        </w:tc>
      </w:tr>
      <w:tr>
        <w:tc>
          <w:tcPr>
            <w:tcW w:type="dxa" w:w="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07</w:t>
            </w:r>
          </w:p>
        </w:tc>
        <w:tc>
          <w:tcPr>
            <w:tcW w:type="dxa" w:w="21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Mentorship</w:t>
            </w:r>
          </w:p>
        </w:tc>
        <w:tc>
          <w:tcPr>
            <w:tcW w:type="dxa" w:w="1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Month 6 onwards</w:t>
            </w:r>
          </w:p>
        </w:tc>
        <w:tc>
          <w:tcPr>
            <w:tcW w:type="dxa" w:w="3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Eligible alumni invited to the peer-mentor pathway; stipended mentorship roles.</w:t>
            </w:r>
          </w:p>
        </w:tc>
        <w:tc>
          <w:tcPr>
            <w:tcW w:type="dxa" w:w="1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Peer mentor pool — the system's next CET delivery layer.</w:t>
            </w:r>
          </w:p>
        </w:tc>
      </w:tr>
      <w:tr>
        <w:tc>
          <w:tcPr>
            <w:tcW w:type="dxa" w:w="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08</w:t>
            </w:r>
          </w:p>
        </w:tc>
        <w:tc>
          <w:tcPr>
            <w:tcW w:type="dxa" w:w="21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Phase 6: The Door Never Closes</w:t>
            </w:r>
          </w:p>
        </w:tc>
        <w:tc>
          <w:tcPr>
            <w:tcW w:type="dxa" w:w="1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Perpetual</w:t>
            </w:r>
          </w:p>
        </w:tc>
        <w:tc>
          <w:tcPr>
            <w:tcW w:type="dxa" w:w="3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Alumni re-entry at any life stage. No time limit, no reason required.</w:t>
            </w:r>
          </w:p>
        </w:tc>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Generational knowledge transfer; system self-replication.</w:t>
            </w:r>
          </w:p>
        </w:tc>
      </w:tr>
    </w:tbl>
    <w:p>
      <w:pPr>
        <w:pStyle w:val="Heading3"/>
      </w:pPr>
      <w:r>
        <w:t xml:space="preserve">The Self-Affirmation Contract — Intake Commitment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i/>
                <w:iCs/>
              </w:rPr>
              <w:t xml:space="preserve">"The student's contract is to themselves, signed with their coordinated entrance assessment."</w:t>
            </w:r>
            <w:r>
              <w:t xml:space="preserve">  — Sashin J. Singh, June 2026</w:t>
            </w:r>
          </w:p>
          <w:p>
            <w:pPr>
              <w:spacing w:after="160" w:line="276"/>
              <w:jc w:val="left"/>
            </w:pPr>
            <w:r>
              <w:t xml:space="preserve">Every participant entering GBS-SETHS signs a Self-Affirmation Contract at intake — not a legal document of obligation, but a personal commitment made to themselves in the presence of their intake case manager. It is witnessed, held in the participant's portfolio of evidence, and revisited at every major milestone. It asks three questions drawn directly from the Founder's Doctrine:</w:t>
            </w:r>
          </w:p>
          <w:p>
            <w:pPr>
              <w:spacing w:after="160" w:line="276"/>
              <w:jc w:val="left"/>
            </w:pPr>
            <w:r>
              <w:rPr>
                <w:b/>
                <w:bCs/>
              </w:rPr>
              <w:t xml:space="preserve">1.  </w:t>
            </w:r>
            <w:r>
              <w:t xml:space="preserve">What do you want to change about your life?</w:t>
            </w:r>
          </w:p>
          <w:p>
            <w:pPr>
              <w:spacing w:after="160" w:line="276"/>
              <w:jc w:val="left"/>
            </w:pPr>
            <w:r>
              <w:rPr>
                <w:b/>
                <w:bCs/>
              </w:rPr>
              <w:t xml:space="preserve">2.  </w:t>
            </w:r>
            <w:r>
              <w:t xml:space="preserve">Why now?</w:t>
            </w:r>
          </w:p>
          <w:p>
            <w:pPr>
              <w:spacing w:after="160" w:line="276"/>
              <w:jc w:val="left"/>
            </w:pPr>
            <w:r>
              <w:rPr>
                <w:b/>
                <w:bCs/>
              </w:rPr>
              <w:t xml:space="preserve">3.  </w:t>
            </w:r>
            <w:r>
              <w:t xml:space="preserve">What does the person you are becoming look like?</w:t>
            </w:r>
          </w:p>
          <w:p>
            <w:pPr>
              <w:spacing w:after="160" w:line="276"/>
              <w:jc w:val="left"/>
            </w:pPr>
            <w:r>
              <w:t xml:space="preserve">The Self-Affirmation Contract is never used as leverage or enforced. It is the participant's own words, held for the participant, by the participant — a documented starting point graduates can look back on as evidence of how far they have travelled.</w:t>
            </w:r>
          </w:p>
        </w:tc>
      </w:tr>
    </w:tbl>
    <w:p>
      <w:pPr>
        <w:pStyle w:val="Heading3"/>
      </w:pPr>
      <w:r>
        <w:t xml:space="preserve">Phase 6 — The Door Never Closes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Principle: </w:t>
            </w:r>
            <w:r>
              <w:t xml:space="preserve">No graduate of GBS-SETHS is ever permanently off the system's books. Phase 6 is not a formal programme phase with a timetable — it is the permanent infrastructure of re-entry. Any graduate, regardless of how long they have been out or how many times they have fallen, can contact their originating node and receive:</w:t>
            </w:r>
          </w:p>
          <w:p>
            <w:pPr>
              <w:pStyle w:val="ListParagraph"/>
              <w:numPr>
                <w:ilvl w:val="0"/>
                <w:numId w:val="2"/>
              </w:numPr>
              <w:spacing w:after="100" w:line="276"/>
            </w:pPr>
            <w:r>
              <w:t xml:space="preserve">A case manager conversation within 5 business days</w:t>
            </w:r>
          </w:p>
          <w:p>
            <w:pPr>
              <w:pStyle w:val="ListParagraph"/>
              <w:numPr>
                <w:ilvl w:val="0"/>
                <w:numId w:val="2"/>
              </w:numPr>
              <w:spacing w:after="100" w:line="276"/>
            </w:pPr>
            <w:r>
              <w:t xml:space="preserve">Access to the upskilling module library — no fees, no re-assessment required</w:t>
            </w:r>
          </w:p>
          <w:p>
            <w:pPr>
              <w:pStyle w:val="ListParagraph"/>
              <w:numPr>
                <w:ilvl w:val="0"/>
                <w:numId w:val="2"/>
              </w:numPr>
              <w:spacing w:after="100" w:line="276"/>
            </w:pPr>
            <w:r>
              <w:t xml:space="preserve">Referral to re-placement support if needed</w:t>
            </w:r>
          </w:p>
          <w:p>
            <w:pPr>
              <w:pStyle w:val="ListParagraph"/>
              <w:numPr>
                <w:ilvl w:val="0"/>
                <w:numId w:val="2"/>
              </w:numPr>
              <w:spacing w:after="100" w:line="276"/>
            </w:pPr>
            <w:r>
              <w:t xml:space="preserve">Emergency support fund access (where available) for immediate crisis stabilisation</w:t>
            </w:r>
          </w:p>
          <w:p>
            <w:pPr>
              <w:pStyle w:val="ListParagraph"/>
              <w:numPr>
                <w:ilvl w:val="0"/>
                <w:numId w:val="2"/>
              </w:numPr>
              <w:spacing w:after="100" w:line="276"/>
            </w:pPr>
            <w:r>
              <w:t xml:space="preserve">Peer mentor network connection — other alumni who have experienced similar transitions</w:t>
            </w:r>
          </w:p>
          <w:p>
            <w:pPr>
              <w:spacing w:after="160" w:line="276"/>
              <w:jc w:val="left"/>
            </w:pPr>
            <w:r>
              <w:t xml:space="preserve">Phase 6 does not require a reason, a minimum time away, or a minimum time clean. The only requirement is that the person asks. No competitor in the South African or African workforce-development market has been found to offer this. It is GBS-SETHS's most significant structural differentiator.</w:t>
            </w:r>
          </w:p>
        </w:tc>
      </w:tr>
    </w:tbl>
    <w:p>
      <w:pPr>
        <w:pStyle w:val="Heading1"/>
      </w:pPr>
      <w:r>
        <w:t xml:space="preserve">10. AI Workforce Adaptation Framework — Five Stages</w:t>
      </w:r>
    </w:p>
    <w:p>
      <w:pPr>
        <w:spacing w:after="160" w:line="276"/>
        <w:jc w:val="left"/>
      </w:pPr>
      <w:r>
        <w:t xml:space="preserve">The AI Workforce Adaptation Framework is the structured response to AI-driven labour-market displacement — applicable to Cohort 2 (displaced workers), Cohort 3 (adaptation-needing employed workers), and Cohort 4 (future workforce). It runs as a parallel track through the CET/CTE system.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2000"/>
        <w:gridCol w:w="4260"/>
        <w:gridCol w:w="2400"/>
      </w:tblGrid>
      <w:tr>
        <w:trPr>
          <w:tblHeader/>
        </w:trPr>
        <w:tc>
          <w:tcPr>
            <w:tcW w:type="dxa" w:w="7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Stage</w:t>
            </w:r>
          </w:p>
        </w:tc>
        <w:tc>
          <w:tcPr>
            <w:tcW w:type="dxa" w:w="20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Name</w:t>
            </w:r>
          </w:p>
        </w:tc>
        <w:tc>
          <w:tcPr>
            <w:tcW w:type="dxa" w:w="42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Core Questions</w:t>
            </w:r>
          </w:p>
        </w:tc>
        <w:tc>
          <w:tcPr>
            <w:tcW w:type="dxa" w:w="2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Output</w:t>
            </w:r>
          </w:p>
        </w:tc>
      </w:tr>
      <w:tr>
        <w:tc>
          <w:tcPr>
            <w:tcW w:type="dxa" w:w="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w:t>
            </w:r>
          </w:p>
        </w:tc>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AI Awareness</w:t>
            </w:r>
          </w:p>
        </w:tc>
        <w:tc>
          <w:tcPr>
            <w:tcW w:type="dxa" w:w="4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What jobs are changing? What tasks are automated? What skills remain valuable?</w:t>
            </w:r>
          </w:p>
        </w:tc>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Personal AI Displacement Map; sector-specific awareness.</w:t>
            </w:r>
          </w:p>
        </w:tc>
      </w:tr>
      <w:tr>
        <w:tc>
          <w:tcPr>
            <w:tcW w:type="dxa" w:w="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2</w:t>
            </w:r>
          </w:p>
        </w:tc>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AI Augmentation</w:t>
            </w:r>
          </w:p>
        </w:tc>
        <w:tc>
          <w:tcPr>
            <w:tcW w:type="dxa" w:w="4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How does AI assist, accelerate, and complement human work?</w:t>
            </w:r>
          </w:p>
        </w:tc>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AI Augmentation Certification; tool proficiency.</w:t>
            </w:r>
          </w:p>
        </w:tc>
      </w:tr>
      <w:tr>
        <w:tc>
          <w:tcPr>
            <w:tcW w:type="dxa" w:w="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3</w:t>
            </w:r>
          </w:p>
        </w:tc>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AI Collaboration</w:t>
            </w:r>
          </w:p>
        </w:tc>
        <w:tc>
          <w:tcPr>
            <w:tcW w:type="dxa" w:w="4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How do I redesign my workflow, supervise AI outputs, and maintain oversight?</w:t>
            </w:r>
          </w:p>
        </w:tc>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AI Collaboration Portfolio; workflow redesign evidence.</w:t>
            </w:r>
          </w:p>
        </w:tc>
      </w:tr>
      <w:tr>
        <w:tc>
          <w:tcPr>
            <w:tcW w:type="dxa" w:w="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4</w:t>
            </w:r>
          </w:p>
        </w:tc>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Career Evolution</w:t>
            </w:r>
          </w:p>
        </w:tc>
        <w:tc>
          <w:tcPr>
            <w:tcW w:type="dxa" w:w="42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What adjacent careers and industries are emerging? Where do my human skills transfer?</w:t>
            </w:r>
          </w:p>
        </w:tc>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Personal Career Roadmap; adjacent pathway activated.</w:t>
            </w:r>
          </w:p>
        </w:tc>
      </w:tr>
      <w:tr>
        <w:tc>
          <w:tcPr>
            <w:tcW w:type="dxa" w:w="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5</w:t>
            </w:r>
          </w:p>
        </w:tc>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Continuous Reinvention</w:t>
            </w:r>
          </w:p>
        </w:tc>
        <w:tc>
          <w:tcPr>
            <w:tcW w:type="dxa" w:w="42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How do I stay adaptable for the next decade?</w:t>
            </w:r>
          </w:p>
        </w:tc>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GBS-SETHS Skills Passport; Lifelong Learning Plan; AI Readiness Score (updated annually).</w:t>
            </w:r>
          </w:p>
        </w:tc>
      </w:tr>
    </w:tbl>
    <w:p>
      <w:pPr>
        <w:pStyle w:val="Heading2"/>
      </w:pPr>
      <w:r>
        <w:t xml:space="preserve">10.1  The GBS-SETHS Skills Passport</w:t>
      </w:r>
    </w:p>
    <w:p>
      <w:pPr>
        <w:spacing w:after="160" w:line="276"/>
        <w:jc w:val="left"/>
      </w:pPr>
      <w:r>
        <w:t xml:space="preserve">The full technical specification for the Skills Passport — data model, verification flows, and UDOC/GIS integration — is Document 04 of this package. In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t xml:space="preserve">Every GBS-SETHS participant receives a Skills Passport — a UDOC-issued, GIS-verified, digitally portable credential record that:</w:t>
            </w:r>
          </w:p>
          <w:p>
            <w:pPr>
              <w:pStyle w:val="ListParagraph"/>
              <w:numPr>
                <w:ilvl w:val="0"/>
                <w:numId w:val="2"/>
              </w:numPr>
              <w:spacing w:after="100" w:line="276"/>
            </w:pPr>
            <w:r>
              <w:t xml:space="preserve">Records every qualification, certification, and competency achievement across their lifetime</w:t>
            </w:r>
          </w:p>
          <w:p>
            <w:pPr>
              <w:pStyle w:val="ListParagraph"/>
              <w:numPr>
                <w:ilvl w:val="0"/>
                <w:numId w:val="2"/>
              </w:numPr>
              <w:spacing w:after="100" w:line="276"/>
            </w:pPr>
            <w:r>
              <w:t xml:space="preserve">Is verifiable by any employer, education institution, or government agency via UDOC's sealed audit trail</w:t>
            </w:r>
          </w:p>
          <w:p>
            <w:pPr>
              <w:pStyle w:val="ListParagraph"/>
              <w:numPr>
                <w:ilvl w:val="0"/>
                <w:numId w:val="2"/>
              </w:numPr>
              <w:spacing w:after="100" w:line="276"/>
            </w:pPr>
            <w:r>
              <w:t xml:space="preserve">Includes an annually updated AI Readiness Score (baseline, augmentation, collaboration, evolution)</w:t>
            </w:r>
          </w:p>
          <w:p>
            <w:pPr>
              <w:pStyle w:val="ListParagraph"/>
              <w:numPr>
                <w:ilvl w:val="0"/>
                <w:numId w:val="2"/>
              </w:numPr>
              <w:spacing w:after="100" w:line="276"/>
            </w:pPr>
            <w:r>
              <w:t xml:space="preserve">Travels with the participant permanently, regardless of which node they accessed or in which country</w:t>
            </w:r>
          </w:p>
          <w:p>
            <w:pPr>
              <w:pStyle w:val="ListParagraph"/>
              <w:numPr>
                <w:ilvl w:val="0"/>
                <w:numId w:val="2"/>
              </w:numPr>
              <w:spacing w:after="100" w:line="276"/>
            </w:pPr>
            <w:r>
              <w:t xml:space="preserve">Cannot be falsified, deleted, or altered by any party other than GIS, under constitutional governance oversight</w:t>
            </w:r>
          </w:p>
          <w:p>
            <w:pPr>
              <w:pStyle w:val="ListParagraph"/>
              <w:numPr>
                <w:ilvl w:val="0"/>
                <w:numId w:val="2"/>
              </w:numPr>
              <w:spacing w:after="100" w:line="276"/>
            </w:pPr>
            <w:r>
              <w:t xml:space="preserve">Is owned by the participant, not by the delivery operator, employer, or national GBS authority</w:t>
            </w:r>
          </w:p>
        </w:tc>
      </w:tr>
    </w:tbl>
    <w:p>
      <w:pPr>
        <w:pStyle w:val="Heading1"/>
      </w:pPr>
      <w:r>
        <w:t xml:space="preserve">11. Certification Standards</w:t>
      </w:r>
    </w:p>
    <w:p>
      <w:pPr>
        <w:spacing w:after="160" w:line="276"/>
        <w:jc w:val="left"/>
      </w:pPr>
      <w:r>
        <w:t xml:space="preserve">GBS-SETHS operates a multi-tier certification architecture for participants, facilitators, delivery operators, and national franchise nodes. Certification is not a paper exercise — it is a UDOC-governed, audit-trail-backed, outcome-verified process, and the tier system below is the credential architecture that populates each participant's Skills Passport.</w:t>
      </w:r>
    </w:p>
    <w:p>
      <w:pPr>
        <w:pStyle w:val="Heading2"/>
      </w:pPr>
      <w:r>
        <w:t xml:space="preserve">11.1  Participant Certification Tiers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500"/>
        <w:gridCol w:w="2600"/>
        <w:gridCol w:w="3060"/>
      </w:tblGrid>
      <w:tr>
        <w:trPr>
          <w:tblHeader/>
        </w:trPr>
        <w:tc>
          <w:tcPr>
            <w:tcW w:type="dxa" w:w="12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Tier</w:t>
            </w:r>
          </w:p>
        </w:tc>
        <w:tc>
          <w:tcPr>
            <w:tcW w:type="dxa" w:w="25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Certification</w:t>
            </w:r>
          </w:p>
        </w:tc>
        <w:tc>
          <w:tcPr>
            <w:tcW w:type="dxa" w:w="2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Trigger</w:t>
            </w:r>
          </w:p>
        </w:tc>
        <w:tc>
          <w:tcPr>
            <w:tcW w:type="dxa" w:w="30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Standard</w:t>
            </w:r>
          </w:p>
        </w:tc>
      </w:tr>
      <w:tr>
        <w:tc>
          <w:tcPr>
            <w:tcW w:type="dxa" w:w="1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Bronze</w:t>
            </w:r>
          </w:p>
        </w:tc>
        <w:tc>
          <w:tcPr>
            <w:tcW w:type="dxa" w:w="2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GBS Foundation Certificate</w:t>
            </w:r>
          </w:p>
        </w:tc>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Completion of Phases 1–2 (Weeks 1–12)</w:t>
            </w:r>
          </w:p>
        </w:tc>
        <w:tc>
          <w:tcPr>
            <w:tcW w:type="dxa" w:w="30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Core transferable skills + digital literacy + AI literacy. Registered against SAQA unit standards for workplace readiness.</w:t>
            </w:r>
          </w:p>
        </w:tc>
      </w:tr>
      <w:tr>
        <w:tc>
          <w:tcPr>
            <w:tcW w:type="dxa" w:w="1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Silver</w:t>
            </w:r>
          </w:p>
        </w:tc>
        <w:tc>
          <w:tcPr>
            <w:tcW w:type="dxa" w:w="2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GBS Employment-Ready Certificate</w:t>
            </w:r>
          </w:p>
        </w:tc>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Completion of Phase 3 (Week 18 assessment passed)</w:t>
            </w:r>
          </w:p>
        </w:tc>
        <w:tc>
          <w:tcPr>
            <w:tcW w:type="dxa" w:w="30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Employer-readiness: CV, interview, sector-specific competency. UDOC-issued, employer-verifiable digital credential.</w:t>
            </w:r>
          </w:p>
        </w:tc>
      </w:tr>
      <w:tr>
        <w:tc>
          <w:tcPr>
            <w:tcW w:type="dxa" w:w="1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Gold</w:t>
            </w:r>
          </w:p>
        </w:tc>
        <w:tc>
          <w:tcPr>
            <w:tcW w:type="dxa" w:w="2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GBS Verified Employment Certificate</w:t>
            </w:r>
          </w:p>
        </w:tc>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90-day verified employment outcome (Phase 4)</w:t>
            </w:r>
          </w:p>
        </w:tc>
        <w:tc>
          <w:tcPr>
            <w:tcW w:type="dxa" w:w="30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primary credential. Verifiable by any employer against the UDOC audit trail. Includes sector, role type, and outcome rating.</w:t>
            </w:r>
          </w:p>
        </w:tc>
      </w:tr>
      <w:tr>
        <w:tc>
          <w:tcPr>
            <w:tcW w:type="dxa" w:w="1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Platinum</w:t>
            </w:r>
          </w:p>
        </w:tc>
        <w:tc>
          <w:tcPr>
            <w:tcW w:type="dxa" w:w="2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GBS Alumni Mentor Certification</w:t>
            </w:r>
          </w:p>
        </w:tc>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Phase 6 peer-mentor pathway completion</w:t>
            </w:r>
          </w:p>
        </w:tc>
        <w:tc>
          <w:tcPr>
            <w:tcW w:type="dxa" w:w="30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Certified capacity to facilitate Phase 1–2 elements under supervision. Unlocks stipended mentorship roles.</w:t>
            </w:r>
          </w:p>
        </w:tc>
      </w:tr>
      <w:tr>
        <w:tc>
          <w:tcPr>
            <w:tcW w:type="dxa" w:w="1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Specialist</w:t>
            </w:r>
          </w:p>
        </w:tc>
        <w:tc>
          <w:tcPr>
            <w:tcW w:type="dxa" w:w="2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Stream-Specific Trade Certification</w:t>
            </w:r>
          </w:p>
        </w:tc>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Stream advanced completion</w:t>
            </w:r>
          </w:p>
        </w:tc>
        <w:tc>
          <w:tcPr>
            <w:tcW w:type="dxa" w:w="30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Pathway-specific: Construction (CIDB Entry Level), Digital (CompTIA/Microsoft equivalent), Agriculture (SETA-aligned), Community Health (HPCSA CHW category).</w:t>
            </w:r>
          </w:p>
        </w:tc>
      </w:tr>
    </w:tbl>
    <w:p>
      <w:pPr>
        <w:pStyle w:val="Heading2"/>
      </w:pPr>
      <w:r>
        <w:t xml:space="preserve">11.2  Operator Certification</w:t>
      </w:r>
    </w:p>
    <w:p>
      <w:pPr>
        <w:spacing w:after="160" w:line="276"/>
        <w:jc w:val="left"/>
      </w:pPr>
      <w:r>
        <w:t xml:space="preserve">Every Delivery Operator (Layer 4) must achieve and maintain operator certification, issued by the Regional GBS (Layer 3), audited by the National GBS (Layer 2), and held on record by GBS Global (Layer 1), with UDOC providing the audit infrastructure.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5460"/>
        <w:gridCol w:w="1500"/>
      </w:tblGrid>
      <w:tr>
        <w:trPr>
          <w:tblHeader/>
        </w:trPr>
        <w:tc>
          <w:tcPr>
            <w:tcW w:type="dxa" w:w="2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Requirement</w:t>
            </w:r>
          </w:p>
        </w:tc>
        <w:tc>
          <w:tcPr>
            <w:tcW w:type="dxa" w:w="54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Standard</w:t>
            </w:r>
          </w:p>
        </w:tc>
        <w:tc>
          <w:tcPr>
            <w:tcW w:type="dxa" w:w="15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Frequency</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Facilitator qualifications</w:t>
            </w:r>
          </w:p>
        </w:tc>
        <w:tc>
          <w:tcPr>
            <w:tcW w:type="dxa" w:w="54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Minimum NQF4 equivalent + GBS Mentor certification (Platinum tier)</w:t>
            </w:r>
          </w:p>
        </w:tc>
        <w:tc>
          <w:tcPr>
            <w:tcW w:type="dxa" w:w="1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At appointment + biennial renewal</w:t>
            </w:r>
          </w:p>
        </w:tc>
      </w:tr>
      <w:tr>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Venue / facility standards</w:t>
            </w:r>
          </w:p>
        </w:tc>
        <w:tc>
          <w:tcPr>
            <w:tcW w:type="dxa" w:w="54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Physical or digital delivery environment meeting minimum specifications (safety, accessibility, connectivity)</w:t>
            </w:r>
          </w:p>
        </w:tc>
        <w:tc>
          <w:tcPr>
            <w:tcW w:type="dxa" w:w="1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Initial certification + annual inspection</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Curriculum fidelity</w:t>
            </w:r>
          </w:p>
        </w:tc>
        <w:tc>
          <w:tcPr>
            <w:tcW w:type="dxa" w:w="54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Minimum 90% adherence to the core curriculum framework; adaptations within the 20% localisation allowance</w:t>
            </w:r>
          </w:p>
        </w:tc>
        <w:tc>
          <w:tcPr>
            <w:tcW w:type="dxa" w:w="1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Every cohort — UDOC-verified</w:t>
            </w:r>
          </w:p>
        </w:tc>
      </w:tr>
      <w:tr>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Outcome reporting</w:t>
            </w:r>
          </w:p>
        </w:tc>
        <w:tc>
          <w:tcPr>
            <w:tcW w:type="dxa" w:w="54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All participant data submitted to UDOC within 7 days of each milestone; no data manipulation permitted</w:t>
            </w:r>
          </w:p>
        </w:tc>
        <w:tc>
          <w:tcPr>
            <w:tcW w:type="dxa" w:w="1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Continuous — UDOC-enforced</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Constitutional compliance</w:t>
            </w:r>
          </w:p>
        </w:tc>
        <w:tc>
          <w:tcPr>
            <w:tcW w:type="dxa" w:w="54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Annual self-assessment + COB-reviewed compliance certificate; any Pillar violation triggers suspension pending investigation</w:t>
            </w:r>
          </w:p>
        </w:tc>
        <w:tc>
          <w:tcPr>
            <w:tcW w:type="dxa" w:w="1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Annual</w:t>
            </w:r>
          </w:p>
        </w:tc>
      </w:tr>
    </w:tbl>
    <w:p>
      <w:r>
        <w:br w:type="page"/>
      </w:r>
    </w:p>
    <w:p>
      <w:pPr>
        <w:spacing w:after="60" w:before="200"/>
      </w:pPr>
      <w:r>
        <w:rPr>
          <w:b/>
          <w:bCs/>
          <w:color w:val="8C7330"/>
          <w:sz w:val="22"/>
          <w:szCs w:val="22"/>
        </w:rPr>
        <w:t xml:space="preserve">PART IV</w:t>
      </w:r>
    </w:p>
    <w:p>
      <w:pPr>
        <w:spacing w:after="300"/>
      </w:pPr>
      <w:r>
        <w:rPr>
          <w:b/>
          <w:bCs/>
          <w:color w:val="16233A"/>
          <w:sz w:val="26"/>
          <w:szCs w:val="26"/>
        </w:rPr>
        <w:t xml:space="preserve">UDOC — THE GOVERNANCE &amp; INTELLIGENCE BACKBONE</w:t>
      </w:r>
    </w:p>
    <w:p>
      <w:pPr>
        <w:pStyle w:val="Heading1"/>
      </w:pPr>
      <w:r>
        <w:t xml:space="preserve">12. UDOC — Unified Digital Oversight &amp; Coordination</w:t>
      </w:r>
    </w:p>
    <w:p>
      <w:pPr>
        <w:spacing w:after="160" w:line="276"/>
        <w:jc w:val="left"/>
      </w:pPr>
      <w:r>
        <w:t xml:space="preserve">UDOC is GBS-SETHS's constitutional nervous system — the platform that makes every governance decision auditable, every outcome verifiable, and every constitutional obligation enforceable across all franchise nodes, delivery operators, and employer partnerships globally. UDOC transforms G.O.D.S.'s constitutional principles from words on paper into system-enforced operating standards.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Honesty tier — what is proven, what is designed, what is aspirational</w:t>
            </w:r>
          </w:p>
          <w:p>
            <w:pPr>
              <w:spacing w:after="60"/>
            </w:pPr>
            <w:r>
              <w:rPr>
                <w:b/>
                <w:bCs/>
              </w:rPr>
              <w:t xml:space="preserve">Proven / live:  </w:t>
            </w:r>
            <w:r>
              <w:t xml:space="preserve">UDOC's capstone-level ecosystem code is deployed and operational (72 API routes, Render/Neon Postgres infrastructure), demonstrating the governance-gate architecture end to end.</w:t>
            </w:r>
          </w:p>
          <w:p>
            <w:pPr>
              <w:spacing w:after="60"/>
            </w:pPr>
            <w:r>
              <w:rPr>
                <w:b/>
                <w:bCs/>
              </w:rPr>
              <w:t xml:space="preserve">Designed / production-specified, not yet built:  </w:t>
            </w:r>
            <w:r>
              <w:t xml:space="preserve">The commercial multi-plane platform — enterprise SaaS, government sovereign deployment, the full HSM/PQC hardware stack — is fully specified and attorney-ready for IP filing, but is not yet built at commercial scale. No commercial UDOC clients are currently engaged; no client data is currently processed.</w:t>
            </w:r>
          </w:p>
          <w:p>
            <w:pPr>
              <w:spacing w:after="0"/>
            </w:pPr>
            <w:r>
              <w:rPr>
                <w:b/>
                <w:bCs/>
              </w:rPr>
              <w:t xml:space="preserve">Aspirational / long-horizon:  </w:t>
            </w:r>
            <w:r>
              <w:t xml:space="preserve">National governance-backbone deployment, SADC sovereign licensing, and the full nine-module architecture operating across every franchise node globally are Phase 2+ targets tied to seed capital and the Series A proof triggers.</w:t>
            </w:r>
          </w:p>
        </w:tc>
      </w:tr>
    </w:tbl>
    <w:p>
      <w:pPr>
        <w:pStyle w:val="Heading2"/>
      </w:pPr>
      <w:r>
        <w:t xml:space="preserve">12.1  UDOC Nine-Module Architecture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2000"/>
        <w:gridCol w:w="6460"/>
      </w:tblGrid>
      <w:tr>
        <w:trPr>
          <w:tblHeader/>
        </w:trPr>
        <w:tc>
          <w:tcPr>
            <w:tcW w:type="dxa" w:w="9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Module</w:t>
            </w:r>
          </w:p>
        </w:tc>
        <w:tc>
          <w:tcPr>
            <w:tcW w:type="dxa" w:w="20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Name</w:t>
            </w:r>
          </w:p>
        </w:tc>
        <w:tc>
          <w:tcPr>
            <w:tcW w:type="dxa" w:w="64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Function in GBS-SETHS Context</w:t>
            </w:r>
          </w:p>
        </w:tc>
      </w:tr>
      <w:tr>
        <w:tc>
          <w:tcPr>
            <w:tcW w:type="dxa" w:w="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M1</w:t>
            </w:r>
          </w:p>
        </w:tc>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Identity Layer</w:t>
            </w:r>
          </w:p>
        </w:tc>
        <w:tc>
          <w:tcPr>
            <w:tcW w:type="dxa" w:w="64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Participant onboarding, profile creation, Skills Passport initialisation, cohort assignment, KYC verification.</w:t>
            </w:r>
          </w:p>
        </w:tc>
      </w:tr>
      <w:tr>
        <w:tc>
          <w:tcPr>
            <w:tcW w:type="dxa" w:w="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M2</w:t>
            </w:r>
          </w:p>
        </w:tc>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Education Layer</w:t>
            </w:r>
          </w:p>
        </w:tc>
        <w:tc>
          <w:tcPr>
            <w:tcW w:type="dxa" w:w="64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Curriculum delivery tracking, assessment recording, certification issuance, vocational pathway progression.</w:t>
            </w:r>
          </w:p>
        </w:tc>
      </w:tr>
      <w:tr>
        <w:tc>
          <w:tcPr>
            <w:tcW w:type="dxa" w:w="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M3</w:t>
            </w:r>
          </w:p>
        </w:tc>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Mentorship Layer</w:t>
            </w:r>
          </w:p>
        </w:tc>
        <w:tc>
          <w:tcPr>
            <w:tcW w:type="dxa" w:w="64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Peer mentor matching, mentorship session logging, alumni re-entry tracking, Phase 6 engagement management.</w:t>
            </w:r>
          </w:p>
        </w:tc>
      </w:tr>
      <w:tr>
        <w:tc>
          <w:tcPr>
            <w:tcW w:type="dxa" w:w="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M4</w:t>
            </w:r>
          </w:p>
        </w:tc>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Placement Layer</w:t>
            </w:r>
          </w:p>
        </w:tc>
        <w:tc>
          <w:tcPr>
            <w:tcW w:type="dxa" w:w="64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Employer ecosystem interface, job matching, internship pipeline, T.S. Industries workforce pipeline.</w:t>
            </w:r>
          </w:p>
        </w:tc>
      </w:tr>
      <w:tr>
        <w:tc>
          <w:tcPr>
            <w:tcW w:type="dxa" w:w="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M5</w:t>
            </w:r>
          </w:p>
        </w:tc>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Analytics Layer</w:t>
            </w:r>
          </w:p>
        </w:tc>
        <w:tc>
          <w:tcPr>
            <w:tcW w:type="dxa" w:w="64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Cohort outcome tracking, delivery-operator performance monitoring, franchise node benchmarking.</w:t>
            </w:r>
          </w:p>
        </w:tc>
      </w:tr>
      <w:tr>
        <w:tc>
          <w:tcPr>
            <w:tcW w:type="dxa" w:w="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M6</w:t>
            </w:r>
          </w:p>
        </w:tc>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Certification Layer</w:t>
            </w:r>
          </w:p>
        </w:tc>
        <w:tc>
          <w:tcPr>
            <w:tcW w:type="dxa" w:w="64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UDOC-issued digital credentials, Skills Passport updates, AI Readiness Score tracking.</w:t>
            </w:r>
          </w:p>
        </w:tc>
      </w:tr>
      <w:tr>
        <w:tc>
          <w:tcPr>
            <w:tcW w:type="dxa" w:w="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M7</w:t>
            </w:r>
          </w:p>
        </w:tc>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Economic Layer</w:t>
            </w:r>
          </w:p>
        </w:tc>
        <w:tc>
          <w:tcPr>
            <w:tcW w:type="dxa" w:w="64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M.A.D.I.B.A capital allocation triggers, outcome-based funding verification, B-BBEE compliance tracking.</w:t>
            </w:r>
          </w:p>
        </w:tc>
      </w:tr>
      <w:tr>
        <w:tc>
          <w:tcPr>
            <w:tcW w:type="dxa" w:w="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M8</w:t>
            </w:r>
          </w:p>
        </w:tc>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AI Governance Layer</w:t>
            </w:r>
          </w:p>
        </w:tc>
        <w:tc>
          <w:tcPr>
            <w:tcW w:type="dxa" w:w="64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GIS interface. Constitutional pillar compliance checks on all institutional decisions. Sealed governance decisions. COB dashboard.</w:t>
            </w:r>
          </w:p>
        </w:tc>
      </w:tr>
      <w:tr>
        <w:tc>
          <w:tcPr>
            <w:tcW w:type="dxa" w:w="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M9</w:t>
            </w:r>
          </w:p>
        </w:tc>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Compliance Layer</w:t>
            </w:r>
          </w:p>
        </w:tc>
        <w:tc>
          <w:tcPr>
            <w:tcW w:type="dxa" w:w="64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Delivery-operator certification records, employer Absorption Commitment Clause compliance, franchise audit trail.</w:t>
            </w:r>
          </w:p>
        </w:tc>
      </w:tr>
    </w:tbl>
    <w:p>
      <w:r>
        <w:br w:type="page"/>
      </w:r>
    </w:p>
    <w:p>
      <w:pPr>
        <w:spacing w:after="60" w:before="200"/>
      </w:pPr>
      <w:r>
        <w:rPr>
          <w:b/>
          <w:bCs/>
          <w:color w:val="8C7330"/>
          <w:sz w:val="22"/>
          <w:szCs w:val="22"/>
        </w:rPr>
        <w:t xml:space="preserve">PART V</w:t>
      </w:r>
    </w:p>
    <w:p>
      <w:pPr>
        <w:spacing w:after="300"/>
      </w:pPr>
      <w:r>
        <w:rPr>
          <w:b/>
          <w:bCs/>
          <w:color w:val="16233A"/>
          <w:sz w:val="26"/>
          <w:szCs w:val="26"/>
        </w:rPr>
        <w:t xml:space="preserve">M.A.D.I.B.A — THE CAPITAL ENGINE</w:t>
      </w:r>
    </w:p>
    <w:p>
      <w:pPr>
        <w:pStyle w:val="Heading1"/>
      </w:pPr>
      <w:r>
        <w:t xml:space="preserve">13. M.A.D.I.B.A — My African Dream Is Being Achieved</w:t>
      </w:r>
    </w:p>
    <w:p>
      <w:pPr>
        <w:spacing w:after="160" w:line="276"/>
        <w:jc w:val="left"/>
      </w:pPr>
      <w:r>
        <w:t xml:space="preserve">M.A.D.I.B.A is the capital deployment and sovereignty-alignment division of G.O.D.S Holdings — the institution's interface with DFIs, impact investors, government funders, and the broader African capital ecosystem, mobilising the patient, outcome-aligned capital GBS-SETHS requires to operate at the scale its mission demands.</w:t>
      </w:r>
    </w:p>
    <w:p>
      <w:pPr>
        <w:pStyle w:val="Heading2"/>
      </w:pPr>
      <w:r>
        <w:t xml:space="preserve">13.1  The GBS-SETHS Capital Model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900"/>
        <w:gridCol w:w="4060"/>
      </w:tblGrid>
      <w:tr>
        <w:trPr>
          <w:tblHeader/>
        </w:trPr>
        <w:tc>
          <w:tcPr>
            <w:tcW w:type="dxa" w:w="2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Revenue Stream</w:t>
            </w:r>
          </w:p>
        </w:tc>
        <w:tc>
          <w:tcPr>
            <w:tcW w:type="dxa" w:w="29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Source</w:t>
            </w:r>
          </w:p>
        </w:tc>
        <w:tc>
          <w:tcPr>
            <w:tcW w:type="dxa" w:w="40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GBS-SETHS Link</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National Franchise Licence</w:t>
            </w:r>
          </w:p>
        </w:tc>
        <w:tc>
          <w:tcPr>
            <w:tcW w:type="dxa" w:w="2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National GBS (Layer 2)</w:t>
            </w:r>
          </w:p>
        </w:tc>
        <w:tc>
          <w:tcPr>
            <w:tcW w:type="dxa" w:w="40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Funds GBS Global research, methodology evolution, and constitutional governance</w:t>
            </w:r>
          </w:p>
        </w:tc>
      </w:tr>
      <w:tr>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Government Outcomes-Based Funding</w:t>
            </w:r>
          </w:p>
        </w:tc>
        <w:tc>
          <w:tcPr>
            <w:tcW w:type="dxa" w:w="2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SETA, EPWP, DSD, DCS, DoL</w:t>
            </w:r>
          </w:p>
        </w:tc>
        <w:tc>
          <w:tcPr>
            <w:tcW w:type="dxa" w:w="40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Primary funding for cohort delivery in South Africa Phase 1</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DFI &amp; Impact Capital</w:t>
            </w:r>
          </w:p>
        </w:tc>
        <w:tc>
          <w:tcPr>
            <w:tcW w:type="dxa" w:w="2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DBSA, IDC, AfDB, IFC, PIC (Isibaya)</w:t>
            </w:r>
          </w:p>
        </w:tc>
        <w:tc>
          <w:tcPr>
            <w:tcW w:type="dxa" w:w="40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Seed and scale capital. M.A.D.I.B.A holds the GP relationship, verified via UDOC outcome data</w:t>
            </w:r>
          </w:p>
        </w:tc>
      </w:tr>
      <w:tr>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Employer Partnership Fees</w:t>
            </w:r>
          </w:p>
        </w:tc>
        <w:tc>
          <w:tcPr>
            <w:tcW w:type="dxa" w:w="2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Layer 5 Certified Employer Ecosystem</w:t>
            </w:r>
          </w:p>
        </w:tc>
        <w:tc>
          <w:tcPr>
            <w:tcW w:type="dxa" w:w="40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Partial operational cost offset + employer relationship management</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B-BBEE Skills Development Credits</w:t>
            </w:r>
          </w:p>
        </w:tc>
        <w:tc>
          <w:tcPr>
            <w:tcW w:type="dxa" w:w="2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Host employers (SA)</w:t>
            </w:r>
          </w:p>
        </w:tc>
        <w:tc>
          <w:tcPr>
            <w:tcW w:type="dxa" w:w="40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Closes the learnership-credit-extraction gap; Absorption Commitment Clause mandatory</w:t>
            </w:r>
          </w:p>
        </w:tc>
      </w:tr>
      <w:tr>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Royalty Income</w:t>
            </w:r>
          </w:p>
        </w:tc>
        <w:tc>
          <w:tcPr>
            <w:tcW w:type="dxa" w:w="2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International GBS franchise network</w:t>
            </w:r>
          </w:p>
        </w:tc>
        <w:tc>
          <w:tcPr>
            <w:tcW w:type="dxa" w:w="40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Long-term institutional sustainability; begins flowing from Phase 4 (international expansion)</w:t>
            </w:r>
          </w:p>
        </w:tc>
      </w:tr>
    </w:tbl>
    <w:p>
      <w:pPr>
        <w:pStyle w:val="Heading2"/>
      </w:pPr>
      <w:r>
        <w:t xml:space="preserve">13.2  Independent Validation — PIC, April 2026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t xml:space="preserve">The Public Investment Corporation (PIC) — Africa's largest asset manager, with R2.69 trillion under management — published a research paper in April 2026 proposing the transformation of TVET colleges into investable social infrastructure through blended PPP partnerships, with private operators paid against employment-outcome performance metrics.</w:t>
            </w:r>
          </w:p>
          <w:p>
            <w:pPr>
              <w:spacing w:after="160" w:line="276"/>
              <w:jc w:val="left"/>
            </w:pPr>
            <w:r>
              <w:t xml:space="preserve">This is strikingly close to the GBS-SETHS/M.A.D.I.B.A model — human capital development funded through blended government/DFI/private capital, delivered via a constitutionally governed franchise, with outcome-based payment structures. The paper did not reference G.O.D.S. or SJS; it arrived independently, from one of Africa's most credible institutional voices. It is the strongest piece of external validation the GBS-SETHS thesis currently has, and should be cited prominently in every investor or government conversation.</w:t>
            </w:r>
          </w:p>
        </w:tc>
      </w:tr>
    </w:tbl>
    <w:p>
      <w:r>
        <w:br w:type="page"/>
      </w:r>
    </w:p>
    <w:p>
      <w:pPr>
        <w:spacing w:after="60" w:before="200"/>
      </w:pPr>
      <w:r>
        <w:rPr>
          <w:b/>
          <w:bCs/>
          <w:color w:val="8C7330"/>
          <w:sz w:val="22"/>
          <w:szCs w:val="22"/>
        </w:rPr>
        <w:t xml:space="preserve">PART VI</w:t>
      </w:r>
    </w:p>
    <w:p>
      <w:pPr>
        <w:spacing w:after="300"/>
      </w:pPr>
      <w:r>
        <w:rPr>
          <w:b/>
          <w:bCs/>
          <w:color w:val="16233A"/>
          <w:sz w:val="26"/>
          <w:szCs w:val="26"/>
        </w:rPr>
        <w:t xml:space="preserve">CONTINENTAL DEPLOYMENT FRAMEWORK</w:t>
      </w:r>
    </w:p>
    <w:p>
      <w:pPr>
        <w:pStyle w:val="Heading1"/>
      </w:pPr>
      <w:r>
        <w:t xml:space="preserve">14. GBS Global Standard — Four Deployment Layers</w:t>
      </w:r>
    </w:p>
    <w:p>
      <w:pPr>
        <w:spacing w:after="160" w:line="276"/>
        <w:jc w:val="left"/>
      </w:pPr>
      <w:r>
        <w:t xml:space="preserve">Every GBS franchise deployment — regardless of country, culture, or regulatory environment — operates across four layers of standard. The Core Layer is universal and non-negotiable. The three adaptive layers give franchise nodes the flexibility to be locally relevant without compromising constitutional integrity.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1800"/>
        <w:gridCol w:w="4460"/>
        <w:gridCol w:w="1800"/>
      </w:tblGrid>
      <w:tr>
        <w:trPr>
          <w:tblHeader/>
        </w:trPr>
        <w:tc>
          <w:tcPr>
            <w:tcW w:type="dxa" w:w="13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Layer</w:t>
            </w:r>
          </w:p>
        </w:tc>
        <w:tc>
          <w:tcPr>
            <w:tcW w:type="dxa" w:w="18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Name</w:t>
            </w:r>
          </w:p>
        </w:tc>
        <w:tc>
          <w:tcPr>
            <w:tcW w:type="dxa" w:w="44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What It Contains</w:t>
            </w:r>
          </w:p>
        </w:tc>
        <w:tc>
          <w:tcPr>
            <w:tcW w:type="dxa" w:w="18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Who Controls It</w:t>
            </w:r>
          </w:p>
        </w:tc>
      </w:tr>
      <w:tr>
        <w:tc>
          <w:tcPr>
            <w:tcW w:type="dxa" w:w="13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Core Layer</w:t>
            </w:r>
          </w:p>
        </w:tc>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Universal GBS-SETHS Standard</w:t>
            </w:r>
          </w:p>
        </w:tc>
        <w:tc>
          <w:tcPr>
            <w:tcW w:type="dxa" w:w="44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7 GBS Universal Pillars. 5 S.E.T.H.S Foundational Pillars. 5 Methodology Pillars. CET/CTE Operating System. Skills Passport. UDOC governance requirements. Phase 6 guarantee.</w:t>
            </w:r>
          </w:p>
        </w:tc>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GBS Global (Layer 1). Non-negotiable. Applies everywhere, always.</w:t>
            </w:r>
          </w:p>
        </w:tc>
      </w:tr>
      <w:tr>
        <w:tc>
          <w:tcPr>
            <w:tcW w:type="dxa" w:w="13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Country Layer</w:t>
            </w:r>
          </w:p>
        </w:tc>
        <w:tc>
          <w:tcPr>
            <w:tcW w:type="dxa" w:w="1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National Adaptation</w:t>
            </w:r>
          </w:p>
        </w:tc>
        <w:tc>
          <w:tcPr>
            <w:tcW w:type="dxa" w:w="44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Local language of delivery. Local labour law compliance. National accreditation alignment (SA: SAQA/SETA; Kenya: NITA; UAE: KHDA; Germany: BIBB). Local cultural protocols.</w:t>
            </w:r>
          </w:p>
        </w:tc>
        <w:tc>
          <w:tcPr>
            <w:tcW w:type="dxa" w:w="1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National GBS Authority (Layer 2). Within the 20% adaptation allowance.</w:t>
            </w:r>
          </w:p>
        </w:tc>
      </w:tr>
      <w:tr>
        <w:tc>
          <w:tcPr>
            <w:tcW w:type="dxa" w:w="13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Industry Layer</w:t>
            </w:r>
          </w:p>
        </w:tc>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Sector Adaptation</w:t>
            </w:r>
          </w:p>
        </w:tc>
        <w:tc>
          <w:tcPr>
            <w:tcW w:type="dxa" w:w="44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Vocational pathway alignment to dominant local industries — mining, healthcare, digital, agriculture, manufacturing.</w:t>
            </w:r>
          </w:p>
        </w:tc>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Regional GBS Authority (Layer 3) + Employer Ecosystem input.</w:t>
            </w:r>
          </w:p>
        </w:tc>
      </w:tr>
      <w:tr>
        <w:tc>
          <w:tcPr>
            <w:tcW w:type="dxa" w:w="13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Community Layer</w:t>
            </w:r>
          </w:p>
        </w:tc>
        <w:tc>
          <w:tcPr>
            <w:tcW w:type="dxa" w:w="1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Micro-Context Adaptation</w:t>
            </w:r>
          </w:p>
        </w:tc>
        <w:tc>
          <w:tcPr>
            <w:tcW w:type="dxa" w:w="44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Rural vs. urban delivery mode. Tribal community protocols. Remote digital delivery. Refugee/asylum-seeker intake processes.</w:t>
            </w:r>
          </w:p>
        </w:tc>
        <w:tc>
          <w:tcPr>
            <w:tcW w:type="dxa" w:w="1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Delivery Operator (Layer 4) under Regional GBS supervision.</w:t>
            </w:r>
          </w:p>
        </w:tc>
      </w:tr>
    </w:tbl>
    <w:p>
      <w:pPr>
        <w:pStyle w:val="Heading2"/>
      </w:pPr>
      <w:r>
        <w:t xml:space="preserve">14.1  Near-Term Phased Entry Sequence</w:t>
      </w:r>
    </w:p>
    <w:p>
      <w:pPr>
        <w:spacing w:after="160" w:line="276"/>
        <w:jc w:val="left"/>
      </w:pPr>
      <w:r>
        <w:t xml:space="preserve">The seven-region end-state map (14.2 below) is reached through a deliberate five-phase near-term sequence, holding 80% of the constitutional framework constant while adapting the 20% localisation layer country by country.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2600"/>
        <w:gridCol w:w="3060"/>
        <w:gridCol w:w="2000"/>
      </w:tblGrid>
      <w:tr>
        <w:trPr>
          <w:tblHeader/>
        </w:trPr>
        <w:tc>
          <w:tcPr>
            <w:tcW w:type="dxa" w:w="17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Phase</w:t>
            </w:r>
          </w:p>
        </w:tc>
        <w:tc>
          <w:tcPr>
            <w:tcW w:type="dxa" w:w="2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Priority Markets</w:t>
            </w:r>
          </w:p>
        </w:tc>
        <w:tc>
          <w:tcPr>
            <w:tcW w:type="dxa" w:w="30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Key Adaptation</w:t>
            </w:r>
          </w:p>
        </w:tc>
        <w:tc>
          <w:tcPr>
            <w:tcW w:type="dxa" w:w="20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Entry Strategy</w:t>
            </w:r>
          </w:p>
        </w:tc>
      </w:tr>
      <w:tr>
        <w:tc>
          <w:tcPr>
            <w:tcW w:type="dxa" w:w="1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 — South Africa</w:t>
            </w:r>
          </w:p>
        </w:tc>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Johannesburg, Cape Town, Durban, Tshwane</w:t>
            </w:r>
          </w:p>
        </w:tc>
        <w:tc>
          <w:tcPr>
            <w:tcW w:type="dxa" w:w="30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Pilot market. SAQA/SETA accreditation. B-BBEE employer framework. City of Johannesburg government partnership.</w:t>
            </w:r>
          </w:p>
        </w:tc>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Seed capital. Direct G.O.D.S. Holdings operation. No franchise layer yet.</w:t>
            </w:r>
          </w:p>
        </w:tc>
      </w:tr>
      <w:tr>
        <w:tc>
          <w:tcPr>
            <w:tcW w:type="dxa" w:w="1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2 — SADC</w:t>
            </w:r>
          </w:p>
        </w:tc>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Botswana, Zimbabwe, Namibia, Mozambique, Zambia</w:t>
            </w:r>
          </w:p>
        </w:tc>
        <w:tc>
          <w:tcPr>
            <w:tcW w:type="dxa" w:w="30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English/Portuguese adaptation. Mining and agriculture stream emphasis. AfDB and DFI co-funding alignment.</w:t>
            </w:r>
          </w:p>
        </w:tc>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National GBS licence to a credible local NGO or government agency with G.O.D.S. advisory support.</w:t>
            </w:r>
          </w:p>
        </w:tc>
      </w:tr>
      <w:tr>
        <w:tc>
          <w:tcPr>
            <w:tcW w:type="dxa" w:w="1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3 — East Africa</w:t>
            </w:r>
          </w:p>
        </w:tc>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Kenya, Tanzania, Uganda, Rwanda</w:t>
            </w:r>
          </w:p>
        </w:tc>
        <w:tc>
          <w:tcPr>
            <w:tcW w:type="dxa" w:w="30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NITA/NVCET accreditation alignment. Digital operations stream emphasis. M-Pesa financial-literacy integration.</w:t>
            </w:r>
          </w:p>
        </w:tc>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GSMA and Mastercard Foundation ecosystem leverage. Regional pitch/competition platforms as entry point.</w:t>
            </w:r>
          </w:p>
        </w:tc>
      </w:tr>
      <w:tr>
        <w:tc>
          <w:tcPr>
            <w:tcW w:type="dxa" w:w="1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4 — BRICS Adjacent</w:t>
            </w:r>
          </w:p>
        </w:tc>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India, UAE, Brazil</w:t>
            </w:r>
          </w:p>
        </w:tc>
        <w:tc>
          <w:tcPr>
            <w:tcW w:type="dxa" w:w="30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Country-specific vocational qualification authority. Shariah-compliant financial literacy module (UAE). Caste-neutral intake design (India).</w:t>
            </w:r>
          </w:p>
        </w:tc>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Strategic partnership with existing at-scale workforce-development institutions.</w:t>
            </w:r>
          </w:p>
        </w:tc>
      </w:tr>
      <w:tr>
        <w:tc>
          <w:tcPr>
            <w:tcW w:type="dxa" w:w="1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5 — Global English Markets</w:t>
            </w:r>
          </w:p>
        </w:tc>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UK, Australia, Canada</w:t>
            </w:r>
          </w:p>
        </w:tc>
        <w:tc>
          <w:tcPr>
            <w:tcW w:type="dxa" w:w="30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Asylum-seeker and refugee cohort focus. Integration with national employment services.</w:t>
            </w:r>
          </w:p>
        </w:tc>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Social enterprise / CIC structure appropriate to each regulatory environment.</w:t>
            </w:r>
          </w:p>
        </w:tc>
      </w:tr>
    </w:tbl>
    <w:p>
      <w:pPr>
        <w:pStyle w:val="Heading2"/>
      </w:pPr>
      <w:r>
        <w:t xml:space="preserve">14.2  Seven-Region Continental Deployment Strategy — End-State Map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4160"/>
        <w:gridCol w:w="2600"/>
      </w:tblGrid>
      <w:tr>
        <w:trPr>
          <w:tblHeader/>
        </w:trPr>
        <w:tc>
          <w:tcPr>
            <w:tcW w:type="dxa" w:w="2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Region</w:t>
            </w:r>
          </w:p>
        </w:tc>
        <w:tc>
          <w:tcPr>
            <w:tcW w:type="dxa" w:w="41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Primary Deployment Challenge</w:t>
            </w:r>
          </w:p>
        </w:tc>
        <w:tc>
          <w:tcPr>
            <w:tcW w:type="dxa" w:w="2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T.S. Industries Alignment</w:t>
            </w:r>
          </w:p>
        </w:tc>
      </w:tr>
      <w:tr>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Africa (SA, SADC, East Africa)</w:t>
            </w:r>
          </w:p>
        </w:tc>
        <w:tc>
          <w:tcPr>
            <w:tcW w:type="dxa" w:w="4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Youth unemployment crisis (SA: 60.9% ages 15–24, Q1 2026). NEET population. Skills mismatch. AI displacement of entry-level roles.</w:t>
            </w:r>
          </w:p>
        </w:tc>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Renewable energy (REIPPPP model). Construction. Agriculture. T.S. SPVs are the primary employer pipeline for African cohorts.</w:t>
            </w:r>
          </w:p>
        </w:tc>
      </w:tr>
      <w:tr>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Europe (UK, Germany, Netherlands)</w:t>
            </w:r>
          </w:p>
        </w:tc>
        <w:tc>
          <w:tcPr>
            <w:tcW w:type="dxa" w:w="4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AI displacement of white-collar roles. Aging workforce. Migration integration.</w:t>
            </w:r>
          </w:p>
        </w:tc>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Digital infrastructure. Green energy. Manufacturing (Industry 4.0 transition support).</w:t>
            </w:r>
          </w:p>
        </w:tc>
      </w:tr>
      <w:tr>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North America (USA, Canada)</w:t>
            </w:r>
          </w:p>
        </w:tc>
        <w:tc>
          <w:tcPr>
            <w:tcW w:type="dxa" w:w="4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Automation-driven workforce transition. Trade-skills shortage. Veterans and justice-involved reintegration.</w:t>
            </w:r>
          </w:p>
        </w:tc>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Construction. Digital. Logistics.</w:t>
            </w:r>
          </w:p>
        </w:tc>
      </w:tr>
      <w:tr>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Asia (India, Southeast Asia)</w:t>
            </w:r>
          </w:p>
        </w:tc>
        <w:tc>
          <w:tcPr>
            <w:tcW w:type="dxa" w:w="4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Mass capability-development need. 1.4 billion population. Digital economy growth.</w:t>
            </w:r>
          </w:p>
        </w:tc>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Digital infrastructure. Manufacturing. AgriTech.</w:t>
            </w:r>
          </w:p>
        </w:tc>
      </w:tr>
      <w:tr>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Middle East (UAE, Saudi Arabia, Qatar)</w:t>
            </w:r>
          </w:p>
        </w:tc>
        <w:tc>
          <w:tcPr>
            <w:tcW w:type="dxa" w:w="4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Economic diversification. Localisation mandates. AI readiness agenda.</w:t>
            </w:r>
          </w:p>
        </w:tc>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Digital infrastructure. Renewable energy. Smart-city construction.</w:t>
            </w:r>
          </w:p>
        </w:tc>
      </w:tr>
      <w:tr>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Latin America (Brazil, Colombia, Mexico)</w:t>
            </w:r>
          </w:p>
        </w:tc>
        <w:tc>
          <w:tcPr>
            <w:tcW w:type="dxa" w:w="4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Economic mobility. Informal-economy formalisation. Youth unemployment.</w:t>
            </w:r>
          </w:p>
        </w:tc>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Agriculture. Manufacturing. Logistics.</w:t>
            </w:r>
          </w:p>
        </w:tc>
      </w:tr>
      <w:tr>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Oceania (Australia, Pacific Islands)</w:t>
            </w:r>
          </w:p>
        </w:tc>
        <w:tc>
          <w:tcPr>
            <w:tcW w:type="dxa" w:w="4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Remote community development. Indigenous economic participation. Digital inclusion.</w:t>
            </w:r>
          </w:p>
        </w:tc>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Construction (remote infrastructure). Digital. Agriculture.</w:t>
            </w:r>
          </w:p>
        </w:tc>
      </w:tr>
    </w:tbl>
    <w:p>
      <w:r>
        <w:br w:type="page"/>
      </w:r>
    </w:p>
    <w:p>
      <w:pPr>
        <w:spacing w:after="60" w:before="200"/>
      </w:pPr>
      <w:r>
        <w:rPr>
          <w:b/>
          <w:bCs/>
          <w:color w:val="8C7330"/>
          <w:sz w:val="22"/>
          <w:szCs w:val="22"/>
        </w:rPr>
        <w:t xml:space="preserve">PART VII</w:t>
      </w:r>
    </w:p>
    <w:p>
      <w:pPr>
        <w:spacing w:after="300"/>
      </w:pPr>
      <w:r>
        <w:rPr>
          <w:b/>
          <w:bCs/>
          <w:color w:val="16233A"/>
          <w:sz w:val="26"/>
          <w:szCs w:val="26"/>
        </w:rPr>
        <w:t xml:space="preserve">IMPLEMENTATION ROADMAP</w:t>
      </w:r>
    </w:p>
    <w:p>
      <w:pPr>
        <w:pStyle w:val="Heading1"/>
      </w:pPr>
      <w:r>
        <w:t xml:space="preserve">15. Implementation Roadmap — Stage 0 through Stage 6</w:t>
      </w:r>
    </w:p>
    <w:p>
      <w:pPr>
        <w:spacing w:after="160" w:line="276"/>
        <w:jc w:val="left"/>
      </w:pPr>
      <w:r>
        <w:t xml:space="preserve">The GBS-SETHS implementation roadmap is phased across seven stages, aligned with the G.O.D.S. Holdings funding and operational timeline. It is structured to prove the methodology before scaling it — outcome data from the pilot cohort becomes the evidence base for national and international expansion. A full operator-facing version of Stage 0–1 is Document 02 of this package, the Pilot Operations Manual.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2100"/>
        <w:gridCol w:w="1800"/>
        <w:gridCol w:w="4760"/>
      </w:tblGrid>
      <w:tr>
        <w:trPr>
          <w:tblHeader/>
        </w:trPr>
        <w:tc>
          <w:tcPr>
            <w:tcW w:type="dxa" w:w="7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Stage</w:t>
            </w:r>
          </w:p>
        </w:tc>
        <w:tc>
          <w:tcPr>
            <w:tcW w:type="dxa" w:w="21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Name</w:t>
            </w:r>
          </w:p>
        </w:tc>
        <w:tc>
          <w:tcPr>
            <w:tcW w:type="dxa" w:w="18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Timeline</w:t>
            </w:r>
          </w:p>
        </w:tc>
        <w:tc>
          <w:tcPr>
            <w:tcW w:type="dxa" w:w="47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Key Milestones</w:t>
            </w:r>
          </w:p>
        </w:tc>
      </w:tr>
      <w:tr>
        <w:tc>
          <w:tcPr>
            <w:tcW w:type="dxa" w:w="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0</w:t>
            </w:r>
          </w:p>
        </w:tc>
        <w:tc>
          <w:tcPr>
            <w:tcW w:type="dxa" w:w="21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Pre-Launch Infrastructure</w:t>
            </w:r>
          </w:p>
        </w:tc>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Months 1–3 post-seed</w:t>
            </w:r>
          </w:p>
        </w:tc>
        <w:tc>
          <w:tcPr>
            <w:tcW w:type="dxa" w:w="47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Secure pilot facility (Johannesburg). Recruit Programme Director + 2 Senior Facilitators + 4 Stream Facilitators + 2 Case Managers. Complete SETA registration. Deploy UDOC participant management module. Sign first 3 employer partnerships.</w:t>
            </w:r>
          </w:p>
        </w:tc>
      </w:tr>
      <w:tr>
        <w:tc>
          <w:tcPr>
            <w:tcW w:type="dxa" w:w="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1</w:t>
            </w:r>
          </w:p>
        </w:tc>
        <w:tc>
          <w:tcPr>
            <w:tcW w:type="dxa" w:w="21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Pilot Cohort — South Africa</w:t>
            </w:r>
          </w:p>
        </w:tc>
        <w:tc>
          <w:tcPr>
            <w:tcW w:type="dxa" w:w="1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Months 4–12</w:t>
            </w:r>
          </w:p>
        </w:tc>
        <w:tc>
          <w:tcPr>
            <w:tcW w:type="dxa" w:w="47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First cohort of 50 participants across all streams. Full CET/CTE cycle. Intensive case management. Employer partner activation. 90-day outcome data collected. First COB compliance report.</w:t>
            </w:r>
          </w:p>
        </w:tc>
      </w:tr>
      <w:tr>
        <w:tc>
          <w:tcPr>
            <w:tcW w:type="dxa" w:w="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2</w:t>
            </w:r>
          </w:p>
        </w:tc>
        <w:tc>
          <w:tcPr>
            <w:tcW w:type="dxa" w:w="21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Pilot Review &amp; Methodology Refinement</w:t>
            </w:r>
          </w:p>
        </w:tc>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Months 13–15</w:t>
            </w:r>
          </w:p>
        </w:tc>
        <w:tc>
          <w:tcPr>
            <w:tcW w:type="dxa" w:w="47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Full analysis of pilot outcomes against primary, secondary, and social-impact metrics. Curriculum adjustments. First UDOC audit-trail external review. Begin SAQA unit-standard petition process.</w:t>
            </w:r>
          </w:p>
        </w:tc>
      </w:tr>
      <w:tr>
        <w:tc>
          <w:tcPr>
            <w:tcW w:type="dxa" w:w="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3</w:t>
            </w:r>
          </w:p>
        </w:tc>
        <w:tc>
          <w:tcPr>
            <w:tcW w:type="dxa" w:w="21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National Scale — South Africa</w:t>
            </w:r>
          </w:p>
        </w:tc>
        <w:tc>
          <w:tcPr>
            <w:tcW w:type="dxa" w:w="1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Months 16–30</w:t>
            </w:r>
          </w:p>
        </w:tc>
        <w:tc>
          <w:tcPr>
            <w:tcW w:type="dxa" w:w="47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Expand to 3 regional nodes (Johannesburg, Cape Town, Durban). 3 simultaneous cohorts (150 participants). Layer 3 Regional GBS structures formally constituted. First Delivery Operator certifications issued.</w:t>
            </w:r>
          </w:p>
        </w:tc>
      </w:tr>
      <w:tr>
        <w:tc>
          <w:tcPr>
            <w:tcW w:type="dxa" w:w="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4</w:t>
            </w:r>
          </w:p>
        </w:tc>
        <w:tc>
          <w:tcPr>
            <w:tcW w:type="dxa" w:w="21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First International Node</w:t>
            </w:r>
          </w:p>
        </w:tc>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Months 30–42</w:t>
            </w:r>
          </w:p>
        </w:tc>
        <w:tc>
          <w:tcPr>
            <w:tcW w:type="dxa" w:w="47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Layer 2 National GBS licence issued for the first international market (priority: Botswana, Zimbabwe, or Namibia). Curriculum localisation. SADC regional employer network activation.</w:t>
            </w:r>
          </w:p>
        </w:tc>
      </w:tr>
      <w:tr>
        <w:tc>
          <w:tcPr>
            <w:tcW w:type="dxa" w:w="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5</w:t>
            </w:r>
          </w:p>
        </w:tc>
        <w:tc>
          <w:tcPr>
            <w:tcW w:type="dxa" w:w="21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BRICS Expansion</w:t>
            </w:r>
          </w:p>
        </w:tc>
        <w:tc>
          <w:tcPr>
            <w:tcW w:type="dxa" w:w="1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Years 4–7</w:t>
            </w:r>
          </w:p>
        </w:tc>
        <w:tc>
          <w:tcPr>
            <w:tcW w:type="dxa" w:w="47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National GBS nodes constituted in BRICS-adjacent economies. International accreditation partnerships sought (e.g. City &amp; Guilds, ILO-recognised frameworks).</w:t>
            </w:r>
          </w:p>
        </w:tc>
      </w:tr>
      <w:tr>
        <w:tc>
          <w:tcPr>
            <w:tcW w:type="dxa" w:w="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6</w:t>
            </w:r>
          </w:p>
        </w:tc>
        <w:tc>
          <w:tcPr>
            <w:tcW w:type="dxa" w:w="21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Global GBS Network</w:t>
            </w:r>
          </w:p>
        </w:tc>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Years 7–25</w:t>
            </w:r>
          </w:p>
        </w:tc>
        <w:tc>
          <w:tcPr>
            <w:tcW w:type="dxa" w:w="47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20+ National GBS nodes. Self-sustaining royalty model funding GBS Global operations. Annual World GBS Summit. First markets producing second-generation graduates.</w:t>
            </w:r>
          </w:p>
        </w:tc>
      </w:tr>
    </w:tbl>
    <w:p>
      <w:r>
        <w:br w:type="page"/>
      </w:r>
    </w:p>
    <w:p>
      <w:pPr>
        <w:spacing w:after="60" w:before="200"/>
      </w:pPr>
      <w:r>
        <w:rPr>
          <w:b/>
          <w:bCs/>
          <w:color w:val="8C7330"/>
          <w:sz w:val="22"/>
          <w:szCs w:val="22"/>
        </w:rPr>
        <w:t xml:space="preserve">PART VIII</w:t>
      </w:r>
    </w:p>
    <w:p>
      <w:pPr>
        <w:spacing w:after="300"/>
      </w:pPr>
      <w:r>
        <w:rPr>
          <w:b/>
          <w:bCs/>
          <w:color w:val="16233A"/>
          <w:sz w:val="26"/>
          <w:szCs w:val="26"/>
        </w:rPr>
        <w:t xml:space="preserve">THE 250-YEAR STRATEGIC ROADMAP</w:t>
      </w:r>
    </w:p>
    <w:p>
      <w:pPr>
        <w:pStyle w:val="Heading1"/>
      </w:pPr>
      <w:r>
        <w:t xml:space="preserve">16. The 250-Year Strategic Roadmap — Five Civilisational Phases</w:t>
      </w:r>
    </w:p>
    <w:p>
      <w:pPr>
        <w:spacing w:after="160" w:line="276"/>
        <w:jc w:val="left"/>
      </w:pPr>
      <w:r>
        <w:t xml:space="preserve">The 250-year mandate is not a guarantee of survival — no institution can guarantee 250 years. It is a planning discipline. Systems designed for 250 years make fundamentally different architectural choices than systems designed for five. The constitutional IP Trust, the COB with founder-removal authority, the Phase 6 lifetime re-entry guarantee, and the franchise architecture with built-in succession protocols are 250-year engineering decisions, not marketing features. Part VII above is Phase I's operational detail; the table below is the full civilisational horizon.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00"/>
        <w:gridCol w:w="2000"/>
        <w:gridCol w:w="1900"/>
        <w:gridCol w:w="4960"/>
      </w:tblGrid>
      <w:tr>
        <w:trPr>
          <w:tblHeader/>
        </w:trPr>
        <w:tc>
          <w:tcPr>
            <w:tcW w:type="dxa" w:w="5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Phase</w:t>
            </w:r>
          </w:p>
        </w:tc>
        <w:tc>
          <w:tcPr>
            <w:tcW w:type="dxa" w:w="20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Timeline</w:t>
            </w:r>
          </w:p>
        </w:tc>
        <w:tc>
          <w:tcPr>
            <w:tcW w:type="dxa" w:w="19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Name</w:t>
            </w:r>
          </w:p>
        </w:tc>
        <w:tc>
          <w:tcPr>
            <w:tcW w:type="dxa" w:w="49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Primary Objectives</w:t>
            </w:r>
          </w:p>
        </w:tc>
      </w:tr>
      <w:tr>
        <w:tc>
          <w:tcPr>
            <w:tcW w:type="dxa" w:w="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w:t>
            </w:r>
          </w:p>
        </w:tc>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0–25 Years (2026–2051)</w:t>
            </w:r>
          </w:p>
        </w:tc>
        <w:tc>
          <w:tcPr>
            <w:tcW w:type="dxa" w:w="1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Foundation</w:t>
            </w:r>
          </w:p>
        </w:tc>
        <w:tc>
          <w:tcPr>
            <w:tcW w:type="dxa" w:w="4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Prove the model. Establish credibility. Build the evidence base. Secure the constitutional foundation. First 50-participant cohort; national scale (3 nodes, Year 3); first international node (Year 5); SAQA petition filed; PIC/DBSA/IDC formal relationships established.</w:t>
            </w:r>
          </w:p>
        </w:tc>
      </w:tr>
      <w:tr>
        <w:tc>
          <w:tcPr>
            <w:tcW w:type="dxa" w:w="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II</w:t>
            </w:r>
          </w:p>
        </w:tc>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25–50 Years (2051–2076)</w:t>
            </w:r>
          </w:p>
        </w:tc>
        <w:tc>
          <w:tcPr>
            <w:tcW w:type="dxa" w:w="1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Expansion</w:t>
            </w:r>
          </w:p>
        </w:tc>
        <w:tc>
          <w:tcPr>
            <w:tcW w:type="dxa" w:w="49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Scale globally. Build the franchise network. Activate the peer-mentor replication engine. 20+ National GBS nodes; 100,000+ graduates; GBS Global Council operating as a genuine international standards body.</w:t>
            </w:r>
          </w:p>
        </w:tc>
      </w:tr>
      <w:tr>
        <w:tc>
          <w:tcPr>
            <w:tcW w:type="dxa" w:w="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III</w:t>
            </w:r>
          </w:p>
        </w:tc>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50–100 Years (2076–2126)</w:t>
            </w:r>
          </w:p>
        </w:tc>
        <w:tc>
          <w:tcPr>
            <w:tcW w:type="dxa" w:w="1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Institutionalisation</w:t>
            </w:r>
          </w:p>
        </w:tc>
        <w:tc>
          <w:tcPr>
            <w:tcW w:type="dxa" w:w="4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Embed GBS-SETHS into national education and workforce-policy frameworks in 10+ countries. Second generation of founders succeeding the first. 1M+ lifetime graduates.</w:t>
            </w:r>
          </w:p>
        </w:tc>
      </w:tr>
      <w:tr>
        <w:tc>
          <w:tcPr>
            <w:tcW w:type="dxa" w:w="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IV</w:t>
            </w:r>
          </w:p>
        </w:tc>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100–150 Years (2126–2176)</w:t>
            </w:r>
          </w:p>
        </w:tc>
        <w:tc>
          <w:tcPr>
            <w:tcW w:type="dxa" w:w="1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Global Integration</w:t>
            </w:r>
          </w:p>
        </w:tc>
        <w:tc>
          <w:tcPr>
            <w:tcW w:type="dxa" w:w="49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Universal adoption framework. GBS principles embedded in international human-development standards. Skills Passport recognised across 50+ national borders. 10M+ lifetime graduates.</w:t>
            </w:r>
          </w:p>
        </w:tc>
      </w:tr>
      <w:tr>
        <w:tc>
          <w:tcPr>
            <w:tcW w:type="dxa" w:w="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V</w:t>
            </w:r>
          </w:p>
        </w:tc>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150–250 Years (2176–2276)</w:t>
            </w:r>
          </w:p>
        </w:tc>
        <w:tc>
          <w:tcPr>
            <w:tcW w:type="dxa" w:w="1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Civilisational Continuity</w:t>
            </w:r>
          </w:p>
        </w:tc>
        <w:tc>
          <w:tcPr>
            <w:tcW w:type="dxa" w:w="4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knowledge-compounding function reaches generational depth. GBS-SETHS is permanent civilisational infrastructure — as unremarkable and essential as roads, schools, and hospitals.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i/>
                <w:iCs/>
              </w:rPr>
              <w:t xml:space="preserve">"On the 250-year mandate — a note from the architect: This project was built in honesty — and honesty is the only foundation on which a 250-year institution can be built."</w:t>
            </w:r>
            <w:r>
              <w:t xml:space="preserve">  — Sashin J. Singh</w:t>
            </w:r>
          </w:p>
          <w:p>
            <w:pPr>
              <w:spacing w:after="160" w:line="276"/>
              <w:jc w:val="left"/>
            </w:pPr>
            <w:r>
              <w:t xml:space="preserve">The 250-year mandate is the difference between a programme and infrastructure. Programmes solve today's problems. Infrastructure creates the conditions in which every generation can solve its own problems, with compounded advantage from every generation that came before it. That is what GBS-SETHS is designed to be.</w:t>
            </w:r>
          </w:p>
        </w:tc>
      </w:tr>
    </w:tbl>
    <w:p>
      <w:r>
        <w:br w:type="page"/>
      </w:r>
    </w:p>
    <w:p>
      <w:pPr>
        <w:spacing w:after="60" w:before="200"/>
      </w:pPr>
      <w:r>
        <w:rPr>
          <w:b/>
          <w:bCs/>
          <w:color w:val="8C7330"/>
          <w:sz w:val="22"/>
          <w:szCs w:val="22"/>
        </w:rPr>
        <w:t xml:space="preserve">PART IX</w:t>
      </w:r>
    </w:p>
    <w:p>
      <w:pPr>
        <w:spacing w:after="300"/>
      </w:pPr>
      <w:r>
        <w:rPr>
          <w:b/>
          <w:bCs/>
          <w:color w:val="16233A"/>
          <w:sz w:val="26"/>
          <w:szCs w:val="26"/>
        </w:rPr>
        <w:t xml:space="preserve">VALIDATION, ARCHITECTURE MAP &amp; CLOSING</w:t>
      </w:r>
    </w:p>
    <w:p>
      <w:pPr>
        <w:pStyle w:val="Heading1"/>
      </w:pPr>
      <w:r>
        <w:t xml:space="preserve">17. Third-Party Validation of the Core Thesis</w:t>
      </w:r>
    </w:p>
    <w:p>
      <w:pPr>
        <w:spacing w:after="160" w:line="276"/>
        <w:jc w:val="left"/>
      </w:pPr>
      <w:r>
        <w:t xml:space="preserve">The numbers that frame the mandate — brought forward from v1.0 and refreshed against the Stats SA Q1 2026 primary release (published 12 May 2026) — remain the clearest statement of why this institution exists now.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4000"/>
        <w:gridCol w:w="3160"/>
      </w:tblGrid>
      <w:tr>
        <w:trPr>
          <w:tblHeader/>
        </w:trPr>
        <w:tc>
          <w:tcPr>
            <w:tcW w:type="dxa" w:w="22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Dimension</w:t>
            </w:r>
          </w:p>
        </w:tc>
        <w:tc>
          <w:tcPr>
            <w:tcW w:type="dxa" w:w="40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South Africa (2026)</w:t>
            </w:r>
          </w:p>
        </w:tc>
        <w:tc>
          <w:tcPr>
            <w:tcW w:type="dxa" w:w="31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Global Context</w:t>
            </w:r>
          </w:p>
        </w:tc>
      </w:tr>
      <w:tr>
        <w:tc>
          <w:tcPr>
            <w:tcW w:type="dxa" w:w="2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Youth unemployment (15–24)</w:t>
            </w:r>
          </w:p>
        </w:tc>
        <w:tc>
          <w:tcPr>
            <w:tcW w:type="dxa" w:w="4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60.9% official rate (Stats SA QLFS Q1 2026)</w:t>
            </w:r>
          </w:p>
        </w:tc>
        <w:tc>
          <w:tcPr>
            <w:tcW w:type="dxa" w:w="3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NEET population: ~1.2 billion globally (ILO, 2026)</w:t>
            </w:r>
          </w:p>
        </w:tc>
      </w:tr>
      <w:tr>
        <w:tc>
          <w:tcPr>
            <w:tcW w:type="dxa" w:w="2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AI-displaced jobs forecast</w:t>
            </w:r>
          </w:p>
        </w:tc>
        <w:tc>
          <w:tcPr>
            <w:tcW w:type="dxa" w:w="4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3.4M SA formal jobs at medium-to-high automation risk (World Bank)</w:t>
            </w:r>
          </w:p>
        </w:tc>
        <w:tc>
          <w:tcPr>
            <w:tcW w:type="dxa" w:w="3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~92M roles displaced, ~170M created globally by 2030 (WEF Future of Jobs 2025)</w:t>
            </w:r>
          </w:p>
        </w:tc>
      </w:tr>
      <w:tr>
        <w:tc>
          <w:tcPr>
            <w:tcW w:type="dxa" w:w="2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Skills shortage — trades</w:t>
            </w:r>
          </w:p>
        </w:tc>
        <w:tc>
          <w:tcPr>
            <w:tcW w:type="dxa" w:w="4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Critical shortage in construction, solar installation, agriculture, community health</w:t>
            </w:r>
          </w:p>
        </w:tc>
        <w:tc>
          <w:tcPr>
            <w:tcW w:type="dxa" w:w="3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Nvidia CEO Jensen Huang (2026): 'the next millionaires will be plumbers and electricians'</w:t>
            </w:r>
          </w:p>
        </w:tc>
      </w:tr>
      <w:tr>
        <w:tc>
          <w:tcPr>
            <w:tcW w:type="dxa" w:w="2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Learnership abuse</w:t>
            </w:r>
          </w:p>
        </w:tc>
        <w:tc>
          <w:tcPr>
            <w:tcW w:type="dxa" w:w="4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R12–30B in annual SETA/B-BBEE learnership spend — majority producing no absorbed employment</w:t>
            </w:r>
          </w:p>
        </w:tc>
        <w:tc>
          <w:tcPr>
            <w:tcW w:type="dxa" w:w="3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GBS-SETHS's Absorption Commitment Clause is purpose-built to close this gap</w:t>
            </w:r>
          </w:p>
        </w:tc>
      </w:tr>
      <w:tr>
        <w:tc>
          <w:tcPr>
            <w:tcW w:type="dxa" w:w="2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Market validation</w:t>
            </w:r>
          </w:p>
        </w:tc>
        <w:tc>
          <w:tcPr>
            <w:tcW w:type="dxa" w:w="4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PIC (April 2026) proposed TVET-as-investable-infrastructure PPP — directly validates GBS-SETHS logic</w:t>
            </w:r>
          </w:p>
        </w:tc>
        <w:tc>
          <w:tcPr>
            <w:tcW w:type="dxa" w:w="3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DFI appetite for blended workforce-infrastructure deals is confirmed and growing</w:t>
            </w:r>
          </w:p>
        </w:tc>
      </w:tr>
    </w:tbl>
    <w:p>
      <w:pPr>
        <w:spacing w:after="160" w:line="276"/>
        <w:jc w:val="left"/>
      </w:pPr>
      <w:r>
        <w:t xml:space="preserve">This table corrects the youth-unemployment and national-unemployment figures used in earlier v1.0/v2.0 drafts (32.9%/62.4%) to the primary Stats SA source figures (32.7% official national; 60.9% official youth 15–24; 43.7% expanded LU3 national) — resolving Outstanding Work Item OW-003 within this consolidated document. Other G.O.D.S. materials, including the live site as fetched on the date of this consolidation, have not yet been updated to match and should be brought into line.</w:t>
      </w:r>
    </w:p>
    <w:p>
      <w:pPr>
        <w:pStyle w:val="Heading1"/>
      </w:pPr>
      <w:r>
        <w:t xml:space="preserve">18. Visual Architecture Map (Text Representation)</w:t>
      </w:r>
    </w:p>
    <w:p>
      <w:pPr>
        <w:spacing w:after="160" w:line="276"/>
        <w:jc w:val="left"/>
      </w:pPr>
      <w:r>
        <w:t xml:space="preserve">The following maps the complete GBS-SETHS ecosystem — from the individual participant journey through the franchise architecture to the global network. The full interactive visual architecture is available on the live G.O.D.S. platform (capstoneprojectsjs.netlify.app).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t xml:space="preserve">GBS GLOBAL (LAYER 1) — G.O.D.S Holdings (Pty) Ltd + IP Trust · Methodology · Standards · Certification · Royalties</w:t>
            </w:r>
          </w:p>
          <w:p>
            <w:pPr>
              <w:spacing w:after="160" w:line="276"/>
              <w:jc w:val="left"/>
            </w:pPr>
            <w:r>
              <w:t xml:space="preserve">↓</w:t>
            </w:r>
          </w:p>
          <w:p>
            <w:pPr>
              <w:spacing w:after="160" w:line="276"/>
              <w:jc w:val="left"/>
            </w:pPr>
            <w:r>
              <w:t xml:space="preserve">NATIONAL GBS (LAYER 2) — Country Licence · Local Accreditation · Government Interface · DFI Capital</w:t>
            </w:r>
          </w:p>
          <w:p>
            <w:pPr>
              <w:spacing w:after="160" w:line="276"/>
              <w:jc w:val="left"/>
            </w:pPr>
            <w:r>
              <w:t xml:space="preserve">↓</w:t>
            </w:r>
          </w:p>
          <w:p>
            <w:pPr>
              <w:spacing w:after="160" w:line="276"/>
              <w:jc w:val="left"/>
            </w:pPr>
            <w:r>
              <w:t xml:space="preserve">REGIONAL GBS (LAYER 3) — Province/Metro Operation · Cohort Management · Employer Partnerships</w:t>
            </w:r>
          </w:p>
          <w:p>
            <w:pPr>
              <w:spacing w:after="160" w:line="276"/>
              <w:jc w:val="left"/>
            </w:pPr>
            <w:r>
              <w:t xml:space="preserve">↓</w:t>
            </w:r>
          </w:p>
          <w:p>
            <w:pPr>
              <w:spacing w:after="160" w:line="276"/>
              <w:jc w:val="left"/>
            </w:pPr>
            <w:r>
              <w:t xml:space="preserve">DELIVERY OPERATORS (LAYER 4) — Accredited Training Providers · NGOs · TVET Colleges · Corporate Skills Departments</w:t>
            </w:r>
          </w:p>
          <w:p>
            <w:pPr>
              <w:spacing w:after="160" w:line="276"/>
              <w:jc w:val="left"/>
            </w:pPr>
            <w:r>
              <w:t xml:space="preserve">↓</w:t>
            </w:r>
          </w:p>
          <w:p>
            <w:pPr>
              <w:spacing w:after="160" w:line="276"/>
              <w:jc w:val="left"/>
            </w:pPr>
            <w:r>
              <w:t xml:space="preserve">THE PARTICIPANT JOURNEY — INTAKE → Phase 1 → Phase 2 → Phase 3 → Phase 4 → Phase 5 → Phase 6 → MENTOR</w:t>
            </w:r>
          </w:p>
          <w:p>
            <w:pPr>
              <w:spacing w:after="160" w:line="276"/>
              <w:jc w:val="left"/>
            </w:pPr>
            <w:r>
              <w:t xml:space="preserve">CET LOOP: Communicate → Educate → Transfer   |   CTE LOOP: Carry → Transfer → Evolve → [Repeat]</w:t>
            </w:r>
          </w:p>
          <w:p>
            <w:pPr>
              <w:spacing w:after="160" w:line="276"/>
              <w:jc w:val="left"/>
            </w:pPr>
            <w:r>
              <w:t xml:space="preserve">EMPLOYER ECOSYSTEMS (LAYER 5) — T.S. Industries (primary) · Partner Employers · Co-ops · Government Departments</w:t>
            </w:r>
          </w:p>
          <w:p>
            <w:pPr>
              <w:spacing w:after="160" w:line="276"/>
              <w:jc w:val="left"/>
            </w:pPr>
            <w:r>
              <w:t xml:space="preserve">Running underneath every layer: UDOC GOVERNANCE BACKBONE (verified audit trail) and the M.A.D.I.B.A CAPITAL ENGINE (outcome-based funding deployment)</w:t>
            </w:r>
          </w:p>
        </w:tc>
      </w:tr>
    </w:tbl>
    <w:p>
      <w:pPr>
        <w:pStyle w:val="Heading1"/>
      </w:pPr>
      <w:r>
        <w:t xml:space="preserve">19. Closing — What This Framework Is and Is Not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This Framework IS</w:t>
            </w:r>
          </w:p>
        </w:tc>
        <w:tc>
          <w:tcPr>
            <w:tcW w:type="dxa" w:w="468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This Framework Is NOT</w:t>
            </w:r>
          </w:p>
        </w:tc>
      </w:tr>
      <w:tr>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first fully consolidated institutional articulation of GBS-SETHS — merging v1.0 and v2.0 without loss, plus the ten companion instruments in this package, into one internally consistent architecture.</w:t>
            </w:r>
          </w:p>
        </w:tc>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 final product. Every cohort run, every outcome measured, every country entered, and every mentor produced will enrich and evolve it.</w:t>
            </w:r>
          </w:p>
        </w:tc>
      </w:tr>
      <w:tr>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 framework built on a decade of the founder's original intellectual development — lived experience, systematic research, and genuine conviction that the world's exclusion of its most marginalised people is a design failure, not a human failure.</w:t>
            </w:r>
          </w:p>
        </w:tc>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An AI-generated start-up. AI structured, clarified, cross-referenced, and formatted this work at SJS's direction. The ideas, the pillars, the conviction, and the decade of commitment belong to Sashin J. Singh.</w:t>
            </w:r>
          </w:p>
        </w:tc>
      </w:tr>
      <w:tr>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 constitutionally governed, globally deployable, franchise-ready institutional framework capable of attracting DFI, government, and impact capital from Day 1.</w:t>
            </w:r>
          </w:p>
        </w:tc>
        <w:tc>
          <w:tcPr>
            <w:tcW w:type="dxa" w:w="468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 guarantee of funding, scale, or success. G.O.D.S. holds the framework. The market holds the decision.</w:t>
            </w:r>
          </w:p>
        </w:tc>
      </w:tr>
      <w:tr>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 framework designed to outlast its founder, by explicit architectural choice, so that Seth Singh and every generation after him inherits an institution, not a dependency.</w:t>
            </w:r>
          </w:p>
        </w:tc>
        <w:tc>
          <w:tcPr>
            <w:tcW w:type="dxa" w:w="468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 personalised solution. GBS-SETHS is designed to work without SJS at the centre — and that is precisely the quality that makes it institutional rather than entrepreneurial.</w:t>
            </w:r>
          </w:p>
        </w:tc>
      </w:tr>
    </w:tbl>
    <w:p>
      <w:pPr>
        <w:pBdr>
          <w:bottom w:val="single" w:color="C9A84C" w:sz="6"/>
        </w:pBdr>
        <w:spacing w:after="120" w:before="120"/>
      </w:pPr>
    </w:p>
    <w:p>
      <w:pPr>
        <w:spacing w:after="40" w:before="200"/>
        <w:jc w:val="center"/>
      </w:pPr>
      <w:r>
        <w:rPr>
          <w:color w:val="5B6472"/>
          <w:sz w:val="18"/>
          <w:szCs w:val="18"/>
        </w:rPr>
        <w:t xml:space="preserve">GBS-SETHS v3.0 — Consolidated Super Framework · G.O.D.S Holdings (Pty) Ltd · IP Trust Protected · July 2026</w:t>
      </w:r>
    </w:p>
    <w:p>
      <w:pPr>
        <w:spacing w:after="40"/>
        <w:jc w:val="center"/>
      </w:pPr>
      <w:r>
        <w:rPr>
          <w:color w:val="5B6472"/>
          <w:sz w:val="16"/>
          <w:szCs w:val="16"/>
        </w:rPr>
        <w:t xml:space="preserve">All intellectual property held in the G.O.D.S. IP Trust under the Trust Property Control Act 57 of 1988</w:t>
      </w:r>
    </w:p>
    <w:p>
      <w:pPr>
        <w:spacing w:after="0"/>
        <w:jc w:val="center"/>
      </w:pPr>
      <w:r>
        <w:rPr>
          <w:color w:val="5B6472"/>
          <w:sz w:val="16"/>
          <w:szCs w:val="16"/>
        </w:rPr>
        <w:t xml:space="preserve">Founder &amp; Architect: Sashin J. Singh  ·  sashin.singh@outlook.com  ·  capstoneprojectsjs.netlify.app</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84C" w:sz="4"/>
      </w:pBdr>
      <w:tabs>
        <w:tab w:val="right" w:pos="9026"/>
      </w:tabs>
    </w:pPr>
    <w:r>
      <w:rPr>
        <w:color w:val="5B6472"/>
        <w:sz w:val="15"/>
        <w:szCs w:val="15"/>
      </w:rPr>
      <w:t xml:space="preserve">OPEN · G.O.D.S Holdings (Pty) Ltd · IP Trust Protected</w:t>
    </w:r>
    <w:r>
      <w:rPr>
        <w:color w:val="5B6472"/>
        <w:sz w:val="15"/>
        <w:szCs w:val="15"/>
      </w:rPr>
      <w:t xml:space="preserve">	Page </w:t>
    </w:r>
    <w:r>
      <w:rPr>
        <w:color w:val="5B6472"/>
        <w:sz w:val="15"/>
        <w:szCs w:val="15"/>
      </w:rPr>
      <w:fldChar w:fldCharType="begin"/>
      <w:instrText xml:space="preserve">PAGE</w:instrText>
      <w:fldChar w:fldCharType="separate"/>
      <w:fldChar w:fldCharType="end"/>
    </w:r>
    <w:r>
      <w:rPr>
        <w:color w:val="5B6472"/>
        <w:sz w:val="15"/>
        <w:szCs w:val="15"/>
      </w:rPr>
      <w:t xml:space="preserve"> of </w:t>
    </w:r>
    <w:r>
      <w:rPr>
        <w:color w:val="5B6472"/>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4"/>
      </w:pBdr>
      <w:tabs>
        <w:tab w:val="right" w:pos="9026"/>
      </w:tabs>
    </w:pPr>
    <w:r>
      <w:rPr>
        <w:color w:val="5B6472"/>
        <w:sz w:val="15"/>
        <w:szCs w:val="15"/>
      </w:rPr>
      <w:t xml:space="preserve">G.O.D.S HOLDINGS · GBS-SETHS</w:t>
    </w:r>
    <w:r>
      <w:rPr>
        <w:color w:val="5B6472"/>
        <w:sz w:val="15"/>
        <w:szCs w:val="15"/>
      </w:rPr>
      <w:t xml:space="preserve">	GBS-SETHS Consolidated Super Framework v3.0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lvl w:ilvl="1" w15:tentative="1">
      <w:start w:val="1"/>
      <w:numFmt w:val="bullet"/>
      <w:lvlText w:val="◦"/>
      <w:lvlJc w:val="left"/>
      <w:pPr>
        <w:ind w:left="840" w:hanging="260"/>
      </w:pPr>
    </w:lvl>
  </w:abstractNum>
  <w:abstractNum w:abstractNumId="3" w15:restartNumberingAfterBreak="0">
    <w:multiLevelType w:val="hybridMultilevel"/>
    <w:lvl w:ilvl="0" w15:tentative="1">
      <w:start w:val="1"/>
      <w:numFmt w:val="decimal"/>
      <w:lvlText w:val="%1."/>
      <w:lvlJc w:val="left"/>
      <w:pPr>
        <w:ind w:left="4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6233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C9A84C" w:sz="8" w:space="4"/>
      </w:pBdr>
      <w:spacing w:after="200" w:before="360"/>
    </w:pPr>
    <w:rPr>
      <w:rFonts w:ascii="Arial" w:cs="Arial" w:eastAsia="Arial" w:hAnsi="Arial"/>
      <w:b/>
      <w:bCs/>
      <w:color w:val="16233A"/>
      <w:sz w:val="30"/>
      <w:szCs w:val="30"/>
    </w:rPr>
  </w:style>
  <w:style w:type="paragraph" w:styleId="Heading2">
    <w:name w:val="Heading 2"/>
    <w:basedOn w:val="Normal"/>
    <w:next w:val="Normal"/>
    <w:qFormat/>
    <w:pPr>
      <w:spacing w:after="140" w:before="280"/>
    </w:pPr>
    <w:rPr>
      <w:rFonts w:ascii="Arial" w:cs="Arial" w:eastAsia="Arial" w:hAnsi="Arial"/>
      <w:b/>
      <w:bCs/>
      <w:color w:val="8C7330"/>
      <w:sz w:val="25"/>
      <w:szCs w:val="25"/>
    </w:rPr>
  </w:style>
  <w:style w:type="paragraph" w:styleId="Heading3">
    <w:name w:val="Heading 3"/>
    <w:basedOn w:val="Normal"/>
    <w:next w:val="Normal"/>
    <w:qFormat/>
    <w:pPr>
      <w:spacing w:after="100" w:before="200"/>
    </w:pPr>
    <w:rPr>
      <w:rFonts w:ascii="Arial" w:cs="Arial" w:eastAsia="Arial" w:hAnsi="Arial"/>
      <w:b/>
      <w:bCs/>
      <w:i/>
      <w:iCs/>
      <w:color w:val="16233A"/>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2026-07-10T02:32:05.557Z</dcterms:created>
  <dcterms:modified xsi:type="dcterms:W3CDTF">2026-07-10T02:32:05.569Z</dcterms:modified>
</cp:coreProperties>
</file>

<file path=docProps/custom.xml><?xml version="1.0" encoding="utf-8"?>
<Properties xmlns="http://schemas.openxmlformats.org/officeDocument/2006/custom-properties" xmlns:vt="http://schemas.openxmlformats.org/officeDocument/2006/docPropsVTypes"/>
</file>