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p>
    <w:p>
      <w:pPr>
        <w:jc w:val="center"/>
      </w:pPr>
      <w:r>
        <w:rPr>
          <w:rFonts w:ascii="Arial" w:cs="Arial" w:eastAsia="Arial" w:hAnsi="Arial"/>
          <w:b/>
          <w:bCs/>
          <w:color w:val="060E1C"/>
          <w:sz w:val="32"/>
          <w:szCs w:val="32"/>
        </w:rPr>
        <w:t xml:space="preserve">G . O . D . S   H O L D I N G S</w:t>
      </w:r>
    </w:p>
    <w:p>
      <w:pPr>
        <w:spacing w:after="60"/>
        <w:jc w:val="center"/>
      </w:pPr>
      <w:r>
        <w:rPr>
          <w:rFonts w:ascii="Arial" w:cs="Arial" w:eastAsia="Arial" w:hAnsi="Arial"/>
          <w:color w:val="5B6472"/>
          <w:sz w:val="16"/>
          <w:szCs w:val="16"/>
        </w:rPr>
        <w:t xml:space="preserve">GOOD ORDERLY DIRECTIONAL SYSTEMS</w:t>
      </w:r>
    </w:p>
    <w:p>
      <w:pPr>
        <w:pBdr>
          <w:bottom w:val="single" w:color="C9A84C" w:sz="12"/>
        </w:pBdr>
        <w:spacing w:after="80" w:before="80"/>
      </w:pPr>
    </w:p>
    <w:p>
      <w:pPr>
        <w:spacing w:after="120"/>
      </w:pPr>
    </w:p>
    <w:p>
      <w:pPr>
        <w:jc w:val="center"/>
      </w:pPr>
      <w:r>
        <w:rPr>
          <w:rFonts w:ascii="Arial" w:cs="Arial" w:eastAsia="Arial" w:hAnsi="Arial"/>
          <w:b/>
          <w:bCs/>
          <w:color w:val="060E1C"/>
          <w:sz w:val="36"/>
          <w:szCs w:val="36"/>
        </w:rPr>
        <w:t xml:space="preserve">MASTER DATA ROOM INDEX</w:t>
      </w:r>
    </w:p>
    <w:p>
      <w:pPr>
        <w:spacing w:after="40"/>
        <w:jc w:val="center"/>
      </w:pPr>
      <w:r>
        <w:rPr>
          <w:rFonts w:ascii="Arial" w:cs="Arial" w:eastAsia="Arial" w:hAnsi="Arial"/>
          <w:color w:val="8C7330"/>
          <w:sz w:val="22"/>
          <w:szCs w:val="22"/>
        </w:rPr>
        <w:t xml:space="preserve">Version 3.0  ·  GBS-Aligned Institutional Register</w:t>
      </w:r>
    </w:p>
    <w:p>
      <w:pPr>
        <w:jc w:val="center"/>
      </w:pPr>
      <w:r>
        <w:rPr>
          <w:rFonts w:ascii="Arial" w:cs="Arial" w:eastAsia="Arial" w:hAnsi="Arial"/>
          <w:color w:val="5B6472"/>
          <w:sz w:val="16"/>
          <w:szCs w:val="16"/>
        </w:rPr>
        <w:t xml:space="preserve">Supersedes Master Data Room Index v2.0 (March 2026) and all prior sectional indexes</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8"/>
              <w:left w:val="single" w:color="C9A84C" w:sz="8"/>
              <w:bottom w:val="single" w:color="C9A84C" w:sz="8"/>
              <w:right w:val="single" w:color="C9A84C" w:sz="8"/>
            </w:tcBorders>
            <w:shd w:fill="F7F1E0" w:val="clear"/>
            <w:tcMar>
              <w:top w:type="dxa" w:w="140"/>
              <w:left w:type="dxa" w:w="200"/>
              <w:bottom w:type="dxa" w:w="140"/>
              <w:right w:type="dxa" w:w="200"/>
            </w:tcMar>
          </w:tcPr>
          <w:p>
            <w:pPr>
              <w:spacing w:after="60"/>
            </w:pPr>
            <w:r>
              <w:rPr>
                <w:rFonts w:ascii="Arial" w:cs="Arial" w:eastAsia="Arial" w:hAnsi="Arial"/>
                <w:b/>
                <w:bCs/>
                <w:sz w:val="18"/>
                <w:szCs w:val="18"/>
              </w:rPr>
              <w:t xml:space="preserve">Classification: INSTITUTIONAL</w:t>
            </w:r>
          </w:p>
          <w:p>
            <w:pPr>
              <w:spacing w:after="40"/>
            </w:pPr>
            <w:r>
              <w:rPr>
                <w:rFonts w:ascii="Arial" w:cs="Arial" w:eastAsia="Arial" w:hAnsi="Arial"/>
                <w:sz w:val="18"/>
                <w:szCs w:val="18"/>
              </w:rPr>
              <w:t xml:space="preserve">Architect &amp; Founder: Sashin J. Singh</w:t>
            </w:r>
          </w:p>
          <w:p>
            <w:pPr>
              <w:spacing w:after="40"/>
            </w:pPr>
            <w:r>
              <w:rPr>
                <w:rFonts w:ascii="Arial" w:cs="Arial" w:eastAsia="Arial" w:hAnsi="Arial"/>
                <w:sz w:val="18"/>
                <w:szCs w:val="18"/>
              </w:rPr>
              <w:t xml:space="preserve">Institution: G.O.D.S Holdings (Pty) Ltd — Pre-Registration, Johannesburg</w:t>
            </w:r>
          </w:p>
          <w:p>
            <w:pPr>
              <w:spacing w:after="40"/>
            </w:pPr>
            <w:r>
              <w:rPr>
                <w:rFonts w:ascii="Arial" w:cs="Arial" w:eastAsia="Arial" w:hAnsi="Arial"/>
                <w:sz w:val="18"/>
                <w:szCs w:val="18"/>
              </w:rPr>
              <w:t xml:space="preserve">IP Custodian: G.O.D.S IP Trust — Trust Property Control Act 57 of 1988</w:t>
            </w:r>
          </w:p>
          <w:p>
            <w:r>
              <w:rPr>
                <w:rFonts w:ascii="Arial" w:cs="Arial" w:eastAsia="Arial" w:hAnsi="Arial"/>
                <w:color w:val="5B6472"/>
                <w:sz w:val="17"/>
                <w:szCs w:val="17"/>
              </w:rPr>
              <w:t xml:space="preserve">Live platform: capstoneprojectsjs.netlify.app  ·  Backend: gods-platform-core.onrender.com</w:t>
            </w:r>
          </w:p>
        </w:tc>
      </w:tr>
    </w:tbl>
    <w:p>
      <w:pPr>
        <w:spacing w:after="160"/>
      </w:pPr>
    </w:p>
    <w:p>
      <w:pPr>
        <w:spacing w:after="100"/>
      </w:pPr>
      <w:r>
        <w:rPr>
          <w:rFonts w:ascii="Arial" w:cs="Arial" w:eastAsia="Arial" w:hAnsi="Arial"/>
          <w:b/>
          <w:bCs/>
          <w:sz w:val="20"/>
          <w:szCs w:val="20"/>
        </w:rPr>
        <w:t xml:space="preserve">Purpose. </w:t>
      </w:r>
      <w:r>
        <w:rPr>
          <w:rFonts w:ascii="Arial" w:cs="Arial" w:eastAsia="Arial" w:hAnsi="Arial"/>
          <w:sz w:val="20"/>
          <w:szCs w:val="20"/>
        </w:rPr>
        <w:t xml:space="preserve">This Index is the single authoritative catalogue of every institutional document in the G.O.D.S. Holdings portfolio. It incorporates the Global Belief System (GBS) doctrine layer introduced July 2026, the eleven-document GBS-SETHS Institutional Readiness Package, The G.O.D.S. Canon (v1/v2), and live-platform honesty corrections. It does not invent new architecture — it registers what exists and marks honesty tiers so counterparties never confuse proven, designed, and aspirational claims.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9B2C2C" w:sz="8"/>
              <w:left w:val="single" w:color="9B2C2C" w:sz="8"/>
              <w:bottom w:val="single" w:color="9B2C2C" w:sz="8"/>
              <w:right w:val="single" w:color="9B2C2C" w:sz="8"/>
            </w:tcBorders>
            <w:shd w:fill="FDF2F2" w:val="clear"/>
            <w:tcMar>
              <w:top w:type="dxa" w:w="140"/>
              <w:left w:type="dxa" w:w="200"/>
              <w:bottom w:type="dxa" w:w="140"/>
              <w:right w:type="dxa" w:w="200"/>
            </w:tcMar>
          </w:tcPr>
          <w:p>
            <w:pPr>
              <w:spacing w:after="40"/>
            </w:pPr>
            <w:r>
              <w:rPr>
                <w:rFonts w:ascii="Arial" w:cs="Arial" w:eastAsia="Arial" w:hAnsi="Arial"/>
                <w:b/>
                <w:bCs/>
                <w:color w:val="9B2C2C"/>
                <w:sz w:val="18"/>
                <w:szCs w:val="18"/>
              </w:rPr>
              <w:t xml:space="preserve">Honesty discipline (non-negotiable)</w:t>
            </w:r>
          </w:p>
          <w:p>
            <w:r>
              <w:rPr>
                <w:rFonts w:ascii="Arial" w:cs="Arial" w:eastAsia="Arial" w:hAnsi="Arial"/>
                <w:sz w:val="17"/>
                <w:szCs w:val="17"/>
              </w:rPr>
              <w:t xml:space="preserve">Proven/live  |  Designed/production-specified  |  Aspirational/long-horizon. Every entry below carries an explicit status. Zero entities registered. Zero capital raised. Zero commercial clients. UDOC capstone backend is live (72 routes). Full commercial platform build begins at seed close.</w:t>
            </w:r>
          </w:p>
        </w:tc>
      </w:tr>
    </w:tbl>
    <w:p>
      <w:r>
        <w:br w:type="page"/>
      </w:r>
    </w:p>
    <w:p>
      <w:pPr>
        <w:pBdr>
          <w:bottom w:val="single" w:color="C9A84C" w:sz="12" w:space="4"/>
        </w:pBdr>
        <w:spacing w:after="140" w:before="280"/>
      </w:pPr>
      <w:r>
        <w:rPr>
          <w:rFonts w:ascii="Arial" w:cs="Arial" w:eastAsia="Arial" w:hAnsi="Arial"/>
          <w:b/>
          <w:bCs/>
          <w:color w:val="060E1C"/>
          <w:sz w:val="28"/>
          <w:szCs w:val="28"/>
        </w:rPr>
        <w:t xml:space="preserve">1. Executive Completeness Dashboard</w:t>
      </w:r>
    </w:p>
    <w:p>
      <w:pPr>
        <w:spacing w:after="100"/>
      </w:pPr>
      <w:r>
        <w:rPr>
          <w:rFonts w:ascii="Arial" w:cs="Arial" w:eastAsia="Arial" w:hAnsi="Arial"/>
          <w:sz w:val="20"/>
          <w:szCs w:val="20"/>
        </w:rPr>
        <w:t xml:space="preserve">Counts below reconcile the historical "73 registered / 103 total" framing with the July 2026 GBS package expansion. Primary registered count is the formal index; total institutional includes versions, supporting files, and the GBS-SETHS 11-document layer.</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400"/>
        <w:gridCol w:w="1400"/>
        <w:gridCol w:w="1400"/>
        <w:gridCol w:w="1200"/>
        <w:gridCol w:w="1160"/>
      </w:tblGrid>
      <w:tr>
        <w:tc>
          <w:tcPr>
            <w:tcW w:type="dxa" w:w="28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Section</w:t>
            </w:r>
          </w:p>
        </w:tc>
        <w:tc>
          <w:tcPr>
            <w:tcW w:type="dxa" w:w="14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Items</w:t>
            </w:r>
          </w:p>
        </w:tc>
        <w:tc>
          <w:tcPr>
            <w:tcW w:type="dxa" w:w="14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Available</w:t>
            </w:r>
          </w:p>
        </w:tc>
        <w:tc>
          <w:tcPr>
            <w:tcW w:type="dxa" w:w="14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In Progress</w:t>
            </w:r>
          </w:p>
        </w:tc>
        <w:tc>
          <w:tcPr>
            <w:tcW w:type="dxa" w:w="1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Planned</w:t>
            </w:r>
          </w:p>
        </w:tc>
        <w:tc>
          <w:tcPr>
            <w:tcW w:type="dxa" w:w="116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 Ready</w:t>
            </w:r>
          </w:p>
        </w:tc>
      </w:tr>
      <w:tr>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 — Constitutional &amp; Governance</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12</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83%</w:t>
            </w:r>
          </w:p>
        </w:tc>
      </w:tr>
      <w:tr>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B — Legal &amp; IP</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7</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70%</w:t>
            </w:r>
          </w:p>
        </w:tc>
      </w:tr>
      <w:tr>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 — Financial</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12</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9</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w:t>
            </w:r>
          </w:p>
        </w:tc>
        <w:tc>
          <w:tcPr>
            <w:tcW w:type="dxa" w:w="1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75%</w:t>
            </w:r>
          </w:p>
        </w:tc>
      </w:tr>
      <w:tr>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D — Commercial &amp; Strategic</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12</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11</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92%</w:t>
            </w:r>
          </w:p>
        </w:tc>
      </w:tr>
      <w:tr>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 — Technical &amp; Architecture</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12</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83%</w:t>
            </w:r>
          </w:p>
        </w:tc>
      </w:tr>
      <w:tr>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 — Governance, Risk &amp; Impact</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11</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9</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1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82%</w:t>
            </w:r>
          </w:p>
        </w:tc>
      </w:tr>
      <w:tr>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 — Brand &amp; Communications</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100%</w:t>
            </w:r>
          </w:p>
        </w:tc>
      </w:tr>
      <w:tr>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 — GBS-SETHS Readiness Package (NEW)</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12</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12</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100%</w:t>
            </w:r>
          </w:p>
        </w:tc>
      </w:tr>
      <w:tr>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 — Canon &amp; Master References (NEW)</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w:t>
            </w:r>
          </w:p>
        </w:tc>
        <w:tc>
          <w:tcPr>
            <w:tcW w:type="dxa" w:w="1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0</w:t>
            </w:r>
          </w:p>
        </w:tc>
        <w:tc>
          <w:tcPr>
            <w:tcW w:type="dxa" w:w="1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100%</w:t>
            </w:r>
          </w:p>
        </w:tc>
      </w:tr>
      <w:tr>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TOTAL (formal index)</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94</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81</w:t>
            </w:r>
          </w:p>
        </w:tc>
        <w:tc>
          <w:tcPr>
            <w:tcW w:type="dxa" w:w="1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6</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7</w:t>
            </w:r>
          </w:p>
        </w:tc>
        <w:tc>
          <w:tcPr>
            <w:tcW w:type="dxa" w:w="1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86%</w:t>
            </w:r>
          </w:p>
        </w:tc>
      </w:tr>
    </w:tbl>
    <w:p>
      <w:pPr>
        <w:spacing w:after="100"/>
      </w:pPr>
    </w:p>
    <w:p>
      <w:pPr>
        <w:spacing w:after="100"/>
      </w:pPr>
      <w:r>
        <w:rPr>
          <w:rFonts w:ascii="Arial" w:cs="Arial" w:eastAsia="Arial" w:hAnsi="Arial"/>
          <w:b/>
          <w:bCs/>
          <w:sz w:val="20"/>
          <w:szCs w:val="20"/>
        </w:rPr>
        <w:t xml:space="preserve">Note on 73 vs 103 vs 94. </w:t>
      </w:r>
      <w:r>
        <w:rPr>
          <w:rFonts w:ascii="Arial" w:cs="Arial" w:eastAsia="Arial" w:hAnsi="Arial"/>
          <w:sz w:val="20"/>
          <w:szCs w:val="20"/>
        </w:rPr>
        <w:t xml:space="preserve">v2.0 index registered 73 items (March 2026). Live site historically displayed "103 institutional documents" (including versions and supporting files). This v3.0 formal index registers 94 primary instruments after absorbing the GBS-SETHS 11-document package and Canon layer, without double-counting superseded versions. Supporting/versioned files remain available in the full bundle.</w:t>
      </w:r>
    </w:p>
    <w:p>
      <w:r>
        <w:br w:type="page"/>
      </w:r>
    </w:p>
    <w:p>
      <w:pPr>
        <w:pBdr>
          <w:bottom w:val="single" w:color="C9A84C" w:sz="12" w:space="4"/>
        </w:pBdr>
        <w:spacing w:after="140" w:before="280"/>
      </w:pPr>
      <w:r>
        <w:rPr>
          <w:rFonts w:ascii="Arial" w:cs="Arial" w:eastAsia="Arial" w:hAnsi="Arial"/>
          <w:b/>
          <w:bCs/>
          <w:color w:val="060E1C"/>
          <w:sz w:val="28"/>
          <w:szCs w:val="28"/>
        </w:rPr>
        <w:t xml:space="preserve">2. Global Belief System (GBS) — Doctrine Layer Introduction</w:t>
      </w:r>
    </w:p>
    <w:p>
      <w:pPr>
        <w:spacing w:after="100"/>
      </w:pPr>
      <w:r>
        <w:rPr>
          <w:rFonts w:ascii="Arial" w:cs="Arial" w:eastAsia="Arial" w:hAnsi="Arial"/>
          <w:sz w:val="20"/>
          <w:szCs w:val="20"/>
        </w:rPr>
        <w:t xml:space="preserve">GBS is the constitutional doctrine and franchise-governance layer introduced July 2026. It does not appear in the March 2026-and-earlier corpus; it is a newer unifying frame that makes the four-division architecture franchisable under one non-negotiable constitutional core (80%) with a 20% localisation allowance.</w:t>
      </w:r>
    </w:p>
    <w:p>
      <w:pPr>
        <w:spacing w:after="100"/>
      </w:pPr>
      <w:r>
        <w:rPr>
          <w:rFonts w:ascii="Arial" w:cs="Arial" w:eastAsia="Arial" w:hAnsi="Arial"/>
          <w:b/>
          <w:bCs/>
          <w:sz w:val="20"/>
          <w:szCs w:val="20"/>
        </w:rPr>
        <w:t xml:space="preserve">Canonical definition (The G.O.D.S. Canon Entry 2): </w:t>
      </w:r>
      <w:r>
        <w:rPr>
          <w:rFonts w:ascii="Arial" w:cs="Arial" w:eastAsia="Arial" w:hAnsi="Arial"/>
          <w:sz w:val="20"/>
          <w:szCs w:val="20"/>
        </w:rPr>
        <w:t xml:space="preserve">GBS is the constitutional doctrine and franchise-governance layer that sits above G.O.D.S.'s four divisions — the globally deployable standard that lets the same human-development methodology be licensed, replicated, and constitutionally enforced across any country, culture, or regulatory environment without diluting its non-negotiable core.</w:t>
      </w:r>
    </w:p>
    <w:p>
      <w:pPr>
        <w:spacing w:after="100" w:before="220"/>
      </w:pPr>
      <w:r>
        <w:rPr>
          <w:rFonts w:ascii="Arial" w:cs="Arial" w:eastAsia="Arial" w:hAnsi="Arial"/>
          <w:b/>
          <w:bCs/>
          <w:color w:val="8C7330"/>
          <w:sz w:val="22"/>
          <w:szCs w:val="22"/>
        </w:rPr>
        <w:t xml:space="preserve">2.1 Relationship — Stated Plainly</w:t>
      </w:r>
    </w:p>
    <w:p>
      <w:pPr>
        <w:spacing w:after="100"/>
      </w:pPr>
      <w:r>
        <w:rPr>
          <w:rFonts w:ascii="Arial" w:cs="Arial" w:eastAsia="Arial" w:hAnsi="Arial"/>
          <w:sz w:val="20"/>
          <w:szCs w:val="20"/>
        </w:rPr>
        <w:t xml:space="preserve">G.O.D.S. is the institution. GBS is the doctrine the institution's franchise operates under. You join G.O.D.S. by being one of its four divisions. You license GBS by becoming a franchise node.</w:t>
      </w:r>
    </w:p>
    <w:p>
      <w:pPr>
        <w:spacing w:after="100" w:before="220"/>
      </w:pPr>
      <w:r>
        <w:rPr>
          <w:rFonts w:ascii="Arial" w:cs="Arial" w:eastAsia="Arial" w:hAnsi="Arial"/>
          <w:b/>
          <w:bCs/>
          <w:color w:val="8C7330"/>
          <w:sz w:val="22"/>
          <w:szCs w:val="22"/>
        </w:rPr>
        <w:t xml:space="preserve">2.2 Key GBS Instruments Now in the Data Room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3200"/>
        <w:gridCol w:w="1200"/>
        <w:gridCol w:w="1260"/>
      </w:tblGrid>
      <w:tr>
        <w:tc>
          <w:tcPr>
            <w:tcW w:type="dxa" w:w="9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Ref</w:t>
            </w:r>
          </w:p>
        </w:tc>
        <w:tc>
          <w:tcPr>
            <w:tcW w:type="dxa" w:w="28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Document</w:t>
            </w:r>
          </w:p>
        </w:tc>
        <w:tc>
          <w:tcPr>
            <w:tcW w:type="dxa" w:w="3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Description</w:t>
            </w:r>
          </w:p>
        </w:tc>
        <w:tc>
          <w:tcPr>
            <w:tcW w:type="dxa" w:w="1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Status</w:t>
            </w:r>
          </w:p>
        </w:tc>
        <w:tc>
          <w:tcPr>
            <w:tcW w:type="dxa" w:w="126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Access</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H-00</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GBS-SETHS Consolidated Super Framework v3.0</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Merges Framework v1+v2 without loss; 10-level architecture; CET/CTE; 4 cohorts; 250-yr roadmap</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H-01</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Institutional Constitution</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Master authority document; COB; Founder Constraint; Twelve Pillars operational interpretation</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H-02</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Pilot Operations Manual</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Stage 0–1 launch playbook; 36-week journey; staffing; outcome gates</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 — Institutional</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H-03</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Franchise Licensing Handbook</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Layers 2–4 licensing; fees; sanctions; 20% localisation rule</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 — Institutional</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H-04</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Skills Passport Technical Standard</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Data model, verification API, immutability rules, GIS bindings</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 — Technical NDA</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H-05</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Employer Acquisition Framework</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Layer 5 partners; Absorption Commitment Clause operationalisation</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 — Institutional</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H-06</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GIS Architecture Specification</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G.O.D.S. Intelligence System full architecture + geospatial node module</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 — Technical NDA</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H-07</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Financial Model Workbook</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Pilot / National / Continental / 25-yr scenarios + xlsx</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 — Investor NDA</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H-08</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Risk &amp; Failure Framework</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Node-level risk taxonomy; companion to company-wide F-01 register</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 — Investor NDA</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H-09</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Regulatory Compliance Framework</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POPIA, SAQA dual-track, PFMA/MFMA; AI Policy withdrawal correction</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 — Institutional</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H-10</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Founder Succession &amp; Continuity Charter</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GBS-SETHS companion to a-14; franchise-network continuity</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4 — Restricted</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I-01</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The G.O.D.S. Canon v2.0</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Authoritative naming/definition reference; resolves cross-document conflicts</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w:t>
            </w:r>
          </w:p>
        </w:tc>
      </w:tr>
    </w:tbl>
    <w:p>
      <w:r>
        <w:br w:type="page"/>
      </w:r>
    </w:p>
    <w:p>
      <w:pPr>
        <w:pBdr>
          <w:bottom w:val="single" w:color="C9A84C" w:sz="12" w:space="4"/>
        </w:pBdr>
        <w:spacing w:after="140" w:before="280"/>
      </w:pPr>
      <w:r>
        <w:rPr>
          <w:rFonts w:ascii="Arial" w:cs="Arial" w:eastAsia="Arial" w:hAnsi="Arial"/>
          <w:b/>
          <w:bCs/>
          <w:color w:val="060E1C"/>
          <w:sz w:val="28"/>
          <w:szCs w:val="28"/>
        </w:rPr>
        <w:t xml:space="preserve">3. Canonical Resolutions &amp; Live Corrections</w:t>
      </w:r>
    </w:p>
    <w:p>
      <w:pPr>
        <w:spacing w:after="100"/>
      </w:pPr>
      <w:r>
        <w:rPr>
          <w:rFonts w:ascii="Arial" w:cs="Arial" w:eastAsia="Arial" w:hAnsi="Arial"/>
          <w:sz w:val="20"/>
          <w:szCs w:val="20"/>
        </w:rPr>
        <w:t xml:space="preserve">Every previously flagged discrepancy is stated here with decision status. Nothing is silently overwritten.</w:t>
      </w:r>
    </w:p>
    <w:p>
      <w:pPr>
        <w:spacing w:after="100" w:before="220"/>
      </w:pPr>
      <w:r>
        <w:rPr>
          <w:rFonts w:ascii="Arial" w:cs="Arial" w:eastAsia="Arial" w:hAnsi="Arial"/>
          <w:b/>
          <w:bCs/>
          <w:color w:val="8C7330"/>
          <w:sz w:val="22"/>
          <w:szCs w:val="22"/>
        </w:rPr>
        <w:t xml:space="preserve">3.1 Settled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560"/>
      </w:tblGrid>
      <w:tr>
        <w:tc>
          <w:tcPr>
            <w:tcW w:type="dxa" w:w="2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Term</w:t>
            </w:r>
          </w:p>
        </w:tc>
        <w:tc>
          <w:tcPr>
            <w:tcW w:type="dxa" w:w="36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Decision</w:t>
            </w:r>
          </w:p>
        </w:tc>
        <w:tc>
          <w:tcPr>
            <w:tcW w:type="dxa" w:w="356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Basis</w:t>
            </w:r>
          </w:p>
        </w:tc>
      </w:tr>
      <w:tr>
        <w:tc>
          <w:tcPr>
            <w:tcW w:type="dxa" w:w="2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T.S. Industries name</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The Technological Sector (7 subsidiaries)</w:t>
            </w:r>
          </w:p>
        </w:tc>
        <w:tc>
          <w:tcPr>
            <w:tcW w:type="dxa" w:w="35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Live site + E-06 + Canon</w:t>
            </w:r>
          </w:p>
        </w:tc>
      </w:tr>
      <w:tr>
        <w:tc>
          <w:tcPr>
            <w:tcW w:type="dxa" w:w="2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GIS vs EVA</w:t>
            </w:r>
          </w:p>
        </w:tc>
        <w:tc>
          <w:tcPr>
            <w:tcW w:type="dxa" w:w="36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GIS supersedes EVA as institution-facing layer; EVA 6-D scoring remains a GIS input via UDOC</w:t>
            </w:r>
          </w:p>
        </w:tc>
        <w:tc>
          <w:tcPr>
            <w:tcW w:type="dxa" w:w="35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Live codebase + Canon + GIS alignment</w:t>
            </w:r>
          </w:p>
        </w:tc>
      </w:tr>
      <w:tr>
        <w:tc>
          <w:tcPr>
            <w:tcW w:type="dxa" w:w="2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Patent count</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24 claim families (4 core + 20 embodiments incl. zk-SOV)</w:t>
            </w:r>
          </w:p>
        </w:tc>
        <w:tc>
          <w:tcPr>
            <w:tcW w:type="dxa" w:w="35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Live site + IP instrument v9.3</w:t>
            </w:r>
          </w:p>
        </w:tc>
      </w:tr>
      <w:tr>
        <w:tc>
          <w:tcPr>
            <w:tcW w:type="dxa" w:w="2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SA AI Policy GG54477</w:t>
            </w:r>
          </w:p>
        </w:tc>
        <w:tc>
          <w:tcPr>
            <w:tcW w:type="dxa" w:w="36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WITHDRAWN 26 Apr 2026. Cite NAIFP (Aug 2024) as standing foundational framework. No binding national AI Act in force.</w:t>
            </w:r>
          </w:p>
        </w:tc>
        <w:tc>
          <w:tcPr>
            <w:tcW w:type="dxa" w:w="35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Independent verification + H-09</w:t>
            </w:r>
          </w:p>
        </w:tc>
      </w:tr>
      <w:tr>
        <w:tc>
          <w:tcPr>
            <w:tcW w:type="dxa" w:w="2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SAQA 118707 NQF5</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Founder's personal Software Developer qualification only — NEVER a S.E.T.H.S. accreditation</w:t>
            </w:r>
          </w:p>
        </w:tc>
        <w:tc>
          <w:tcPr>
            <w:tcW w:type="dxa" w:w="35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Canon + H-09 Annex B + code fix in platform-core</w:t>
            </w:r>
          </w:p>
        </w:tc>
      </w:tr>
      <w:tr>
        <w:tc>
          <w:tcPr>
            <w:tcW w:type="dxa" w:w="2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UDOC build status</w:t>
            </w:r>
          </w:p>
        </w:tc>
        <w:tc>
          <w:tcPr>
            <w:tcW w:type="dxa" w:w="36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Capstone backend LIVE: 72 routes, Render/Neon, Android APK installed. Commercial multi-plane platform begins at seed close.</w:t>
            </w:r>
          </w:p>
        </w:tc>
        <w:tc>
          <w:tcPr>
            <w:tcW w:type="dxa" w:w="35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Confirmed live + Canon honesty tier</w:t>
            </w:r>
          </w:p>
        </w:tc>
      </w:tr>
      <w:tr>
        <w:tc>
          <w:tcPr>
            <w:tcW w:type="dxa" w:w="2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Unemployment (Stats SA Q1 2026)</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Official national 32.7%; Youth 15–24 60.9%; Expanded LU3 43.7%</w:t>
            </w:r>
          </w:p>
        </w:tc>
        <w:tc>
          <w:tcPr>
            <w:tcW w:type="dxa" w:w="35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Stats SA QLFS primary release 12 May 2026</w:t>
            </w:r>
          </w:p>
        </w:tc>
      </w:tr>
    </w:tbl>
    <w:p>
      <w:pPr>
        <w:spacing w:after="100"/>
      </w:pPr>
    </w:p>
    <w:p>
      <w:pPr>
        <w:spacing w:after="100" w:before="220"/>
      </w:pPr>
      <w:r>
        <w:rPr>
          <w:rFonts w:ascii="Arial" w:cs="Arial" w:eastAsia="Arial" w:hAnsi="Arial"/>
          <w:b/>
          <w:bCs/>
          <w:color w:val="8C7330"/>
          <w:sz w:val="22"/>
          <w:szCs w:val="22"/>
        </w:rPr>
        <w:t xml:space="preserve">3.2 Pending Founder Confirmation (do not silently resolve)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8"/>
              <w:left w:val="single" w:color="C9A84C" w:sz="8"/>
              <w:bottom w:val="single" w:color="C9A84C" w:sz="8"/>
              <w:right w:val="single" w:color="C9A84C" w:sz="8"/>
            </w:tcBorders>
            <w:shd w:fill="F7F1E0" w:val="clear"/>
            <w:tcMar>
              <w:top w:type="dxa" w:w="140"/>
              <w:left w:type="dxa" w:w="200"/>
              <w:bottom w:type="dxa" w:w="140"/>
              <w:right w:type="dxa" w:w="200"/>
            </w:tcMar>
          </w:tcPr>
          <w:p>
            <w:pPr>
              <w:spacing w:after="60"/>
            </w:pPr>
            <w:r>
              <w:rPr>
                <w:rFonts w:ascii="Arial" w:cs="Arial" w:eastAsia="Arial" w:hAnsi="Arial"/>
                <w:b/>
                <w:bCs/>
                <w:sz w:val="18"/>
                <w:szCs w:val="18"/>
              </w:rPr>
              <w:t xml:space="preserve">S.E.T.H.S. acronym expansion — three variants still in circulation:</w:t>
            </w:r>
          </w:p>
          <w:p>
            <w:pPr>
              <w:spacing w:after="40"/>
            </w:pPr>
            <w:r>
              <w:rPr>
                <w:rFonts w:ascii="Arial" w:cs="Arial" w:eastAsia="Arial" w:hAnsi="Arial"/>
                <w:sz w:val="17"/>
                <w:szCs w:val="17"/>
              </w:rPr>
              <w:t xml:space="preserve">1. Systematically Engineered Transfer of Human Systems (GBS-SETHS Framework v1/v2/v3 — used in this Index)</w:t>
            </w:r>
          </w:p>
          <w:p>
            <w:pPr>
              <w:spacing w:after="40"/>
            </w:pPr>
            <w:r>
              <w:rPr>
                <w:rFonts w:ascii="Arial" w:cs="Arial" w:eastAsia="Arial" w:hAnsi="Arial"/>
                <w:sz w:val="17"/>
                <w:szCs w:val="17"/>
              </w:rPr>
              <w:t xml:space="preserve">2. Systematically Engineered To Hinder Speculators (MOI Blueprint + live site homepage)</w:t>
            </w:r>
          </w:p>
          <w:p>
            <w:pPr>
              <w:spacing w:after="40"/>
            </w:pPr>
            <w:r>
              <w:rPr>
                <w:rFonts w:ascii="Arial" w:cs="Arial" w:eastAsia="Arial" w:hAnsi="Arial"/>
                <w:sz w:val="17"/>
                <w:szCs w:val="17"/>
              </w:rPr>
              <w:t xml:space="preserve">3. Skills, Employment, Training, Human Systems (Programme Spec e-01)</w:t>
            </w:r>
          </w:p>
          <w:p>
            <w:r>
              <w:rPr>
                <w:rFonts w:ascii="Arial" w:cs="Arial" w:eastAsia="Arial" w:hAnsi="Arial"/>
                <w:b/>
                <w:bCs/>
                <w:color w:val="9B2C2C"/>
                <w:sz w:val="17"/>
                <w:szCs w:val="17"/>
              </w:rPr>
              <w:t xml:space="preserve">One sentence from SJS fixes this everywhere.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8"/>
              <w:left w:val="single" w:color="C9A84C" w:sz="8"/>
              <w:bottom w:val="single" w:color="C9A84C" w:sz="8"/>
              <w:right w:val="single" w:color="C9A84C" w:sz="8"/>
            </w:tcBorders>
            <w:shd w:fill="F7F1E0" w:val="clear"/>
            <w:tcMar>
              <w:top w:type="dxa" w:w="140"/>
              <w:left w:type="dxa" w:w="200"/>
              <w:bottom w:type="dxa" w:w="140"/>
              <w:right w:type="dxa" w:w="200"/>
            </w:tcMar>
          </w:tcPr>
          <w:p>
            <w:pPr>
              <w:spacing w:after="40"/>
            </w:pPr>
            <w:r>
              <w:rPr>
                <w:rFonts w:ascii="Arial" w:cs="Arial" w:eastAsia="Arial" w:hAnsi="Arial"/>
                <w:b/>
                <w:bCs/>
                <w:sz w:val="18"/>
                <w:szCs w:val="18"/>
              </w:rPr>
              <w:t xml:space="preserve">Twelve Pillars VII &amp; IX scope</w:t>
            </w:r>
          </w:p>
          <w:p>
            <w:r>
              <w:rPr>
                <w:rFonts w:ascii="Arial" w:cs="Arial" w:eastAsia="Arial" w:hAnsi="Arial"/>
                <w:sz w:val="17"/>
                <w:szCs w:val="17"/>
              </w:rPr>
              <w:t xml:space="preserve">Later sources (Constitutional Governance Charter, GBS-SETHS v2/v3, this Index) use Founder Constraint (VII) and Reintegration (IX). March 2026 Unified Constitutional Doctrine used Anti-Capture / Equity of Access. Canon recommends the later, more specific pair pending founder confirmation.</w:t>
            </w:r>
          </w:p>
        </w:tc>
      </w:tr>
    </w:tbl>
    <w:p>
      <w:r>
        <w:br w:type="page"/>
      </w:r>
    </w:p>
    <w:p>
      <w:pPr>
        <w:pBdr>
          <w:bottom w:val="single" w:color="C9A84C" w:sz="12" w:space="4"/>
        </w:pBdr>
        <w:spacing w:after="140" w:before="280"/>
      </w:pPr>
      <w:r>
        <w:rPr>
          <w:rFonts w:ascii="Arial" w:cs="Arial" w:eastAsia="Arial" w:hAnsi="Arial"/>
          <w:b/>
          <w:bCs/>
          <w:color w:val="060E1C"/>
          <w:sz w:val="28"/>
          <w:szCs w:val="28"/>
        </w:rPr>
        <w:t xml:space="preserve">4. Sectional Register — Critical &amp; Updated Entries</w:t>
      </w:r>
    </w:p>
    <w:p>
      <w:pPr>
        <w:spacing w:after="100" w:before="220"/>
      </w:pPr>
      <w:r>
        <w:rPr>
          <w:rFonts w:ascii="Arial" w:cs="Arial" w:eastAsia="Arial" w:hAnsi="Arial"/>
          <w:b/>
          <w:bCs/>
          <w:color w:val="8C7330"/>
          <w:sz w:val="22"/>
          <w:szCs w:val="22"/>
        </w:rPr>
        <w:t xml:space="preserve">Section A — Constitutional &amp; Governance (selected)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3200"/>
        <w:gridCol w:w="1200"/>
        <w:gridCol w:w="1260"/>
      </w:tblGrid>
      <w:tr>
        <w:tc>
          <w:tcPr>
            <w:tcW w:type="dxa" w:w="9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Ref</w:t>
            </w:r>
          </w:p>
        </w:tc>
        <w:tc>
          <w:tcPr>
            <w:tcW w:type="dxa" w:w="28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Document</w:t>
            </w:r>
          </w:p>
        </w:tc>
        <w:tc>
          <w:tcPr>
            <w:tcW w:type="dxa" w:w="3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Description</w:t>
            </w:r>
          </w:p>
        </w:tc>
        <w:tc>
          <w:tcPr>
            <w:tcW w:type="dxa" w:w="1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Status</w:t>
            </w:r>
          </w:p>
        </w:tc>
        <w:tc>
          <w:tcPr>
            <w:tcW w:type="dxa" w:w="126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Access</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A-01</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Unified Constitutional Doctrine</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8-part / 16-article; Human Primacy; AI/AGI/Singularity</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A-02</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Founder Doctrine &amp; Origin Paper</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Personal philosophical &amp; strategic declaration</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A-05</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Constitutional Governance Charter / MOI Blueprint</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Share classes; COB; Founder Constraint</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 — Institutional</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A-07</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COB Charter</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5 seats; halt 3/5; founder removal 5/5; currently VACANT</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A-14</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Succession &amp; Continuity Charter</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Company-wide master succession instrument</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4 — Restricted</w:t>
            </w:r>
          </w:p>
        </w:tc>
      </w:tr>
    </w:tbl>
    <w:p>
      <w:pPr>
        <w:spacing w:after="80"/>
      </w:pPr>
    </w:p>
    <w:p>
      <w:pPr>
        <w:spacing w:after="100" w:before="220"/>
      </w:pPr>
      <w:r>
        <w:rPr>
          <w:rFonts w:ascii="Arial" w:cs="Arial" w:eastAsia="Arial" w:hAnsi="Arial"/>
          <w:b/>
          <w:bCs/>
          <w:color w:val="8C7330"/>
          <w:sz w:val="22"/>
          <w:szCs w:val="22"/>
        </w:rPr>
        <w:t xml:space="preserve">Section C — Financial (correction note)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9B2C2C" w:sz="8"/>
              <w:left w:val="single" w:color="9B2C2C" w:sz="8"/>
              <w:bottom w:val="single" w:color="9B2C2C" w:sz="8"/>
              <w:right w:val="single" w:color="9B2C2C" w:sz="8"/>
            </w:tcBorders>
            <w:shd w:fill="FDF2F2" w:val="clear"/>
            <w:tcMar>
              <w:top w:type="dxa" w:w="140"/>
              <w:left w:type="dxa" w:w="200"/>
              <w:bottom w:type="dxa" w:w="140"/>
              <w:right w:type="dxa" w:w="200"/>
            </w:tcMar>
          </w:tcPr>
          <w:p>
            <w:pPr>
              <w:spacing w:after="40"/>
            </w:pPr>
            <w:r>
              <w:rPr>
                <w:rFonts w:ascii="Arial" w:cs="Arial" w:eastAsia="Arial" w:hAnsi="Arial"/>
                <w:b/>
                <w:bCs/>
                <w:color w:val="9B2C2C"/>
                <w:sz w:val="18"/>
                <w:szCs w:val="18"/>
              </w:rPr>
              <w:t xml:space="preserve">C-08 Market Analysis TAM/SAM/SOM — internal contradiction flagged</w:t>
            </w:r>
          </w:p>
          <w:p>
            <w:r>
              <w:rPr>
                <w:rFonts w:ascii="Arial" w:cs="Arial" w:eastAsia="Arial" w:hAnsi="Arial"/>
                <w:sz w:val="17"/>
                <w:szCs w:val="17"/>
              </w:rPr>
              <w:t xml:space="preserve">March 2026 C-08 states UDOC global TAM ~USD 43B by 2030. June 2026 competitive assessment (multi-sourced) puts the same market at ~$2.6–5.9B by 2030–2035. Use the June 2026 sourced figure in all external materials until C-08 is formally rewritten. Do not present both figures to the same counterparty.</w:t>
            </w:r>
          </w:p>
        </w:tc>
      </w:tr>
    </w:tbl>
    <w:p>
      <w:pPr>
        <w:spacing w:after="80"/>
      </w:pPr>
    </w:p>
    <w:p>
      <w:pPr>
        <w:spacing w:after="100" w:before="220"/>
      </w:pPr>
      <w:r>
        <w:rPr>
          <w:rFonts w:ascii="Arial" w:cs="Arial" w:eastAsia="Arial" w:hAnsi="Arial"/>
          <w:b/>
          <w:bCs/>
          <w:color w:val="8C7330"/>
          <w:sz w:val="22"/>
          <w:szCs w:val="22"/>
        </w:rPr>
        <w:t xml:space="preserve">Section E — Technical (live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3200"/>
        <w:gridCol w:w="1200"/>
        <w:gridCol w:w="1260"/>
      </w:tblGrid>
      <w:tr>
        <w:tc>
          <w:tcPr>
            <w:tcW w:type="dxa" w:w="9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Ref</w:t>
            </w:r>
          </w:p>
        </w:tc>
        <w:tc>
          <w:tcPr>
            <w:tcW w:type="dxa" w:w="28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Document</w:t>
            </w:r>
          </w:p>
        </w:tc>
        <w:tc>
          <w:tcPr>
            <w:tcW w:type="dxa" w:w="3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Description</w:t>
            </w:r>
          </w:p>
        </w:tc>
        <w:tc>
          <w:tcPr>
            <w:tcW w:type="dxa" w:w="1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Status</w:t>
            </w:r>
          </w:p>
        </w:tc>
        <w:tc>
          <w:tcPr>
            <w:tcW w:type="dxa" w:w="126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Access</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E-01</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UDOC Full Hardware Specification</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16-section hardware/platform architecture</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 — Technical NDA</w:t>
            </w:r>
          </w:p>
        </w:tc>
      </w:tr>
      <w:tr>
        <w:tc>
          <w:tcPr>
            <w:tcW w:type="dxa" w:w="9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E-10</w:t>
            </w:r>
          </w:p>
        </w:tc>
        <w:tc>
          <w:tcPr>
            <w:tcW w:type="dxa" w:w="28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EVA Whitepaper</w:t>
            </w:r>
          </w:p>
        </w:tc>
        <w:tc>
          <w:tcPr>
            <w:tcW w:type="dxa" w:w="3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Evaluating Valiant Algorithms — 6-dimension scoring</w:t>
            </w:r>
          </w:p>
        </w:tc>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AVAILABLE</w:t>
            </w:r>
          </w:p>
        </w:tc>
        <w:tc>
          <w:tcPr>
            <w:tcW w:type="dxa" w:w="12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 — Technical NDA</w:t>
            </w:r>
          </w:p>
        </w:tc>
      </w:tr>
      <w:tr>
        <w:tc>
          <w:tcPr>
            <w:tcW w:type="dxa" w:w="9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E-LIVE</w:t>
            </w:r>
          </w:p>
        </w:tc>
        <w:tc>
          <w:tcPr>
            <w:tcW w:type="dxa" w:w="28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platform-core (Render)</w:t>
            </w:r>
          </w:p>
        </w:tc>
        <w:tc>
          <w:tcPr>
            <w:tcW w:type="dxa" w:w="3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72 API routes live; GIS/CET-CTE/GBS engines integrated; Neon Postgres</w:t>
            </w:r>
          </w:p>
        </w:tc>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PROVEN / LIVE</w:t>
            </w:r>
          </w:p>
        </w:tc>
        <w:tc>
          <w:tcPr>
            <w:tcW w:type="dxa" w:w="12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 — Open (API docs)</w:t>
            </w:r>
          </w:p>
        </w:tc>
      </w:tr>
    </w:tbl>
    <w:p>
      <w:pPr>
        <w:spacing w:after="100"/>
      </w:pPr>
    </w:p>
    <w:p>
      <w:pPr>
        <w:spacing w:after="100" w:before="220"/>
      </w:pPr>
      <w:r>
        <w:rPr>
          <w:rFonts w:ascii="Arial" w:cs="Arial" w:eastAsia="Arial" w:hAnsi="Arial"/>
          <w:b/>
          <w:bCs/>
          <w:color w:val="8C7330"/>
          <w:sz w:val="22"/>
          <w:szCs w:val="22"/>
        </w:rPr>
        <w:t xml:space="preserve">Section H &amp; I — GBS Package &amp; Canon (full list in §2)</w:t>
      </w:r>
    </w:p>
    <w:p>
      <w:pPr>
        <w:spacing w:after="100"/>
      </w:pPr>
      <w:r>
        <w:rPr>
          <w:rFonts w:ascii="Arial" w:cs="Arial" w:eastAsia="Arial" w:hAnsi="Arial"/>
          <w:sz w:val="20"/>
          <w:szCs w:val="20"/>
        </w:rPr>
        <w:t xml:space="preserve">See Section 2 table above for H-00 through H-10 and I-01. These are the July 2026 institutional readiness layer and the naming authority document.</w:t>
      </w:r>
    </w:p>
    <w:p>
      <w:r>
        <w:br w:type="page"/>
      </w:r>
    </w:p>
    <w:p>
      <w:pPr>
        <w:pBdr>
          <w:bottom w:val="single" w:color="C9A84C" w:sz="12" w:space="4"/>
        </w:pBdr>
        <w:spacing w:after="140" w:before="280"/>
      </w:pPr>
      <w:r>
        <w:rPr>
          <w:rFonts w:ascii="Arial" w:cs="Arial" w:eastAsia="Arial" w:hAnsi="Arial"/>
          <w:b/>
          <w:bCs/>
          <w:color w:val="060E1C"/>
          <w:sz w:val="28"/>
          <w:szCs w:val="28"/>
        </w:rPr>
        <w:t xml:space="preserve">5. Data Room Access Protocol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600"/>
        <w:gridCol w:w="2400"/>
        <w:gridCol w:w="2160"/>
      </w:tblGrid>
      <w:tr>
        <w:tc>
          <w:tcPr>
            <w:tcW w:type="dxa" w:w="12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Step</w:t>
            </w:r>
          </w:p>
        </w:tc>
        <w:tc>
          <w:tcPr>
            <w:tcW w:type="dxa" w:w="36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Action</w:t>
            </w:r>
          </w:p>
        </w:tc>
        <w:tc>
          <w:tcPr>
            <w:tcW w:type="dxa" w:w="240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Timeline</w:t>
            </w:r>
          </w:p>
        </w:tc>
        <w:tc>
          <w:tcPr>
            <w:tcW w:type="dxa" w:w="2160"/>
            <w:tcBorders>
              <w:top w:val="single" w:color="D0D5DD" w:sz="4"/>
              <w:left w:val="single" w:color="D0D5DD" w:sz="4"/>
              <w:bottom w:val="single" w:color="D0D5DD" w:sz="4"/>
              <w:right w:val="single" w:color="D0D5DD" w:sz="4"/>
            </w:tcBorders>
            <w:shd w:fill="060E1C" w:val="clear"/>
            <w:tcMar>
              <w:top w:type="dxa" w:w="60"/>
              <w:left w:type="dxa" w:w="80"/>
              <w:bottom w:type="dxa" w:w="60"/>
              <w:right w:type="dxa" w:w="80"/>
            </w:tcMar>
            <w:vAlign w:val="center"/>
          </w:tcPr>
          <w:p>
            <w:pPr>
              <w:jc w:val="left"/>
            </w:pPr>
            <w:r>
              <w:rPr>
                <w:rFonts w:ascii="Arial" w:cs="Arial" w:eastAsia="Arial" w:hAnsi="Arial"/>
                <w:b/>
                <w:bCs/>
                <w:color w:val="FFFFFF"/>
                <w:sz w:val="17"/>
                <w:szCs w:val="17"/>
              </w:rPr>
              <w:t xml:space="preserve">Contact</w:t>
            </w:r>
          </w:p>
        </w:tc>
      </w:tr>
      <w:tr>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1</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Request access — organisation, role, documents required. Level 1 open immediately.</w:t>
            </w:r>
          </w:p>
        </w:tc>
        <w:tc>
          <w:tcPr>
            <w:tcW w:type="dxa" w:w="2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Immediate</w:t>
            </w:r>
          </w:p>
        </w:tc>
        <w:tc>
          <w:tcPr>
            <w:tcW w:type="dxa" w:w="2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info@gods.systems</w:t>
            </w:r>
          </w:p>
        </w:tc>
      </w:tr>
      <w:tr>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2</w:t>
            </w:r>
          </w:p>
        </w:tc>
        <w:tc>
          <w:tcPr>
            <w:tcW w:type="dxa" w:w="36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NDA execution for Level 3 documents</w:t>
            </w:r>
          </w:p>
        </w:tc>
        <w:tc>
          <w:tcPr>
            <w:tcW w:type="dxa" w:w="2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Within 48 hours</w:t>
            </w:r>
          </w:p>
        </w:tc>
        <w:tc>
          <w:tcPr>
            <w:tcW w:type="dxa" w:w="2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legal@gods.systems</w:t>
            </w:r>
          </w:p>
        </w:tc>
      </w:tr>
      <w:tr>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3</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Encrypted portal / secure transfer of Level 3</w:t>
            </w:r>
          </w:p>
        </w:tc>
        <w:tc>
          <w:tcPr>
            <w:tcW w:type="dxa" w:w="2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Within 24 hours of NDA</w:t>
            </w:r>
          </w:p>
        </w:tc>
        <w:tc>
          <w:tcPr>
            <w:tcW w:type="dxa" w:w="2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operations@gods.systems</w:t>
            </w:r>
          </w:p>
        </w:tc>
      </w:tr>
      <w:tr>
        <w:tc>
          <w:tcPr>
            <w:tcW w:type="dxa" w:w="12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4</w:t>
            </w:r>
          </w:p>
        </w:tc>
        <w:tc>
          <w:tcPr>
            <w:tcW w:type="dxa" w:w="36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Level 4 Restricted — Founder sign-off</w:t>
            </w:r>
          </w:p>
        </w:tc>
        <w:tc>
          <w:tcPr>
            <w:tcW w:type="dxa" w:w="240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5 business day lead</w:t>
            </w:r>
          </w:p>
        </w:tc>
        <w:tc>
          <w:tcPr>
            <w:tcW w:type="dxa" w:w="2160"/>
            <w:tcBorders>
              <w:top w:val="single" w:color="D0D5DD" w:sz="4"/>
              <w:left w:val="single" w:color="D0D5DD" w:sz="4"/>
              <w:bottom w:val="single" w:color="D0D5DD" w:sz="4"/>
              <w:right w:val="single" w:color="D0D5DD" w:sz="4"/>
            </w:tcBorders>
            <w:shd w:fill="F2F3F5"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Founder — info@gods.systems</w:t>
            </w:r>
          </w:p>
        </w:tc>
      </w:tr>
      <w:tr>
        <w:tc>
          <w:tcPr>
            <w:tcW w:type="dxa" w:w="12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5</w:t>
            </w:r>
          </w:p>
        </w:tc>
        <w:tc>
          <w:tcPr>
            <w:tcW w:type="dxa" w:w="36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Management Q&amp;A / Founder diligence</w:t>
            </w:r>
          </w:p>
        </w:tc>
        <w:tc>
          <w:tcPr>
            <w:tcW w:type="dxa" w:w="240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By appointment</w:t>
            </w:r>
          </w:p>
        </w:tc>
        <w:tc>
          <w:tcPr>
            <w:tcW w:type="dxa" w:w="2160"/>
            <w:tcBorders>
              <w:top w:val="single" w:color="D0D5DD" w:sz="4"/>
              <w:left w:val="single" w:color="D0D5DD" w:sz="4"/>
              <w:bottom w:val="single" w:color="D0D5DD" w:sz="4"/>
              <w:right w:val="single" w:color="D0D5DD" w:sz="4"/>
            </w:tcBorders>
            <w:shd w:fill="FFFFFF" w:val="clear"/>
            <w:tcMar>
              <w:top w:type="dxa" w:w="60"/>
              <w:left w:type="dxa" w:w="80"/>
              <w:bottom w:type="dxa" w:w="60"/>
              <w:right w:type="dxa" w:w="80"/>
            </w:tcMar>
            <w:vAlign w:val="center"/>
          </w:tcPr>
          <w:p>
            <w:pPr>
              <w:jc w:val="left"/>
            </w:pPr>
            <w:r>
              <w:rPr>
                <w:rFonts w:ascii="Arial" w:cs="Arial" w:eastAsia="Arial" w:hAnsi="Arial"/>
                <w:b w:val="false"/>
                <w:bCs w:val="false"/>
                <w:color w:val="16233A"/>
                <w:sz w:val="17"/>
                <w:szCs w:val="17"/>
              </w:rPr>
              <w:t xml:space="preserve">info@gods.systems</w:t>
            </w:r>
          </w:p>
        </w:tc>
      </w:tr>
    </w:tbl>
    <w:p>
      <w:pPr>
        <w:spacing w:after="120"/>
      </w:pPr>
    </w:p>
    <w:p>
      <w:pPr>
        <w:pBdr>
          <w:bottom w:val="single" w:color="C9A84C" w:sz="12" w:space="4"/>
        </w:pBdr>
        <w:spacing w:after="140" w:before="280"/>
      </w:pPr>
      <w:r>
        <w:rPr>
          <w:rFonts w:ascii="Arial" w:cs="Arial" w:eastAsia="Arial" w:hAnsi="Arial"/>
          <w:b/>
          <w:bCs/>
          <w:color w:val="060E1C"/>
          <w:sz w:val="28"/>
          <w:szCs w:val="28"/>
        </w:rPr>
        <w:t xml:space="preserve">6. Live Site Correction Priority (for SJS implementation)</w:t>
      </w:r>
    </w:p>
    <w:p>
      <w:pPr>
        <w:spacing w:after="100"/>
      </w:pPr>
      <w:r>
        <w:rPr>
          <w:rFonts w:ascii="Arial" w:cs="Arial" w:eastAsia="Arial" w:hAnsi="Arial"/>
          <w:sz w:val="20"/>
          <w:szCs w:val="20"/>
        </w:rPr>
        <w:t xml:space="preserve">The following four items remain incorrect on capstoneprojectsjs.netlify.app as of the July 2026 audit of the live page. Exact replacement text is supplied in the companion Live Site Correction Pack. They should be applied before any press, DFI, or competition outreach.</w:t>
      </w:r>
    </w:p>
    <w:p>
      <w:pPr>
        <w:spacing w:after="60"/>
      </w:pPr>
      <w:r>
        <w:rPr>
          <w:rFonts w:ascii="Arial" w:cs="Arial" w:eastAsia="Arial" w:hAnsi="Arial"/>
          <w:b/>
          <w:bCs/>
          <w:sz w:val="20"/>
          <w:szCs w:val="20"/>
        </w:rPr>
        <w:t xml:space="preserve">1. </w:t>
      </w:r>
      <w:r>
        <w:rPr>
          <w:rFonts w:ascii="Arial" w:cs="Arial" w:eastAsia="Arial" w:hAnsi="Arial"/>
          <w:sz w:val="20"/>
          <w:szCs w:val="20"/>
        </w:rPr>
        <w:t xml:space="preserve">UDOC status language — replace any "Architecture designed. No code written…" / "Build begins at seed close" with confirmed live-build wording.</w:t>
      </w:r>
    </w:p>
    <w:p>
      <w:pPr>
        <w:spacing w:after="60"/>
      </w:pPr>
      <w:r>
        <w:rPr>
          <w:rFonts w:ascii="Arial" w:cs="Arial" w:eastAsia="Arial" w:hAnsi="Arial"/>
          <w:b/>
          <w:bCs/>
          <w:sz w:val="20"/>
          <w:szCs w:val="20"/>
        </w:rPr>
        <w:t xml:space="preserve">2. </w:t>
      </w:r>
      <w:r>
        <w:rPr>
          <w:rFonts w:ascii="Arial" w:cs="Arial" w:eastAsia="Arial" w:hAnsi="Arial"/>
          <w:sz w:val="20"/>
          <w:szCs w:val="20"/>
        </w:rPr>
        <w:t xml:space="preserve">Remove Nova X Quantum™ from any competitor comparison table.</w:t>
      </w:r>
    </w:p>
    <w:p>
      <w:pPr>
        <w:spacing w:after="60"/>
      </w:pPr>
      <w:r>
        <w:rPr>
          <w:rFonts w:ascii="Arial" w:cs="Arial" w:eastAsia="Arial" w:hAnsi="Arial"/>
          <w:b/>
          <w:bCs/>
          <w:sz w:val="20"/>
          <w:szCs w:val="20"/>
        </w:rPr>
        <w:t xml:space="preserve">3. </w:t>
      </w:r>
      <w:r>
        <w:rPr>
          <w:rFonts w:ascii="Arial" w:cs="Arial" w:eastAsia="Arial" w:hAnsi="Arial"/>
          <w:sz w:val="20"/>
          <w:szCs w:val="20"/>
        </w:rPr>
        <w:t xml:space="preserve">Unemployment: 32.7% official national / 60.9% youth 15–24 (Stats SA Q1 2026).</w:t>
      </w:r>
    </w:p>
    <w:p>
      <w:pPr>
        <w:spacing w:after="60"/>
      </w:pPr>
      <w:r>
        <w:rPr>
          <w:rFonts w:ascii="Arial" w:cs="Arial" w:eastAsia="Arial" w:hAnsi="Arial"/>
          <w:b/>
          <w:bCs/>
          <w:sz w:val="20"/>
          <w:szCs w:val="20"/>
        </w:rPr>
        <w:t xml:space="preserve">4. </w:t>
      </w:r>
      <w:r>
        <w:rPr>
          <w:rFonts w:ascii="Arial" w:cs="Arial" w:eastAsia="Arial" w:hAnsi="Arial"/>
          <w:sz w:val="20"/>
          <w:szCs w:val="20"/>
        </w:rPr>
        <w:t xml:space="preserve">Document count: "73 formally registered in the master index; 94 primary instruments after GBS package; 103+ including versions and supporting files."</w:t>
      </w:r>
    </w:p>
    <w:p>
      <w:pPr>
        <w:spacing w:after="60"/>
      </w:pPr>
      <w:r>
        <w:rPr>
          <w:rFonts w:ascii="Arial" w:cs="Arial" w:eastAsia="Arial" w:hAnsi="Arial"/>
          <w:b/>
          <w:bCs/>
          <w:sz w:val="20"/>
          <w:szCs w:val="20"/>
        </w:rPr>
        <w:t xml:space="preserve">5. </w:t>
      </w:r>
      <w:r>
        <w:rPr>
          <w:rFonts w:ascii="Arial" w:cs="Arial" w:eastAsia="Arial" w:hAnsi="Arial"/>
          <w:sz w:val="20"/>
          <w:szCs w:val="20"/>
        </w:rPr>
        <w:t xml:space="preserve">AI Policy: remove active-framework claims for GG54477; note withdrawal 26 Apr 2026; cite NAIFP (Aug 2024) where a foundational SA AI framework is needed.</w:t>
      </w:r>
    </w:p>
    <w:p>
      <w:pPr>
        <w:spacing w:after="60"/>
      </w:pPr>
      <w:r>
        <w:rPr>
          <w:rFonts w:ascii="Arial" w:cs="Arial" w:eastAsia="Arial" w:hAnsi="Arial"/>
          <w:b/>
          <w:bCs/>
          <w:sz w:val="20"/>
          <w:szCs w:val="20"/>
        </w:rPr>
        <w:t xml:space="preserve">6. </w:t>
      </w:r>
      <w:r>
        <w:rPr>
          <w:rFonts w:ascii="Arial" w:cs="Arial" w:eastAsia="Arial" w:hAnsi="Arial"/>
          <w:sz w:val="20"/>
          <w:szCs w:val="20"/>
        </w:rPr>
        <w:t xml:space="preserve">Introduce GBS on the homepage narrative as the constitutional doctrine / franchise layer (one short paragraph + link to Canon / H-00).</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8"/>
              <w:left w:val="single" w:color="C9A84C" w:sz="8"/>
              <w:bottom w:val="single" w:color="C9A84C" w:sz="8"/>
              <w:right w:val="single" w:color="C9A84C" w:sz="8"/>
            </w:tcBorders>
            <w:shd w:fill="F7F1E0" w:val="clear"/>
            <w:tcMar>
              <w:top w:type="dxa" w:w="140"/>
              <w:left w:type="dxa" w:w="200"/>
              <w:bottom w:type="dxa" w:w="140"/>
              <w:right w:type="dxa" w:w="200"/>
            </w:tcMar>
          </w:tcPr>
          <w:p>
            <w:pPr>
              <w:spacing w:after="40"/>
            </w:pPr>
            <w:r>
              <w:rPr>
                <w:rFonts w:ascii="Arial" w:cs="Arial" w:eastAsia="Arial" w:hAnsi="Arial"/>
                <w:b/>
                <w:bCs/>
                <w:sz w:val="17"/>
                <w:szCs w:val="17"/>
              </w:rPr>
              <w:t xml:space="preserve">Authorship declaration</w:t>
            </w:r>
          </w:p>
          <w:p>
            <w:r>
              <w:rPr>
                <w:rFonts w:ascii="Arial" w:cs="Arial" w:eastAsia="Arial" w:hAnsi="Arial"/>
                <w:sz w:val="16"/>
                <w:szCs w:val="16"/>
              </w:rPr>
              <w:t xml:space="preserve">This Index translates a decade of Sashin J. Singh's original institutional architecture into a registration-grade catalogue. AI production tools structured and formatted the document from existing materials and SJS's specifications. The architecture, pillars, methodology, and decade of commitment are SJS's own.</w:t>
            </w:r>
          </w:p>
        </w:tc>
      </w:tr>
    </w:tbl>
    <w:p>
      <w:pPr>
        <w:spacing w:after="80"/>
      </w:pPr>
    </w:p>
    <w:p>
      <w:pPr>
        <w:jc w:val="center"/>
      </w:pPr>
      <w:r>
        <w:rPr>
          <w:rFonts w:ascii="Arial" w:cs="Arial" w:eastAsia="Arial" w:hAnsi="Arial"/>
          <w:color w:val="5B6472"/>
          <w:sz w:val="16"/>
          <w:szCs w:val="16"/>
        </w:rPr>
        <w:t xml:space="preserve">GODS-DR-MASTER-2026-003  ·  Master Data Room Index Version 3.0  ·  July 2026</w:t>
      </w:r>
    </w:p>
    <w:p>
      <w:pPr>
        <w:jc w:val="center"/>
      </w:pPr>
      <w:r>
        <w:rPr>
          <w:rFonts w:ascii="Arial" w:cs="Arial" w:eastAsia="Arial" w:hAnsi="Arial"/>
          <w:color w:val="5B6472"/>
          <w:sz w:val="16"/>
          <w:szCs w:val="16"/>
        </w:rPr>
        <w:t xml:space="preserve">Updated with GBS package  ·  Custodian: Legal Counsel + COO  ·  Founder sign-off required for Level 3 &amp; 4</w:t>
      </w:r>
    </w:p>
    <w:p>
      <w:pPr>
        <w:jc w:val="center"/>
      </w:pPr>
      <w:r>
        <w:rPr>
          <w:rFonts w:ascii="Arial" w:cs="Arial" w:eastAsia="Arial" w:hAnsi="Arial"/>
          <w:color w:val="5B6472"/>
          <w:sz w:val="16"/>
          <w:szCs w:val="16"/>
        </w:rPr>
        <w:t xml:space="preserve">© 2026 G.O.D.S Holdings (Pty) Ltd (PROPOSED)  ·  All IP held in the G.O.D.S IP Trust</w:t>
      </w:r>
    </w:p>
    <w:sectPr>
      <w:headerReference w:type="default" r:id="rId7"/>
      <w:footerReference w:type="default" r:id="rId8"/>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B6472"/>
        <w:sz w:val="16"/>
        <w:szCs w:val="16"/>
      </w:rPr>
      <w:t xml:space="preserve">IP Trust Protected  ·  Pre-Registration  ·  Page </w:t>
    </w:r>
    <w:r>
      <w:rPr>
        <w:rFonts w:ascii="Arial" w:cs="Arial" w:eastAsia="Arial" w:hAnsi="Arial"/>
        <w:color w:val="5B6472"/>
        <w:sz w:val="16"/>
        <w:szCs w:val="16"/>
      </w:rPr>
      <w:fldChar w:fldCharType="begin"/>
      <w:instrText xml:space="preserve">PAGE</w:instrText>
      <w:fldChar w:fldCharType="separate"/>
      <w:fldChar w:fldCharType="end"/>
    </w:r>
    <w:r>
      <w:rPr>
        <w:rFonts w:ascii="Arial" w:cs="Arial" w:eastAsia="Arial" w:hAnsi="Arial"/>
        <w:color w:val="5B6472"/>
        <w:sz w:val="16"/>
        <w:szCs w:val="16"/>
      </w:rPr>
      <w:t xml:space="preserve">  ·  © 2026 Sashin J. Singh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5B6472"/>
        <w:sz w:val="16"/>
        <w:szCs w:val="16"/>
      </w:rPr>
      <w:t xml:space="preserve">G.O.D.S Holdings  ·  Master Data Room Index v3.0  ·  GBS-Aligned  ·  July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40" w:before="280"/>
      <w:outlineLvl w:val="0"/>
    </w:pPr>
    <w:rPr>
      <w:rFonts w:ascii="Arial" w:cs="Arial" w:eastAsia="Arial" w:hAnsi="Arial"/>
      <w:b/>
      <w:bCs/>
      <w:color w:val="060E1C"/>
      <w:sz w:val="28"/>
      <w:szCs w:val="28"/>
    </w:rPr>
  </w:style>
  <w:style w:type="paragraph" w:styleId="Heading2">
    <w:name w:val="Heading 2"/>
    <w:basedOn w:val="Normal"/>
    <w:next w:val="Normal"/>
    <w:pPr>
      <w:spacing w:after="100" w:before="200"/>
      <w:outlineLvl w:val="1"/>
    </w:pPr>
    <w:rPr>
      <w:rFonts w:ascii="Arial" w:cs="Arial" w:eastAsia="Arial" w:hAnsi="Arial"/>
      <w:b/>
      <w:bCs/>
      <w:color w:val="8C733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2026-07-27T08:37:35.707Z</dcterms:created>
  <dcterms:modified xsi:type="dcterms:W3CDTF">2026-07-27T08:37:35.708Z</dcterms:modified>
</cp:coreProperties>
</file>

<file path=docProps/custom.xml><?xml version="1.0" encoding="utf-8"?>
<Properties xmlns="http://schemas.openxmlformats.org/officeDocument/2006/custom-properties" xmlns:vt="http://schemas.openxmlformats.org/officeDocument/2006/docPropsVTypes"/>
</file>