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jc w:val="center"/>
      </w:pPr>
      <w:r>
        <w:rPr>
          <w:b/>
          <w:bCs/>
          <w:color w:val="16233A"/>
          <w:sz w:val="22"/>
          <w:szCs w:val="22"/>
        </w:rPr>
        <w:t xml:space="preserve">G . O . D . S   H O L D I N G S</w:t>
      </w:r>
    </w:p>
    <w:p>
      <w:pPr>
        <w:spacing w:after="320"/>
        <w:jc w:val="center"/>
      </w:pPr>
      <w:r>
        <w:rPr>
          <w:color w:val="5B6472"/>
          <w:sz w:val="16"/>
          <w:szCs w:val="16"/>
        </w:rPr>
        <w:t xml:space="preserve">GOOD ORDERLY DIRECTIONAL SYSTEMS  ·  GBS-SETHS INSTITUTIONAL READINESS PACKAGE</w:t>
      </w:r>
    </w:p>
    <w:p>
      <w:pPr>
        <w:spacing w:after="120"/>
        <w:jc w:val="center"/>
      </w:pPr>
      <w:r>
        <w:rPr>
          <w:b/>
          <w:bCs/>
          <w:color w:val="8C7330"/>
          <w:sz w:val="18"/>
          <w:szCs w:val="18"/>
        </w:rPr>
        <w:t xml:space="preserve">DOCUMENT 01 of 11 OF 11</w:t>
      </w:r>
    </w:p>
    <w:p>
      <w:pPr>
        <w:spacing w:after="160"/>
        <w:jc w:val="center"/>
      </w:pPr>
      <w:r>
        <w:rPr>
          <w:b/>
          <w:bCs/>
          <w:color w:val="16233A"/>
          <w:sz w:val="40"/>
          <w:szCs w:val="40"/>
        </w:rPr>
        <w:t xml:space="preserve">GBS-SETHS Institutional Constitution</w:t>
      </w:r>
    </w:p>
    <w:p>
      <w:pPr>
        <w:spacing w:after="400"/>
        <w:jc w:val="center"/>
      </w:pPr>
      <w:r>
        <w:rPr>
          <w:i/>
          <w:iCs/>
          <w:color w:val="5B6472"/>
          <w:sz w:val="24"/>
          <w:szCs w:val="24"/>
        </w:rPr>
        <w:t xml:space="preserve">The Master Authority Document</w:t>
      </w:r>
    </w:p>
    <w:p>
      <w:pPr>
        <w:spacing w:after="100"/>
        <w:jc w:val="center"/>
      </w:pPr>
      <w:r>
        <w:rPr>
          <w:color w:val="16233A"/>
          <w:sz w:val="20"/>
          <w:szCs w:val="20"/>
        </w:rPr>
        <w:t xml:space="preserve">CONSTITUTIONAL INSTRUMENT · DEFINES THE BINDING GOVERNANCE ARCHITECTURE OF GBS-SETHS WITHIN G.O.D.S.</w:t>
      </w:r>
    </w:p>
    <w:p>
      <w:pPr>
        <w:spacing w:after="400"/>
        <w:jc w:val="center"/>
      </w:pPr>
      <w:r>
        <w:rPr>
          <w:color w:val="5B6472"/>
          <w:sz w:val="18"/>
          <w:szCs w:val="18"/>
        </w:rPr>
        <w:t xml:space="preserve">Version 1.0 · July 2026 · Companion to the GBS-SETHS Consolidated Super Framework (Document 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60"/>
            </w:pPr>
            <w:r>
              <w:rPr>
                <w:b/>
                <w:bCs/>
              </w:rPr>
              <w:t xml:space="preserve">Architect &amp; Founder:  </w:t>
            </w:r>
            <w:r>
              <w:t xml:space="preserve">Sashin J. Singh</w:t>
            </w:r>
          </w:p>
          <w:p>
            <w:pPr>
              <w:spacing w:after="60"/>
            </w:pPr>
            <w:r>
              <w:rPr>
                <w:b/>
                <w:bCs/>
              </w:rPr>
              <w:t xml:space="preserve">Institution:  </w:t>
            </w:r>
            <w:r>
              <w:t xml:space="preserve">G.O.D.S Holdings (Pty) Ltd — Pre-Registration, Johannesburg, South Africa</w:t>
            </w:r>
          </w:p>
          <w:p>
            <w:pPr>
              <w:spacing w:after="60"/>
            </w:pPr>
            <w:r>
              <w:rPr>
                <w:b/>
                <w:bCs/>
              </w:rPr>
              <w:t xml:space="preserve">IP Custodian:  </w:t>
            </w:r>
            <w:r>
              <w:t xml:space="preserve">G.O.D.S IP Trust — Trust Property Control Act 57 of 1988</w:t>
            </w:r>
          </w:p>
          <w:p>
            <w:pPr>
              <w:spacing w:after="60"/>
            </w:pPr>
            <w:r>
              <w:rPr>
                <w:b/>
                <w:bCs/>
              </w:rPr>
              <w:t xml:space="preserve">Document Classification:  </w:t>
            </w:r>
            <w:r>
              <w:t xml:space="preserve">OPEN — Institutional Use, with Restricted annexes as noted</w:t>
            </w:r>
          </w:p>
          <w:p>
            <w:pPr>
              <w:spacing w:after="0"/>
            </w:pPr>
            <w:r>
              <w:rPr>
                <w:b/>
                <w:bCs/>
              </w:rPr>
              <w:t xml:space="preserve">Package:  </w:t>
            </w:r>
            <w:r>
              <w:t xml:space="preserve">GBS-SETHS Institutional Readiness Package — consolidating GBS-SETHS Framework v1.0/v2.0 with 10 companion registration-grade instruments</w:t>
            </w:r>
          </w:p>
        </w:tc>
      </w:tr>
    </w:tbl>
    <w:p>
      <w:pPr>
        <w:spacing w:after="3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0"/>
            </w:pPr>
            <w:r>
              <w:rPr>
                <w:b/>
                <w:bCs/>
              </w:rPr>
              <w:t xml:space="preserve">Authorship declaration.  </w:t>
            </w:r>
            <w:r>
              <w:t xml:space="preserve">This document translates a decade of Sashin J. Singh's original institutional architecture — conceived 2016 (Seth's Empire, Johannesburg), continuously refined through personal, academic, and lived development, and previously formalised in GBS-SETHS v1.0/v2.0, the G.O.D.S. data room, and the live institutional platform — into a registration-grade instrument. AI production tools were used to draft, structure, cross-reference, and format this document from that existing body of work and from SJS's direct specification of its required structure and content. The architecture, the pillars, the methodology, the terminology, and the decade of lived commitment are SJS's own. AI did not originate the institutional design; it produced the document.</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2360"/>
        <w:gridCol w:w="4000"/>
      </w:tblGrid>
      <w:tr>
        <w:trPr>
          <w:tblHeader/>
        </w:trPr>
        <w:tc>
          <w:tcPr>
            <w:tcW w:type="dxa" w:w="1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Version</w:t>
            </w:r>
          </w:p>
        </w:tc>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Date</w:t>
            </w:r>
          </w:p>
        </w:tc>
        <w:tc>
          <w:tcPr>
            <w:tcW w:type="dxa" w:w="2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Author</w:t>
            </w:r>
          </w:p>
        </w:tc>
        <w:tc>
          <w:tcPr>
            <w:tcW w:type="dxa" w:w="4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Change Summary</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1.0</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July 2026</w:t>
            </w:r>
          </w:p>
        </w:tc>
        <w:tc>
          <w:tcPr>
            <w:tcW w:type="dxa" w:w="2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SJS + AI documentation assistance</w:t>
            </w:r>
          </w:p>
        </w:tc>
        <w:tc>
          <w:tcPr>
            <w:tcW w:type="dxa" w:w="4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First issue — drafted from the existing Constitutional Governance Charter / MOI Blueprint, Oversight Board Charter, and GBS-SETHS v2.0, translated into a single GBS-SETHS-facing constitutional instrument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This is an architectural blueprint, not a filed legal instrument.</w:t>
            </w:r>
          </w:p>
          <w:p>
            <w:pPr>
              <w:spacing w:after="160" w:line="276"/>
              <w:jc w:val="left"/>
            </w:pPr>
            <w:r>
              <w:t xml:space="preserve">Exactly as its parent documents (the Constitutional Governance Charter and MOI Blueprint) already state: the structural logic in this Constitution is authoritative as SJS's institutional design. The specific legal language binding it must still be professionally drafted by a qualified South African commercial and trust attorney before CIPC registration, Trust deed execution, and MOI filing. Nothing in this document should be treated as legal advice or as a substitute for that step.</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Systemic trace — the seven GBS questions this document answers</w:t>
            </w:r>
          </w:p>
          <w:p>
            <w:pPr>
              <w:spacing w:after="60"/>
            </w:pPr>
            <w:r>
              <w:rPr>
                <w:b/>
                <w:bCs/>
              </w:rPr>
              <w:t xml:space="preserve">What information exists?  </w:t>
            </w:r>
            <w:r>
              <w:t xml:space="preserve">The complete set of constitutional obligations, entity structure, and governance authority that already exists across the Constitutional Governance Charter, the Oversight Board Charter, the Succession Charter, and GBS-SETHS v2.0 — consolidated here into one binding master document.</w:t>
            </w:r>
          </w:p>
          <w:p>
            <w:pPr>
              <w:spacing w:after="60"/>
            </w:pPr>
            <w:r>
              <w:rPr>
                <w:b/>
                <w:bCs/>
              </w:rPr>
              <w:t xml:space="preserve">How is it communicated?  </w:t>
            </w:r>
            <w:r>
              <w:t xml:space="preserve">To every franchise node, delivery operator, employer partner, investor, and government counterparty as the first document they receive before any partnership is formalised.</w:t>
            </w:r>
          </w:p>
          <w:p>
            <w:pPr>
              <w:spacing w:after="60"/>
            </w:pPr>
            <w:r>
              <w:rPr>
                <w:b/>
                <w:bCs/>
              </w:rPr>
              <w:t xml:space="preserve">How is it transported?  </w:t>
            </w:r>
            <w:r>
              <w:t xml:space="preserve">Through the licensing chain (Section 6) and through UDOC, which encodes constitutional compliance checks directly into governance decisions.</w:t>
            </w:r>
          </w:p>
          <w:p>
            <w:pPr>
              <w:spacing w:after="60"/>
            </w:pPr>
            <w:r>
              <w:rPr>
                <w:b/>
                <w:bCs/>
              </w:rPr>
              <w:t xml:space="preserve">How is it received?  </w:t>
            </w:r>
            <w:r>
              <w:t xml:space="preserve">By the Constitutional Oversight Board, which interprets and enforces it, and by every entity that signs a licence, MOU, or employment agreement referencing it.</w:t>
            </w:r>
          </w:p>
          <w:p>
            <w:pPr>
              <w:spacing w:after="60"/>
            </w:pPr>
            <w:r>
              <w:rPr>
                <w:b/>
                <w:bCs/>
              </w:rPr>
              <w:t xml:space="preserve">How is learning/compliance verified?  </w:t>
            </w:r>
            <w:r>
              <w:t xml:space="preserve">Through the COB's binding-halt authority, the Annual Constitutional Compliance Certificate, and UDOC's sealed audit trail.</w:t>
            </w:r>
          </w:p>
          <w:p>
            <w:pPr>
              <w:spacing w:after="60"/>
            </w:pPr>
            <w:r>
              <w:rPr>
                <w:b/>
                <w:bCs/>
              </w:rPr>
              <w:t xml:space="preserve">How is the process repeated?  </w:t>
            </w:r>
            <w:r>
              <w:t xml:space="preserve">Every licence renewal, every new node certification, and every annual compliance cycle re-tests the same constitutional obligations.</w:t>
            </w:r>
          </w:p>
          <w:p>
            <w:pPr>
              <w:spacing w:after="0"/>
            </w:pPr>
            <w:r>
              <w:rPr>
                <w:b/>
                <w:bCs/>
              </w:rPr>
              <w:t xml:space="preserve">How does it scale to civilisational level?  </w:t>
            </w:r>
            <w:r>
              <w:t xml:space="preserve">This is the one document designed to remain word-for-word identical whether it governs one pilot cohort in Johannesburg or a 20-node global franchise network 25 years from now.</w:t>
            </w:r>
          </w:p>
        </w:tc>
      </w:tr>
    </w:tbl>
    <w:p>
      <w:r>
        <w:br w:type="page"/>
      </w:r>
    </w:p>
    <w:p>
      <w:pPr>
        <w:pStyle w:val="Heading1"/>
      </w:pPr>
      <w:r>
        <w:t xml:space="preserve">Part One — Preamble</w:t>
      </w:r>
    </w:p>
    <w:p>
      <w:pPr>
        <w:spacing w:after="160" w:line="276"/>
        <w:jc w:val="left"/>
      </w:pPr>
      <w:r>
        <w:t xml:space="preserve">This Constitution is the master authority document of GBS-SETHS — the Global Belief System expression of Systematically Engineered Transfer of Human Systems (see the naming note in Document 00, Front Matter, regarding the parallel acronym in use elsewhere in the wider G.O.D.S. document set). It establishes the legal, philosophical, and operational authority of GBS-SETHS within the G.O.D.S. constitutional architecture, and it binds every GBS Global officer, National GBS Authority, Regional GBS Authority, Delivery Operator, Certified Employer partner, and technology layer (UDOC, GIS, M.A.D.I.B.A) that operates under the GBS-SETHS name.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i/>
                <w:iCs/>
              </w:rPr>
              <w:t xml:space="preserve">"To build the permanent infrastructure through which human capability is continuously developed, transferred, and compounded — so that every generation, in every country, finds a system ready to transform their potential into measurable economic participation — for as long as human civilisation requires such infrastructure to function."</w:t>
            </w:r>
            <w:r>
              <w:t xml:space="preserve">  — Sashin J. Singh, Founding Architect</w:t>
            </w:r>
          </w:p>
        </w:tc>
      </w:tr>
    </w:tbl>
    <w:p>
      <w:pPr>
        <w:spacing w:after="160" w:line="276"/>
        <w:jc w:val="left"/>
      </w:pPr>
      <w:r>
        <w:t xml:space="preserve">Human dignity is the first and controlling premise of this Constitution. No commercial target, funding condition, government relationship, or operational convenience may be used to justify a departure from it. Where any provision of this Constitution appears to conflict with a commercial or operational objective, this Constitution prevails, and the conflict is a matter for the Constitutional Oversight Board (COB), not for unilateral resolution by management.</w:t>
      </w:r>
    </w:p>
    <w:p>
      <w:pPr>
        <w:spacing w:after="160" w:line="276"/>
        <w:jc w:val="left"/>
      </w:pPr>
      <w:r>
        <w:t xml:space="preserve">This Constitution does not stand alone. It operates alongside, and is subordinate in legal form to, the underlying G.O.D.S. Constitutional Governance Charter, the G.O.D.S IP Trust deed, and the Constitutional Oversight Board Charter once each is professionally executed. Where this document and those instruments differ in wording, the executed legal instruments govern; this Constitution exists to make the same architecture legible, specifically, to everyone operating inside the GBS-SETHS division.</w:t>
      </w:r>
    </w:p>
    <w:p>
      <w:pPr>
        <w:pStyle w:val="Heading1"/>
      </w:pPr>
      <w:r>
        <w:t xml:space="preserve">Part Two — Definitions</w:t>
      </w:r>
    </w:p>
    <w:p>
      <w:pPr>
        <w:spacing w:after="160" w:line="276"/>
        <w:jc w:val="left"/>
      </w:pPr>
      <w:r>
        <w:t xml:space="preserve">The following terms are used throughout this Constitution and every GBS-SETHS licence, MOU, and operating document with the meanings given here. No franchise node, delivery operator, or employer partner may adopt a materially different definition without GBS Global's written consent.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Term</w:t>
            </w:r>
          </w:p>
        </w:tc>
        <w:tc>
          <w:tcPr>
            <w:tcW w:type="dxa" w:w="69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Definition</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GBS</w:t>
            </w:r>
          </w:p>
        </w:tc>
        <w:tc>
          <w:tcPr>
            <w:tcW w:type="dxa" w:w="6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Global Belief System. The constitutional doctrine layer of G.O.D.S. — a governance standard, not a religion, ideology, or political movement. See Document 00, Part II.</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S.E.T.H.S.</w:t>
            </w:r>
          </w:p>
        </w:tc>
        <w:tc>
          <w:tcPr>
            <w:tcW w:type="dxa" w:w="6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Systematically Engineered Transfer of Human Systems (per GBS-SETHS v1.0/v2.0 — see the naming note in Document 00 regarding a parallel expansion used elsewhere). The Human Acceleration Engine division of G.O.D.S.</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UDOC</w:t>
            </w:r>
          </w:p>
        </w:tc>
        <w:tc>
          <w:tcPr>
            <w:tcW w:type="dxa" w:w="6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Unified Digital Oversight &amp; Coordination. The governance-technology layer providing sealed, auditable decisions and constitutional enforcement across all levels.</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GIS</w:t>
            </w:r>
          </w:p>
        </w:tc>
        <w:tc>
          <w:tcPr>
            <w:tcW w:type="dxa" w:w="6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G.O.D.S. Intelligence System. The AI backbone superseding EVA, operating fail-closed by constitutional design (Pillar VIII).</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Skills Passport</w:t>
            </w:r>
          </w:p>
        </w:tc>
        <w:tc>
          <w:tcPr>
            <w:tcW w:type="dxa" w:w="6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UDOC-issued, GIS-verified, lifetime, participant-owned credential record. Full specification in Document 04.</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CET/CTE</w:t>
            </w:r>
          </w:p>
        </w:tc>
        <w:tc>
          <w:tcPr>
            <w:tcW w:type="dxa" w:w="6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Communicate–Educate–Transfer / Carry–Transfer–Evolve. The core knowledge-transfer methodology (Document 00, Part III, Section 9).</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M.A.D.I.B.A</w:t>
            </w:r>
          </w:p>
        </w:tc>
        <w:tc>
          <w:tcPr>
            <w:tcW w:type="dxa" w:w="6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My African Dream Is Being Achieved. The capital deployment and sovereignty-alignment division.</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T.S. Industries</w:t>
            </w:r>
          </w:p>
        </w:tc>
        <w:tc>
          <w:tcPr>
            <w:tcW w:type="dxa" w:w="6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Technological Sector. The production and infrastructure division; seven subsidiaries (Energy, Construction, AgriTech, Water, Digital Infrastructure, Manufacturing, Logistics).</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Layer 1 — GBS Global</w:t>
            </w:r>
          </w:p>
        </w:tc>
        <w:tc>
          <w:tcPr>
            <w:tcW w:type="dxa" w:w="6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G.O.D.S Holdings (Pty) Ltd + the G.O.D.S IP Trust. Constitutional authority and IP owner.</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Layer 2 — National GBS</w:t>
            </w:r>
          </w:p>
        </w:tc>
        <w:tc>
          <w:tcPr>
            <w:tcW w:type="dxa" w:w="6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Country-level licensed operator.</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Layer 3 — Regional GBS</w:t>
            </w:r>
          </w:p>
        </w:tc>
        <w:tc>
          <w:tcPr>
            <w:tcW w:type="dxa" w:w="6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Province/state/metro-level operational entity, sub-licensed from Layer 2.</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Layer 4 — Delivery Operators</w:t>
            </w:r>
          </w:p>
        </w:tc>
        <w:tc>
          <w:tcPr>
            <w:tcW w:type="dxa" w:w="6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Certified training providers, NGOs, TVET colleges, and equivalent bodies licensed to deliver the curriculum.</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Layer 5 — Employer Ecosystems</w:t>
            </w:r>
          </w:p>
        </w:tc>
        <w:tc>
          <w:tcPr>
            <w:tcW w:type="dxa" w:w="6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Certified employer partners bound by the Absorption Commitment Clause; not franchise licence holders.</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COB</w:t>
            </w:r>
          </w:p>
        </w:tc>
        <w:tc>
          <w:tcPr>
            <w:tcW w:type="dxa" w:w="6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Constitutional Oversight Board — the supreme constitutional-compliance authority, independent of commercial management.</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G.O.D.S IP Trust</w:t>
            </w:r>
          </w:p>
        </w:tc>
        <w:tc>
          <w:tcPr>
            <w:tcW w:type="dxa" w:w="6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Trust (Trust Property Control Act 57 of 1988) holding all IP and Class A governance shares in perpetuity.</w:t>
            </w:r>
          </w:p>
        </w:tc>
      </w:tr>
    </w:tbl>
    <w:p>
      <w:pPr>
        <w:pStyle w:val="Heading1"/>
      </w:pPr>
      <w:r>
        <w:t xml:space="preserve">Part Three — The Twelve G.O.D.S. Constitutional Pillars</w:t>
      </w:r>
    </w:p>
    <w:p>
      <w:pPr>
        <w:spacing w:after="160" w:line="276"/>
        <w:jc w:val="left"/>
      </w:pPr>
      <w:r>
        <w:t xml:space="preserve">The Twelve Pillars are reproduced here in full because this Constitution is the document every GBS-SETHS counterparty is expected to be bound by directly — the operational interpretation column exists so that a franchise operator or employer partner, not just a lawyer, can apply each Pillar in practice.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
        <w:gridCol w:w="1500"/>
        <w:gridCol w:w="3200"/>
        <w:gridCol w:w="4260"/>
      </w:tblGrid>
      <w:tr>
        <w:trPr>
          <w:tblHeader/>
        </w:trPr>
        <w:tc>
          <w:tcPr>
            <w:tcW w:type="dxa" w:w="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t>
            </w:r>
          </w:p>
        </w:tc>
        <w:tc>
          <w:tcPr>
            <w:tcW w:type="dxa" w:w="15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Pillar</w:t>
            </w:r>
          </w:p>
        </w:tc>
        <w:tc>
          <w:tcPr>
            <w:tcW w:type="dxa" w:w="3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Constitutional Obligation</w:t>
            </w:r>
          </w:p>
        </w:tc>
        <w:tc>
          <w:tcPr>
            <w:tcW w:type="dxa" w:w="42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Operational Interpretation for GBS-SETHS</w:t>
            </w:r>
          </w:p>
        </w:tc>
      </w:tr>
      <w:tr>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w:t>
            </w:r>
          </w:p>
        </w:tc>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Human Dignity</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Every interaction must affirm and protect human dignity; no pressure justifies compromise.</w:t>
            </w:r>
          </w:p>
        </w:tc>
        <w:tc>
          <w:tcPr>
            <w:tcW w:type="dxa" w:w="4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Intake, assessment, facilitation, and exit processes are designed and audited for dignity, not just efficiency.</w:t>
            </w:r>
          </w:p>
        </w:tc>
      </w:tr>
      <w:tr>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II</w:t>
            </w:r>
          </w:p>
        </w:tc>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Contribution First</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Every individual possesses productive potential; the obligation is to find, develop, and connect it.</w:t>
            </w:r>
          </w:p>
        </w:tc>
        <w:tc>
          <w:tcPr>
            <w:tcW w:type="dxa" w:w="4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No participant is rejected on the basis of background; the Self-Affirmation Contract and cohort design exist to operationalise this.</w:t>
            </w:r>
          </w:p>
        </w:tc>
      </w:tr>
      <w:tr>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III</w:t>
            </w:r>
          </w:p>
        </w:tc>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Sovereign Respect</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Politically neutral; works with governments, is not captured by them.</w:t>
            </w:r>
          </w:p>
        </w:tc>
        <w:tc>
          <w:tcPr>
            <w:tcW w:type="dxa" w:w="4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Government MOUs (Document 05) are structured to survive a change of minister or administration.</w:t>
            </w:r>
          </w:p>
        </w:tc>
      </w:tr>
      <w:tr>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IV</w:t>
            </w:r>
          </w:p>
        </w:tc>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Ethical Profitability</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Returns must be earned ethically, transparently, and in ways reinforcing the mission.</w:t>
            </w:r>
          </w:p>
        </w:tc>
        <w:tc>
          <w:tcPr>
            <w:tcW w:type="dxa" w:w="4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Absorption Commitment Clause and outcome-based funding models are the commercial expression of this Pillar.</w:t>
            </w:r>
          </w:p>
        </w:tc>
      </w:tr>
      <w:tr>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w:t>
            </w:r>
          </w:p>
        </w:tc>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Governance First</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 decision proceeds without constitutional governance review; the COB is supreme.</w:t>
            </w:r>
          </w:p>
        </w:tc>
        <w:tc>
          <w:tcPr>
            <w:tcW w:type="dxa" w:w="4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Every licence, MOU, and material partnership includes a constitutional-compliance briefing before signature.</w:t>
            </w:r>
          </w:p>
        </w:tc>
      </w:tr>
      <w:tr>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VI</w:t>
            </w:r>
          </w:p>
        </w:tc>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Transparency</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All decisions, flows, and data are documented in verifiable form.</w:t>
            </w:r>
          </w:p>
        </w:tc>
        <w:tc>
          <w:tcPr>
            <w:tcW w:type="dxa" w:w="4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UDOC's sealed audit trail is the technical expression of this Pillar; there is no parallel, undocumented process.</w:t>
            </w:r>
          </w:p>
        </w:tc>
      </w:tr>
      <w:tr>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VII</w:t>
            </w:r>
          </w:p>
        </w:tc>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Founder Constraint</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founder may not acquire Class A shares, amend the Constitution, dissolve the COB, or override a halt.</w:t>
            </w:r>
          </w:p>
        </w:tc>
        <w:tc>
          <w:tcPr>
            <w:tcW w:type="dxa" w:w="4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See Part Seven below — this is the specific structural guarantee against founder capture.</w:t>
            </w:r>
          </w:p>
        </w:tc>
      </w:tr>
      <w:tr>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VIII</w:t>
            </w:r>
          </w:p>
        </w:tc>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Human Primacy in AI</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AI may support administration and learning; it may never replace human case management or mentorship.</w:t>
            </w:r>
          </w:p>
        </w:tc>
        <w:tc>
          <w:tcPr>
            <w:tcW w:type="dxa" w:w="4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GIS and UDOC are tools for human enablement. No franchise or operating document may imply otherwise.</w:t>
            </w:r>
          </w:p>
        </w:tc>
      </w:tr>
      <w:tr>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IX</w:t>
            </w:r>
          </w:p>
        </w:tc>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Reintegration</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justice-involved and substance-recovery population is a primary cohort, not a tolerated edge case.</w:t>
            </w:r>
          </w:p>
        </w:tc>
        <w:tc>
          <w:tcPr>
            <w:tcW w:type="dxa" w:w="4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Cohort 1 (Document 00, §7.1) receives the same constitutional protection and resourcing as every other cohort.</w:t>
            </w:r>
          </w:p>
        </w:tc>
      </w:tr>
      <w:tr>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X</w:t>
            </w:r>
          </w:p>
        </w:tc>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Long-Horizon Discipline</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250-year mandate demands generational calibration, not quarterly pressure.</w:t>
            </w:r>
          </w:p>
        </w:tc>
        <w:tc>
          <w:tcPr>
            <w:tcW w:type="dxa" w:w="4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Short-term revenue targets never override programme integrity or participant welfare.</w:t>
            </w:r>
          </w:p>
        </w:tc>
      </w:tr>
      <w:tr>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XI</w:t>
            </w:r>
          </w:p>
        </w:tc>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Anti-Corruption</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 node may manipulate outcome data or extract credit without genuine development intent.</w:t>
            </w:r>
          </w:p>
        </w:tc>
        <w:tc>
          <w:tcPr>
            <w:tcW w:type="dxa" w:w="4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UDOC's Compliance Layer (M9) exists specifically to detect and flag this pattern.</w:t>
            </w:r>
          </w:p>
        </w:tc>
      </w:tr>
      <w:tr>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XII</w:t>
            </w:r>
          </w:p>
        </w:tc>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Evidence-Driven</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Every framework decision must be grounded in measured outcomes and honest self-assessment.</w:t>
            </w:r>
          </w:p>
        </w:tc>
        <w:tc>
          <w:tcPr>
            <w:tcW w:type="dxa" w:w="4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This is why every G.O.D.S. document, including this one, is required to separate proven/live from designed from aspirational claims.</w:t>
            </w:r>
          </w:p>
        </w:tc>
      </w:tr>
    </w:tbl>
    <w:p>
      <w:pPr>
        <w:pStyle w:val="Heading1"/>
      </w:pPr>
      <w:r>
        <w:t xml:space="preserve">Part Four — The Five GBS-SETHS Foundational Pillars</w:t>
      </w:r>
    </w:p>
    <w:p>
      <w:pPr>
        <w:spacing w:after="160" w:line="276"/>
        <w:jc w:val="left"/>
      </w:pPr>
      <w:r>
        <w:t xml:space="preserve">Where the Twelve Pillars govern G.O.D.S. as a whole, the Five Foundational Pillars are S.E.T.H.S.-specific structural operating conditions — not values statements, but the five things that must be true about how a node operates for it to be constitutionally compliant and commercially viable. Each is given a compliance test an auditor or COB reviewer can actually apply.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3900"/>
        <w:gridCol w:w="3960"/>
      </w:tblGrid>
      <w:tr>
        <w:trPr>
          <w:tblHeader/>
        </w:trPr>
        <w:tc>
          <w:tcPr>
            <w:tcW w:type="dxa" w:w="15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Pillar</w:t>
            </w:r>
          </w:p>
        </w:tc>
        <w:tc>
          <w:tcPr>
            <w:tcW w:type="dxa" w:w="39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Structural Condition</w:t>
            </w:r>
          </w:p>
        </w:tc>
        <w:tc>
          <w:tcPr>
            <w:tcW w:type="dxa" w:w="39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Compliance Test</w:t>
            </w:r>
          </w:p>
        </w:tc>
      </w:tr>
      <w:tr>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Honesty</w:t>
            </w:r>
          </w:p>
        </w:tc>
        <w:tc>
          <w:tcPr>
            <w:tcW w:type="dxa" w:w="3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Every outcome record submitted to UDOC reflects what actually happened.</w:t>
            </w:r>
          </w:p>
        </w:tc>
        <w:tc>
          <w:tcPr>
            <w:tcW w:type="dxa" w:w="3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Spot-audit sample of node outcome records against independent verification (employer confirmation, participant interview) shows no material discrepancy.</w:t>
            </w:r>
          </w:p>
        </w:tc>
      </w:tr>
      <w:tr>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Tolerance</w:t>
            </w:r>
          </w:p>
        </w:tc>
        <w:tc>
          <w:tcPr>
            <w:tcW w:type="dxa" w:w="3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No participant is excluded, or made to feel disqualified, on the basis of belief, background, or prior failure.</w:t>
            </w:r>
          </w:p>
        </w:tc>
        <w:tc>
          <w:tcPr>
            <w:tcW w:type="dxa" w:w="3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Cohort retention data shows no statistically significant attrition pattern correlated with religion, ethnicity, or background.</w:t>
            </w:r>
          </w:p>
        </w:tc>
      </w:tr>
      <w:tr>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Belief Systems</w:t>
            </w:r>
          </w:p>
        </w:tc>
        <w:tc>
          <w:tcPr>
            <w:tcW w:type="dxa" w:w="3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node operates with no religious or ideological affiliation and accommodates all participants' worldviews equally.</w:t>
            </w:r>
          </w:p>
        </w:tc>
        <w:tc>
          <w:tcPr>
            <w:tcW w:type="dxa" w:w="3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Facilitator training records and curriculum materials contain no denominational or partisan content.</w:t>
            </w:r>
          </w:p>
        </w:tc>
      </w:tr>
      <w:tr>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Equality</w:t>
            </w:r>
          </w:p>
        </w:tc>
        <w:tc>
          <w:tcPr>
            <w:tcW w:type="dxa" w:w="3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Assessment tools and progression criteria are applied identically regardless of participant circumstance.</w:t>
            </w:r>
          </w:p>
        </w:tc>
        <w:tc>
          <w:tcPr>
            <w:tcW w:type="dxa" w:w="3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Certification-tier attainment rates, when adjusted for entry point, show no unexplained disparity across demographic groups.</w:t>
            </w:r>
          </w:p>
        </w:tc>
      </w:tr>
      <w:tr>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Pride</w:t>
            </w:r>
          </w:p>
        </w:tc>
        <w:tc>
          <w:tcPr>
            <w:tcW w:type="dxa" w:w="3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node actively operates a peer-mentor pathway, not just a completion ceremony.</w:t>
            </w:r>
          </w:p>
        </w:tc>
        <w:tc>
          <w:tcPr>
            <w:tcW w:type="dxa" w:w="3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 measurable share of eligible alumni (Phase 6 onward) are engaged as stipended mentors within 24 months of graduation.</w:t>
            </w:r>
          </w:p>
        </w:tc>
      </w:tr>
    </w:tbl>
    <w:p>
      <w:pPr>
        <w:pStyle w:val="Heading1"/>
      </w:pPr>
      <w:r>
        <w:t xml:space="preserve">Part Five — Organisational Architecture</w:t>
      </w:r>
    </w:p>
    <w:p>
      <w:pPr>
        <w:spacing w:after="160" w:line="276"/>
        <w:jc w:val="left"/>
      </w:pPr>
      <w:r>
        <w:t xml:space="preserve">This Part sets out the bodies that exercise authority under this Constitution, consistent with the existing Constitutional Governance Charter and Oversight Board Charter.</w:t>
      </w:r>
    </w:p>
    <w:p>
      <w:pPr>
        <w:pStyle w:val="Heading2"/>
      </w:pPr>
      <w:r>
        <w:t xml:space="preserve">5.1  GBS Global Council</w:t>
      </w:r>
    </w:p>
    <w:p>
      <w:pPr>
        <w:spacing w:after="160" w:line="276"/>
        <w:jc w:val="left"/>
      </w:pPr>
      <w:r>
        <w:t xml:space="preserve">The GBS Global Council is the international standards body of Layer 1 — the forum through which GBS Global coordinates cross-national policy alignment, treaty interfaces, and civilisational-continuity governance as the franchise network grows past its first national node. It is chaired by the GBS Global Chief Systems Architect function (Part Seven) and, at scale, includes a representative from each National GBS Authority in good standing. In the current pre-registration, single-country phase, the Council's functions are exercised directly by G.O.D.S Holdings and the COB; the Council formally constitutes once a second National GBS licence is issued (Document 00, Part VII, Stage 4).</w:t>
      </w:r>
    </w:p>
    <w:p>
      <w:pPr>
        <w:pStyle w:val="Heading2"/>
      </w:pPr>
      <w:r>
        <w:t xml:space="preserve">5.2  The Constitutional Oversight Board (COB)</w:t>
      </w:r>
    </w:p>
    <w:p>
      <w:pPr>
        <w:spacing w:after="160" w:line="276"/>
        <w:jc w:val="left"/>
      </w:pPr>
      <w:r>
        <w:t xml:space="preserve">The COB is the highest governance authority with respect to constitutional compliance. It is not a commercial board and does not make operational decisions — it determines whether any material decision, action, or proposed direction of any GBS-SETHS entity aligns with the Twelve Pillars. Full composition, appointment, and enforcement detail is set out in the Oversight Board Charter; the operative provisions are reproduced here because GBS-SETHS partners are bound by them directly.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2600"/>
        <w:gridCol w:w="4400"/>
        <w:gridCol w:w="1660"/>
      </w:tblGrid>
      <w:tr>
        <w:trPr>
          <w:tblHeader/>
        </w:trPr>
        <w:tc>
          <w:tcPr>
            <w:tcW w:type="dxa" w:w="7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Seat</w:t>
            </w:r>
          </w:p>
        </w:tc>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Category</w:t>
            </w:r>
          </w:p>
        </w:tc>
        <w:tc>
          <w:tcPr>
            <w:tcW w:type="dxa" w:w="4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Qualification Requirement</w:t>
            </w:r>
          </w:p>
        </w:tc>
        <w:tc>
          <w:tcPr>
            <w:tcW w:type="dxa" w:w="16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Term</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Civil Society Representative</w:t>
            </w:r>
          </w:p>
        </w:tc>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Senior leadership in an established SA civil society organisation. 10+ years. No commercial relationship with G.O.D.S.</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5 years, renewable once</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Academic / Research Representative</w:t>
            </w:r>
          </w:p>
        </w:tc>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Professor or senior researcher at an accredited SA university. Labour economics, governance, or technology law preferred.</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5 years, renewable once</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Retired Government / Judiciary</w:t>
            </w:r>
          </w:p>
        </w:tc>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Retired judge, retired senior public servant (DG level+), or retired parliamentary officer. No current political office.</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5 years, renewable once</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4</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International Institutional Representative</w:t>
            </w:r>
          </w:p>
        </w:tc>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Senior current or former representative of a UN agency, IFC, AfDB, AU Commission, or equivalent.</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5 years, renewable once</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5</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Independent Ethics Specialist</w:t>
            </w:r>
          </w:p>
        </w:tc>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Specialist in institutional ethics, anti-corruption, or governance. Law or governance qualification.</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5 years, renewable once</w:t>
            </w:r>
          </w:p>
        </w:tc>
      </w:tr>
    </w:tbl>
    <w:p>
      <w:pPr>
        <w:spacing w:after="160" w:line="276"/>
        <w:jc w:val="left"/>
      </w:pPr>
      <w:r>
        <w:t xml:space="preserve">Disqualification is automatic for any commercial interest in G.O.D.S., immediate family relationship to the Founder or a Division CEO, current elected political office, a dishonesty/fraud/fiduciary-breach conviction, a directorship at a direct competitor, or a material financial relationship with G.O.D.S. within the prior 3 years.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3600"/>
      </w:tblGrid>
      <w:tr>
        <w:trPr>
          <w:tblHeader/>
        </w:trPr>
        <w:tc>
          <w:tcPr>
            <w:tcW w:type="dxa" w:w="57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Decision Type</w:t>
            </w:r>
          </w:p>
        </w:tc>
        <w:tc>
          <w:tcPr>
            <w:tcW w:type="dxa" w:w="3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Vote Required</w:t>
            </w:r>
          </w:p>
        </w:tc>
      </w:tr>
      <w:tr>
        <w:tc>
          <w:tcPr>
            <w:tcW w:type="dxa" w:w="5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Routine compliance findings</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Simple majority (3 of 5)</w:t>
            </w:r>
          </w:p>
        </w:tc>
      </w:tr>
      <w:tr>
        <w:tc>
          <w:tcPr>
            <w:tcW w:type="dxa" w:w="5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Binding Halt Order on any GBS-SETHS entity or node</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Simple majority (3 of 5) — takes immediate effect</w:t>
            </w:r>
          </w:p>
        </w:tc>
      </w:tr>
      <w:tr>
        <w:tc>
          <w:tcPr>
            <w:tcW w:type="dxa" w:w="5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Annual Compliance Certificate (pass or conditional)</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Simple majority (3 of 5)</w:t>
            </w:r>
          </w:p>
        </w:tc>
      </w:tr>
      <w:tr>
        <w:tc>
          <w:tcPr>
            <w:tcW w:type="dxa" w:w="5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Constitutional amendment veto</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Simple majority (3 of 5) — binding on the IP Trust</w:t>
            </w:r>
          </w:p>
        </w:tc>
      </w:tr>
      <w:tr>
        <w:tc>
          <w:tcPr>
            <w:tcW w:type="dxa" w:w="5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Founder removal from operational authority</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Unanimous (5 of 5)</w:t>
            </w:r>
          </w:p>
        </w:tc>
      </w:tr>
      <w:tr>
        <w:tc>
          <w:tcPr>
            <w:tcW w:type="dxa" w:w="5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COB Charter amendment</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75% (4 of 5) — ratified by the IP Trust</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Current status.</w:t>
            </w:r>
          </w:p>
          <w:p>
            <w:pPr>
              <w:spacing w:after="160" w:line="276"/>
              <w:jc w:val="left"/>
            </w:pPr>
            <w:r>
              <w:t xml:space="preserve">All five COB seats are, as of this document's issue, vacant and in recruitment — consistent with the live institutional platform's own disclosure. No GBS-SETHS licence, MOU, or employer partnership described anywhere in this package should be represented externally as currently COB-reviewed until the Board is constituted. This is stated plainly rather than glossed over, consistent with Pillar VI (Transparency) and Pillar XII (Evidence-Driven).</w:t>
            </w:r>
          </w:p>
        </w:tc>
      </w:tr>
    </w:tbl>
    <w:p>
      <w:pPr>
        <w:pStyle w:val="Heading2"/>
      </w:pPr>
      <w:r>
        <w:t xml:space="preserve">5.3  National GBS, Regional GBS, and Delivery Operators</w:t>
      </w:r>
    </w:p>
    <w:p>
      <w:pPr>
        <w:spacing w:after="160" w:line="276"/>
        <w:jc w:val="left"/>
      </w:pPr>
      <w:r>
        <w:t xml:space="preserve">Layers 2, 3, and 4 operate as licensed, not owned, entities — see Document 03 (Franchise Licensing Handbook) for the full licensing architecture. Constitutionally, each layer's obligations under this Constitution flow downward without dilution: a Delivery Operator is bound by the same Twelve Pillars as GBS Global itself, regardless of how many licensing layers separate them.</w:t>
      </w:r>
    </w:p>
    <w:p>
      <w:pPr>
        <w:pStyle w:val="Heading2"/>
      </w:pPr>
      <w:r>
        <w:t xml:space="preserve">5.4  The Participant Ombud</w:t>
      </w:r>
    </w:p>
    <w:p>
      <w:pPr>
        <w:spacing w:after="160" w:line="276"/>
        <w:jc w:val="left"/>
      </w:pPr>
      <w:r>
        <w:t xml:space="preserve">Every GBS-SETHS node must provide participants a route to raise a constitutional concern that does not pass through their own case manager or facilitator — protecting against the specific failure mode where a participant's only channel for a complaint is the person the complaint is about. The Participant Ombud function reports to the Regional GBS Authority (Layer 3) for local resolution and has an explicit escalation path to the COB's protected whistleblower channel for any matter alleging a Pillar violation. This is a new structural element in this Constitution, not previously named in v1.0/v2.0 or the wider data room, added because the participant-facing governance architecture otherwise routes every concern through the same staff who deliver the programme — a gap worth naming and closing rather than assuming away.</w:t>
      </w:r>
    </w:p>
    <w:p>
      <w:pPr>
        <w:pStyle w:val="Heading1"/>
      </w:pPr>
      <w:r>
        <w:t xml:space="preserve">Part Six — Powers and Limits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3260"/>
        <w:gridCol w:w="3200"/>
      </w:tblGrid>
      <w:tr>
        <w:trPr>
          <w:tblHeader/>
        </w:trPr>
        <w:tc>
          <w:tcPr>
            <w:tcW w:type="dxa" w:w="29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Power</w:t>
            </w:r>
          </w:p>
        </w:tc>
        <w:tc>
          <w:tcPr>
            <w:tcW w:type="dxa" w:w="32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Held By</w:t>
            </w:r>
          </w:p>
        </w:tc>
        <w:tc>
          <w:tcPr>
            <w:tcW w:type="dxa" w:w="3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Limit</w:t>
            </w:r>
          </w:p>
        </w:tc>
      </w:tr>
      <w:tr>
        <w:tc>
          <w:tcPr>
            <w:tcW w:type="dxa" w:w="2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Licensing authority — grant, renew, suspend, revoke</w:t>
            </w:r>
          </w:p>
        </w:tc>
        <w:tc>
          <w:tcPr>
            <w:tcW w:type="dxa" w:w="3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GBS Global (Layer 1), operationally exercised by National GBS for sub-licences within its territory</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May not be exercised in a manner that violates the Twelve Pillars; revocation is appealable to GBS Global within 30 days</w:t>
            </w:r>
          </w:p>
        </w:tc>
      </w:tr>
      <w:tr>
        <w:tc>
          <w:tcPr>
            <w:tcW w:type="dxa" w:w="2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Audit rights over any node's outcome and financial records relevant to constitutional compliance</w:t>
            </w:r>
          </w:p>
        </w:tc>
        <w:tc>
          <w:tcPr>
            <w:tcW w:type="dxa" w:w="3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COB, GIS (Compliance Verifier function), National/Regional GBS</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Audit access does not extend to participant personal information beyond what POPIA and the Regulatory Compliance Framework (Document 09) permit</w:t>
            </w:r>
          </w:p>
        </w:tc>
      </w:tr>
      <w:tr>
        <w:tc>
          <w:tcPr>
            <w:tcW w:type="dxa" w:w="2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Enforcement — Binding Halt Order</w:t>
            </w:r>
          </w:p>
        </w:tc>
        <w:tc>
          <w:tcPr>
            <w:tcW w:type="dxa" w:w="3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COB, simple majority</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Immediate effect; must be reviewed and either lifted or converted to a formal remediation process within 90 days</w:t>
            </w:r>
          </w:p>
        </w:tc>
      </w:tr>
      <w:tr>
        <w:tc>
          <w:tcPr>
            <w:tcW w:type="dxa" w:w="2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Remedial measures — probation, suspension, revocation</w:t>
            </w:r>
          </w:p>
        </w:tc>
        <w:tc>
          <w:tcPr>
            <w:tcW w:type="dxa" w:w="3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COB and the relevant Layer 2/3 authority per the Franchise Governance table (Document 00, §6.1)</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Proportionate to the finding; revocation requires the specific 3/5 COB threshold set out above</w:t>
            </w:r>
          </w:p>
        </w:tc>
      </w:tr>
      <w:tr>
        <w:tc>
          <w:tcPr>
            <w:tcW w:type="dxa" w:w="2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Constitutional amendment</w:t>
            </w:r>
          </w:p>
        </w:tc>
        <w:tc>
          <w:tcPr>
            <w:tcW w:type="dxa" w:w="3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IP Trust Trustees (75% vote) with COB review and veto power</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10-year implementation delay on any amendment to the Twelve Pillars themselves</w:t>
            </w:r>
          </w:p>
        </w:tc>
      </w:tr>
    </w:tbl>
    <w:p>
      <w:pPr>
        <w:pStyle w:val="Heading1"/>
      </w:pPr>
      <w:r>
        <w:t xml:space="preserve">Part Seven — Founder Authority and Constraint</w:t>
      </w:r>
    </w:p>
    <w:p>
      <w:pPr>
        <w:spacing w:after="160" w:line="276"/>
        <w:jc w:val="left"/>
      </w:pPr>
      <w:r>
        <w:t xml:space="preserve">The Founder — Sashin J. Singh, Chief Systems Architect — holds Class A governance shares through the G.O.D.S IP Trust and occupies the Executive Chairman position of G.O.D.S Holdings. Consistent with Pillar VII and the Constitutional Governance Charter's Section 7, the Founder may not unilaterally acquire Class A shares beyond those already held in Trust, amend this Constitution, dissolve the COB, or override a COB Binding Halt Order. The Founder may be removed from operational authority — not from ownership — by unanimous (5/5) COB resolution confirming documented, repeated, material violation of three or more Constitutional Pillars; even then, Class A governance rights held by the IP Trust are unaffected, and the Founder retains an advisory role. Full succession mechanics are set out in Document 10, the Founder Succession &amp; Continuity Charter.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share-class structure, the COB's composition rules, and the Founder-constraint mechanics described here are consistent, specific, and already drafted across the Constitutional Governance Charter and Oversight Board Charter.</w:t>
            </w:r>
          </w:p>
          <w:p>
            <w:pPr>
              <w:spacing w:after="60"/>
            </w:pPr>
            <w:r>
              <w:rPr>
                <w:b/>
                <w:bCs/>
              </w:rPr>
              <w:t xml:space="preserve">Designed / production-specified, not yet built:  </w:t>
            </w:r>
            <w:r>
              <w:t xml:space="preserve">The Memorandum of Incorporation, the Trust deed, and the COB itself are architecturally specified but not yet professionally drafted, executed, or filed with CIPC and the Master of the High Court.</w:t>
            </w:r>
          </w:p>
          <w:p>
            <w:pPr>
              <w:spacing w:after="0"/>
            </w:pPr>
            <w:r>
              <w:rPr>
                <w:b/>
                <w:bCs/>
              </w:rPr>
              <w:t xml:space="preserve">Aspirational / long-horizon:  </w:t>
            </w:r>
            <w:r>
              <w:t xml:space="preserve">A GBS Global Council exercising these constraints across a multi-national franchise network, rather than a single pre-registration entity, is a Phase 3+ target.</w:t>
            </w:r>
          </w:p>
        </w:tc>
      </w:tr>
    </w:tbl>
    <w:p>
      <w:pPr>
        <w:pStyle w:val="Heading1"/>
      </w:pPr>
      <w:r>
        <w:t xml:space="preserve">Part Eight — Amendment Process</w:t>
      </w:r>
    </w:p>
    <w:p>
      <w:pPr>
        <w:pStyle w:val="ListParagraph"/>
        <w:numPr>
          <w:ilvl w:val="0"/>
          <w:numId w:val="2"/>
        </w:numPr>
        <w:spacing w:after="100" w:line="276"/>
      </w:pPr>
      <w:r>
        <w:t xml:space="preserve">Any proposed amendment to this Constitution — other than to the Twelve Pillars themselves, which follow the stricter process in Part Six — is submitted in writing to the COB.</w:t>
      </w:r>
    </w:p>
    <w:p>
      <w:pPr>
        <w:pStyle w:val="ListParagraph"/>
        <w:numPr>
          <w:ilvl w:val="0"/>
          <w:numId w:val="2"/>
        </w:numPr>
        <w:spacing w:after="100" w:line="276"/>
      </w:pPr>
      <w:r>
        <w:t xml:space="preserve">The COB reviews the proposal for consistency with the foundational purpose of the G.O.D.S. architecture within 60 days and may recommend, reject, or return it for revision.</w:t>
      </w:r>
    </w:p>
    <w:p>
      <w:pPr>
        <w:pStyle w:val="ListParagraph"/>
        <w:numPr>
          <w:ilvl w:val="0"/>
          <w:numId w:val="2"/>
        </w:numPr>
        <w:spacing w:after="100" w:line="276"/>
      </w:pPr>
      <w:r>
        <w:t xml:space="preserve">A recommended amendment proceeds to the IP Trust Trustees, requiring a 75% Trustee vote.</w:t>
      </w:r>
    </w:p>
    <w:p>
      <w:pPr>
        <w:pStyle w:val="ListParagraph"/>
        <w:numPr>
          <w:ilvl w:val="0"/>
          <w:numId w:val="2"/>
        </w:numPr>
        <w:spacing w:after="100" w:line="276"/>
      </w:pPr>
      <w:r>
        <w:t xml:space="preserve">Where the amendment affects franchise nodes already operating under a licence, National GBS Authorities are consulted before ratification takes effect, and existing licences are given a minimum 12-month transition window.</w:t>
      </w:r>
    </w:p>
    <w:p>
      <w:pPr>
        <w:pStyle w:val="ListParagraph"/>
        <w:numPr>
          <w:ilvl w:val="0"/>
          <w:numId w:val="2"/>
        </w:numPr>
        <w:spacing w:after="100" w:line="276"/>
      </w:pPr>
      <w:r>
        <w:t xml:space="preserve">Ratified amendments are published in full, dated, and version-controlled — silent amendment is itself a Pillar VI (Transparency) violation.</w:t>
      </w:r>
    </w:p>
    <w:p>
      <w:pPr>
        <w:pStyle w:val="Heading1"/>
      </w:pPr>
      <w:r>
        <w:t xml:space="preserve">Part Nine — Sunset and Continuity Clauses</w:t>
      </w:r>
    </w:p>
    <w:p>
      <w:pPr>
        <w:spacing w:after="160" w:line="276"/>
        <w:jc w:val="left"/>
      </w:pPr>
      <w:r>
        <w:t xml:space="preserve">The G.O.D.S IP Trust cannot be wound up while any G.O.D.S. entity is operational. Founder succession, generational governance, and IP custodianship are governed in full by Document 10 of this package, which this Constitution incorporates by reference rather than duplicating.</w:t>
      </w:r>
    </w:p>
    <w:p>
      <w:pPr>
        <w:pStyle w:val="Heading1"/>
      </w:pPr>
      <w:r>
        <w:t xml:space="preserve">Part Ten — Governance &amp; Oversight in Practice</w:t>
      </w:r>
    </w:p>
    <w:p>
      <w:pPr>
        <w:pStyle w:val="ListParagraph"/>
        <w:numPr>
          <w:ilvl w:val="0"/>
          <w:numId w:val="3"/>
        </w:numPr>
        <w:spacing w:after="100" w:line="276"/>
      </w:pPr>
      <w:r>
        <w:t xml:space="preserve">UDOC provides the sealed, immutable audit trail for every constitutional action — licence grants, halts, revocations, and compliance certificates — so that "what the COB decided and when" is never a matter of institutional memory or dispute.</w:t>
      </w:r>
    </w:p>
    <w:p>
      <w:pPr>
        <w:pStyle w:val="ListParagraph"/>
        <w:numPr>
          <w:ilvl w:val="0"/>
          <w:numId w:val="3"/>
        </w:numPr>
        <w:spacing w:after="100" w:line="276"/>
      </w:pPr>
      <w:r>
        <w:t xml:space="preserve">GIS operates fail-closed (Part Three, Pillar VIII) as the enforcement layer that applies constitutional pillar checks to institutional decisions in real time, escalating anything it cannot resolve to a human reviewer rather than guessing.</w:t>
      </w:r>
    </w:p>
    <w:p>
      <w:pPr>
        <w:pStyle w:val="ListParagraph"/>
        <w:numPr>
          <w:ilvl w:val="0"/>
          <w:numId w:val="3"/>
        </w:numPr>
        <w:spacing w:after="100" w:line="276"/>
      </w:pPr>
      <w:r>
        <w:t xml:space="preserve">An Annual Constitutional Compliance Audit is conducted by the COB and published as a compliance certificate — pass, conditional, or fail — available to government partners and investors as a standing due-diligence document once the COB is constituted.</w:t>
      </w:r>
    </w:p>
    <w:p>
      <w:pPr>
        <w:pStyle w:val="Heading1"/>
      </w:pPr>
      <w:r>
        <w:t xml:space="preserve">Annexes</w:t>
      </w:r>
    </w:p>
    <w:p>
      <w:pPr>
        <w:pStyle w:val="Heading2"/>
      </w:pPr>
      <w:r>
        <w:t xml:space="preserve">Annex A — Full Text of the Twelve G.O.D.S. Constitutional Pillars</w:t>
      </w:r>
    </w:p>
    <w:p>
      <w:pPr>
        <w:spacing w:after="160" w:line="276"/>
        <w:jc w:val="left"/>
      </w:pPr>
      <w:r>
        <w:t xml:space="preserve">Reproduced in full in Part Three above; this annex reference exists so the Pillars can be extracted as a standalone attachment to licences and MOUs without reproducing this entire Constitution.</w:t>
      </w:r>
    </w:p>
    <w:p>
      <w:pPr>
        <w:pStyle w:val="Heading2"/>
      </w:pPr>
      <w:r>
        <w:t xml:space="preserve">Annex B — Charter of the GBS Global Council</w:t>
      </w:r>
    </w:p>
    <w:p>
      <w:pPr>
        <w:spacing w:after="160" w:line="276"/>
        <w:jc w:val="left"/>
      </w:pPr>
      <w:r>
        <w:t xml:space="preserve">To be formally constituted and ratified at the point the second National GBS licence is issued (Document 00, Part VII, Stage 4). Until then, its functions are exercised directly by G.O.D.S Holdings and the COB as noted in Part Five.</w:t>
      </w:r>
    </w:p>
    <w:p>
      <w:pPr>
        <w:pStyle w:val="Heading2"/>
      </w:pPr>
      <w:r>
        <w:t xml:space="preserve">Annex C — Licence Terms and Fee Schedule</w:t>
      </w:r>
    </w:p>
    <w:p>
      <w:pPr>
        <w:spacing w:after="160" w:line="276"/>
        <w:jc w:val="left"/>
      </w:pPr>
      <w:r>
        <w:t xml:space="preserve">The full licence-tier fee schedule is maintained in Document 03 (Franchise Licensing Handbook) and Document 07 (Financial Model Workbook) rather than duplicated here, so that commercial terms can be updated without triggering a constitutional amendment.</w:t>
      </w:r>
    </w:p>
    <w:p>
      <w:pPr>
        <w:pStyle w:val="Heading2"/>
      </w:pPr>
      <w:r>
        <w:t xml:space="preserve">Annex D — Sample Self-Affirmation Contract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t xml:space="preserve">Every participant signs this at intake, witnessed by their case manager, and revisits it at every major milestone:</w:t>
            </w:r>
          </w:p>
          <w:p>
            <w:pPr>
              <w:spacing w:after="160" w:line="276"/>
              <w:jc w:val="left"/>
            </w:pPr>
            <w:r>
              <w:rPr>
                <w:b/>
                <w:bCs/>
              </w:rPr>
              <w:t xml:space="preserve">1.  </w:t>
            </w:r>
            <w:r>
              <w:t xml:space="preserve">What do you want to change about your life?</w:t>
            </w:r>
          </w:p>
          <w:p>
            <w:pPr>
              <w:spacing w:after="160" w:line="276"/>
              <w:jc w:val="left"/>
            </w:pPr>
            <w:r>
              <w:rPr>
                <w:b/>
                <w:bCs/>
              </w:rPr>
              <w:t xml:space="preserve">2.  </w:t>
            </w:r>
            <w:r>
              <w:t xml:space="preserve">Why now?</w:t>
            </w:r>
          </w:p>
          <w:p>
            <w:pPr>
              <w:spacing w:after="160" w:line="276"/>
              <w:jc w:val="left"/>
            </w:pPr>
            <w:r>
              <w:rPr>
                <w:b/>
                <w:bCs/>
              </w:rPr>
              <w:t xml:space="preserve">3.  </w:t>
            </w:r>
            <w:r>
              <w:t xml:space="preserve">What does the person you are becoming look like?</w:t>
            </w:r>
          </w:p>
          <w:p>
            <w:pPr>
              <w:spacing w:after="160" w:line="276"/>
              <w:jc w:val="left"/>
            </w:pPr>
            <w:r>
              <w:t xml:space="preserve">Full context and design rationale: Document 00, Part III, Section 9.</w:t>
            </w:r>
          </w:p>
        </w:tc>
      </w:tr>
    </w:tbl>
    <w:p>
      <w:pPr>
        <w:pStyle w:val="Heading1"/>
      </w:pPr>
      <w:r>
        <w:t xml:space="preserve">Implementation Checklist</w:t>
      </w:r>
    </w:p>
    <w:p>
      <w:pPr>
        <w:pStyle w:val="ListParagraph"/>
        <w:numPr>
          <w:ilvl w:val="0"/>
          <w:numId w:val="2"/>
        </w:numPr>
        <w:spacing w:after="100" w:line="276"/>
      </w:pPr>
      <w:r>
        <w:t xml:space="preserve">Commission a qualified South African commercial and trust attorney to convert this architectural blueprint into a binding MOI, Trust deed, and COB Charter.</w:t>
      </w:r>
    </w:p>
    <w:p>
      <w:pPr>
        <w:pStyle w:val="ListParagraph"/>
        <w:numPr>
          <w:ilvl w:val="0"/>
          <w:numId w:val="2"/>
        </w:numPr>
        <w:spacing w:after="100" w:line="276"/>
      </w:pPr>
      <w:r>
        <w:t xml:space="preserve">Begin COB member recruitment against the five named seat categories — currently the single highest-leverage governance action outstanding.</w:t>
      </w:r>
    </w:p>
    <w:p>
      <w:pPr>
        <w:pStyle w:val="ListParagraph"/>
        <w:numPr>
          <w:ilvl w:val="0"/>
          <w:numId w:val="2"/>
        </w:numPr>
        <w:spacing w:after="100" w:line="276"/>
      </w:pPr>
      <w:r>
        <w:t xml:space="preserve">Register the G.O.D.S IP Trust with the Master of the High Court, Johannesburg.</w:t>
      </w:r>
    </w:p>
    <w:p>
      <w:pPr>
        <w:pStyle w:val="ListParagraph"/>
        <w:numPr>
          <w:ilvl w:val="0"/>
          <w:numId w:val="2"/>
        </w:numPr>
        <w:spacing w:after="100" w:line="276"/>
      </w:pPr>
      <w:r>
        <w:t xml:space="preserve">File the CIPC registration for G.O.D.S Holdings (Pty) Ltd with the Objects Clause and Division Structure sections drafted here.</w:t>
      </w:r>
    </w:p>
    <w:p>
      <w:pPr>
        <w:pStyle w:val="ListParagraph"/>
        <w:numPr>
          <w:ilvl w:val="0"/>
          <w:numId w:val="2"/>
        </w:numPr>
        <w:spacing w:after="100" w:line="276"/>
      </w:pPr>
      <w:r>
        <w:t xml:space="preserve">Publish this Constitution as the first document in every future licence, MOU, and employer partnership pack.</w:t>
      </w:r>
    </w:p>
    <w:p>
      <w:pPr>
        <w:pBdr>
          <w:bottom w:val="single" w:color="C9A84C" w:sz="6"/>
        </w:pBdr>
        <w:spacing w:after="120" w:before="120"/>
      </w:pPr>
    </w:p>
    <w:p>
      <w:pPr>
        <w:spacing w:after="40" w:before="200"/>
        <w:jc w:val="center"/>
      </w:pPr>
      <w:r>
        <w:rPr>
          <w:color w:val="5B6472"/>
          <w:sz w:val="18"/>
          <w:szCs w:val="18"/>
        </w:rPr>
        <w:t xml:space="preserve">GBS-SETHS Institutional Constitution · G.O.D.S Holdings (Pty) Ltd · IP Trust Protected · July 2026</w:t>
      </w:r>
    </w:p>
    <w:p>
      <w:pPr>
        <w:spacing w:after="40"/>
        <w:jc w:val="center"/>
      </w:pPr>
      <w:r>
        <w:rPr>
          <w:color w:val="5B6472"/>
          <w:sz w:val="16"/>
          <w:szCs w:val="16"/>
        </w:rPr>
        <w:t xml:space="preserve">All intellectual property held in the G.O.D.S. IP Trust under the Trust Property Control Act 57 of 1988</w:t>
      </w:r>
    </w:p>
    <w:p>
      <w:pPr>
        <w:spacing w:after="0"/>
        <w:jc w:val="center"/>
      </w:pPr>
      <w:r>
        <w:rPr>
          <w:color w:val="5B6472"/>
          <w:sz w:val="16"/>
          <w:szCs w:val="16"/>
        </w:rPr>
        <w:t xml:space="preserve">Founder &amp; Architect: Sashin J. Singh  ·  sashin.singh@outlook.com  ·  capstoneprojectsjs.netlify.app</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tabs>
        <w:tab w:val="right" w:pos="9026"/>
      </w:tabs>
    </w:pPr>
    <w:r>
      <w:rPr>
        <w:color w:val="5B6472"/>
        <w:sz w:val="15"/>
        <w:szCs w:val="15"/>
      </w:rPr>
      <w:t xml:space="preserve">OPEN · G.O.D.S Holdings (Pty) Ltd · IP Trust Protected</w:t>
    </w:r>
    <w:r>
      <w:rPr>
        <w:color w:val="5B6472"/>
        <w:sz w:val="15"/>
        <w:szCs w:val="15"/>
      </w:rPr>
      <w:t xml:space="preserve">	Page </w:t>
    </w:r>
    <w:r>
      <w:rPr>
        <w:color w:val="5B6472"/>
        <w:sz w:val="15"/>
        <w:szCs w:val="15"/>
      </w:rPr>
      <w:fldChar w:fldCharType="begin"/>
      <w:instrText xml:space="preserve">PAGE</w:instrText>
      <w:fldChar w:fldCharType="separate"/>
      <w:fldChar w:fldCharType="end"/>
    </w:r>
    <w:r>
      <w:rPr>
        <w:color w:val="5B6472"/>
        <w:sz w:val="15"/>
        <w:szCs w:val="15"/>
      </w:rPr>
      <w:t xml:space="preserve"> of </w:t>
    </w:r>
    <w:r>
      <w:rPr>
        <w:color w:val="5B6472"/>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pBdr>
      <w:tabs>
        <w:tab w:val="right" w:pos="9026"/>
      </w:tabs>
    </w:pPr>
    <w:r>
      <w:rPr>
        <w:color w:val="5B6472"/>
        <w:sz w:val="15"/>
        <w:szCs w:val="15"/>
      </w:rPr>
      <w:t xml:space="preserve">G.O.D.S HOLDINGS · GBS-SETHS</w:t>
    </w:r>
    <w:r>
      <w:rPr>
        <w:color w:val="5B6472"/>
        <w:sz w:val="15"/>
        <w:szCs w:val="15"/>
      </w:rPr>
      <w:t xml:space="preserve">	GBS-SETHS Institutional Constitution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4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6233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9A84C" w:sz="8" w:space="4"/>
      </w:pBdr>
      <w:spacing w:after="200" w:before="360"/>
    </w:pPr>
    <w:rPr>
      <w:rFonts w:ascii="Arial" w:cs="Arial" w:eastAsia="Arial" w:hAnsi="Arial"/>
      <w:b/>
      <w:bCs/>
      <w:color w:val="16233A"/>
      <w:sz w:val="30"/>
      <w:szCs w:val="30"/>
    </w:rPr>
  </w:style>
  <w:style w:type="paragraph" w:styleId="Heading2">
    <w:name w:val="Heading 2"/>
    <w:basedOn w:val="Normal"/>
    <w:next w:val="Normal"/>
    <w:qFormat/>
    <w:pPr>
      <w:spacing w:after="140" w:before="280"/>
    </w:pPr>
    <w:rPr>
      <w:rFonts w:ascii="Arial" w:cs="Arial" w:eastAsia="Arial" w:hAnsi="Arial"/>
      <w:b/>
      <w:bCs/>
      <w:color w:val="8C7330"/>
      <w:sz w:val="25"/>
      <w:szCs w:val="25"/>
    </w:rPr>
  </w:style>
  <w:style w:type="paragraph" w:styleId="Heading3">
    <w:name w:val="Heading 3"/>
    <w:basedOn w:val="Normal"/>
    <w:next w:val="Normal"/>
    <w:qFormat/>
    <w:pPr>
      <w:spacing w:after="100" w:before="200"/>
    </w:pPr>
    <w:rPr>
      <w:rFonts w:ascii="Arial" w:cs="Arial" w:eastAsia="Arial" w:hAnsi="Arial"/>
      <w:b/>
      <w:bCs/>
      <w:i/>
      <w:iCs/>
      <w:color w:val="16233A"/>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2026-07-10T02:34:42.305Z</dcterms:created>
  <dcterms:modified xsi:type="dcterms:W3CDTF">2026-07-10T02:34:42.305Z</dcterms:modified>
</cp:coreProperties>
</file>

<file path=docProps/custom.xml><?xml version="1.0" encoding="utf-8"?>
<Properties xmlns="http://schemas.openxmlformats.org/officeDocument/2006/custom-properties" xmlns:vt="http://schemas.openxmlformats.org/officeDocument/2006/docPropsVTypes"/>
</file>