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b/>
          <w:bCs/>
          <w:color w:val="16233A"/>
          <w:sz w:val="22"/>
          <w:szCs w:val="22"/>
        </w:rPr>
        <w:t xml:space="preserve">G . O . D . S   H O L D I N G S</w:t>
      </w:r>
    </w:p>
    <w:p>
      <w:pPr>
        <w:spacing w:after="320"/>
        <w:jc w:val="center"/>
      </w:pPr>
      <w:r>
        <w:rPr>
          <w:color w:val="5B6472"/>
          <w:sz w:val="16"/>
          <w:szCs w:val="16"/>
        </w:rPr>
        <w:t xml:space="preserve">GOOD ORDERLY DIRECTIONAL SYSTEMS  ·  GBS-SETHS INSTITUTIONAL READINESS PACKAGE</w:t>
      </w:r>
    </w:p>
    <w:p>
      <w:pPr>
        <w:spacing w:after="120"/>
        <w:jc w:val="center"/>
      </w:pPr>
      <w:r>
        <w:rPr>
          <w:b/>
          <w:bCs/>
          <w:color w:val="8C7330"/>
          <w:sz w:val="18"/>
          <w:szCs w:val="18"/>
        </w:rPr>
        <w:t xml:space="preserve">DOCUMENT 02 of 11 OF 11</w:t>
      </w:r>
    </w:p>
    <w:p>
      <w:pPr>
        <w:spacing w:after="160"/>
        <w:jc w:val="center"/>
      </w:pPr>
      <w:r>
        <w:rPr>
          <w:b/>
          <w:bCs/>
          <w:color w:val="16233A"/>
          <w:sz w:val="40"/>
          <w:szCs w:val="40"/>
        </w:rPr>
        <w:t xml:space="preserve">Pilot Operations Manual</w:t>
      </w:r>
    </w:p>
    <w:p>
      <w:pPr>
        <w:spacing w:after="400"/>
        <w:jc w:val="center"/>
      </w:pPr>
      <w:r>
        <w:rPr>
          <w:i/>
          <w:iCs/>
          <w:color w:val="5B6472"/>
          <w:sz w:val="24"/>
          <w:szCs w:val="24"/>
        </w:rPr>
        <w:t xml:space="preserve">GBS-SETHS Node Launch &amp; Early Operations</w:t>
      </w:r>
    </w:p>
    <w:p>
      <w:pPr>
        <w:spacing w:after="100"/>
        <w:jc w:val="center"/>
      </w:pPr>
      <w:r>
        <w:rPr>
          <w:color w:val="16233A"/>
          <w:sz w:val="20"/>
          <w:szCs w:val="20"/>
        </w:rPr>
        <w:t xml:space="preserve">OPERATIONAL PLAYBOOK · LAUNCHING AND RUNNING THE FIRST 12–24 MONTHS OF A GBS-SETHS NODE</w:t>
      </w:r>
    </w:p>
    <w:p>
      <w:pPr>
        <w:spacing w:after="400"/>
        <w:jc w:val="center"/>
      </w:pPr>
      <w:r>
        <w:rPr>
          <w:color w:val="5B6472"/>
          <w:sz w:val="18"/>
          <w:szCs w:val="18"/>
        </w:rPr>
        <w:t xml:space="preserve">Version 1.0 · July 2026 · Companion to the GBS-SETHS Consolidated Super Framework (Document 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60"/>
            </w:pPr>
            <w:r>
              <w:rPr>
                <w:b/>
                <w:bCs/>
              </w:rPr>
              <w:t xml:space="preserve">Architect &amp; Founder:  </w:t>
            </w:r>
            <w:r>
              <w:t xml:space="preserve">Sashin J. Singh</w:t>
            </w:r>
          </w:p>
          <w:p>
            <w:pPr>
              <w:spacing w:after="60"/>
            </w:pPr>
            <w:r>
              <w:rPr>
                <w:b/>
                <w:bCs/>
              </w:rPr>
              <w:t xml:space="preserve">Institution:  </w:t>
            </w:r>
            <w:r>
              <w:t xml:space="preserve">G.O.D.S Holdings (Pty) Ltd — Pre-Registration, Johannesburg, South Africa</w:t>
            </w:r>
          </w:p>
          <w:p>
            <w:pPr>
              <w:spacing w:after="60"/>
            </w:pPr>
            <w:r>
              <w:rPr>
                <w:b/>
                <w:bCs/>
              </w:rPr>
              <w:t xml:space="preserve">IP Custodian:  </w:t>
            </w:r>
            <w:r>
              <w:t xml:space="preserve">G.O.D.S IP Trust — Trust Property Control Act 57 of 1988</w:t>
            </w:r>
          </w:p>
          <w:p>
            <w:pPr>
              <w:spacing w:after="60"/>
            </w:pPr>
            <w:r>
              <w:rPr>
                <w:b/>
                <w:bCs/>
              </w:rPr>
              <w:t xml:space="preserve">Document Classification:  </w:t>
            </w:r>
            <w:r>
              <w:t xml:space="preserve">INSTITUTIONAL — Cover Letter Required for External Distribution</w:t>
            </w:r>
          </w:p>
          <w:p>
            <w:pPr>
              <w:spacing w:after="0"/>
            </w:pPr>
            <w:r>
              <w:rPr>
                <w:b/>
                <w:bCs/>
              </w:rPr>
              <w:t xml:space="preserve">Package:  </w:t>
            </w:r>
            <w:r>
              <w:t xml:space="preserve">GBS-SETHS Institutional Readiness Package — consolidating GBS-SETHS Framework v1.0/v2.0 with 10 companion registration-grade instruments</w:t>
            </w:r>
          </w:p>
        </w:tc>
      </w:tr>
    </w:tbl>
    <w:p>
      <w:pPr>
        <w:spacing w:after="3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0"/>
            </w:pPr>
            <w:r>
              <w:rPr>
                <w:b/>
                <w:bCs/>
              </w:rPr>
              <w:t xml:space="preserve">Authorship declaration.  </w:t>
            </w:r>
            <w:r>
              <w:t xml:space="preserve">This document translates a decade of Sashin J. Singh's original institutional architecture — conceived 2016 (Seth's Empire, Johannesburg), continuously refined through personal, academic, and lived development, and previously formalised in GBS-SETHS v1.0/v2.0, the G.O.D.S. data room, and the live institutional platform — into a registration-grade instrument. AI production tools were used to draft, structure, cross-reference, and format this document from that existing body of work and from SJS's direct specification of its required structure and content. The architecture, the pillars, the methodology, the terminology, and the decade of lived commitment are SJS's own. AI did not originate the institutional design; it produced the document.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2360"/>
        <w:gridCol w:w="4000"/>
      </w:tblGrid>
      <w:tr>
        <w:trPr>
          <w:tblHeader/>
        </w:trPr>
        <w:tc>
          <w:tcPr>
            <w:tcW w:type="dxa" w:w="1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Version</w:t>
            </w:r>
          </w:p>
        </w:tc>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Date</w:t>
            </w:r>
          </w:p>
        </w:tc>
        <w:tc>
          <w:tcPr>
            <w:tcW w:type="dxa" w:w="2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Author</w:t>
            </w:r>
          </w:p>
        </w:tc>
        <w:tc>
          <w:tcPr>
            <w:tcW w:type="dxa" w:w="4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Change Summary</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1.0</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July 2026</w:t>
            </w:r>
          </w:p>
        </w:tc>
        <w:tc>
          <w:tcPr>
            <w:tcW w:type="dxa" w:w="2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SJS + AI documentation assistance</w:t>
            </w:r>
          </w:p>
        </w:tc>
        <w:tc>
          <w:tcPr>
            <w:tcW w:type="dxa" w:w="4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First issue — operationalises Document 00's Stage 0–1 roadmap and the existing S.E.T.H.S. Complete Programme Specification (e-01) into a launch-ready manual</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Systemic trace — the seven GBS questions this document answers</w:t>
            </w:r>
          </w:p>
          <w:p>
            <w:pPr>
              <w:spacing w:after="60"/>
            </w:pPr>
            <w:r>
              <w:rPr>
                <w:b/>
                <w:bCs/>
              </w:rPr>
              <w:t xml:space="preserve">What information exists?  </w:t>
            </w:r>
            <w:r>
              <w:t xml:space="preserve">The 36-week CET/CTE programme design, staffing structure, and outcome-metric framework already specified in the S.E.T.H.S. Complete Programme Specification and Document 00.</w:t>
            </w:r>
          </w:p>
          <w:p>
            <w:pPr>
              <w:spacing w:after="60"/>
            </w:pPr>
            <w:r>
              <w:rPr>
                <w:b/>
                <w:bCs/>
              </w:rPr>
              <w:t xml:space="preserve">How is it communicated?  </w:t>
            </w:r>
            <w:r>
              <w:t xml:space="preserve">To the Programme Director and pilot team as their single operating reference, and to funders/government partners as evidence the pilot is genuinely launch-ready, not conceptual.</w:t>
            </w:r>
          </w:p>
          <w:p>
            <w:pPr>
              <w:spacing w:after="60"/>
            </w:pPr>
            <w:r>
              <w:rPr>
                <w:b/>
                <w:bCs/>
              </w:rPr>
              <w:t xml:space="preserve">How is it transported?  </w:t>
            </w:r>
            <w:r>
              <w:t xml:space="preserve">Through weekly facilitator plans, UDOC's participant management module, and the intake-to-placement pipeline described below.</w:t>
            </w:r>
          </w:p>
          <w:p>
            <w:pPr>
              <w:spacing w:after="60"/>
            </w:pPr>
            <w:r>
              <w:rPr>
                <w:b/>
                <w:bCs/>
              </w:rPr>
              <w:t xml:space="preserve">How is it received?  </w:t>
            </w:r>
            <w:r>
              <w:t xml:space="preserve">By 50 pilot participants across four vocational streams, and by the case managers, facilitators, and employer partners who deliver against them.</w:t>
            </w:r>
          </w:p>
          <w:p>
            <w:pPr>
              <w:spacing w:after="60"/>
            </w:pPr>
            <w:r>
              <w:rPr>
                <w:b/>
                <w:bCs/>
              </w:rPr>
              <w:t xml:space="preserve">How is learning/compliance verified?  </w:t>
            </w:r>
            <w:r>
              <w:t xml:space="preserve">Through UDOC-logged milestone data, 30/60/90-day outcome verification, and the pilot evaluation scorecard (Annex D).</w:t>
            </w:r>
          </w:p>
          <w:p>
            <w:pPr>
              <w:spacing w:after="60"/>
            </w:pPr>
            <w:r>
              <w:rPr>
                <w:b/>
                <w:bCs/>
              </w:rPr>
              <w:t xml:space="preserve">How is the process repeated?  </w:t>
            </w:r>
            <w:r>
              <w:t xml:space="preserve">Every cohort after the pilot follows the same phase structure with data-driven refinements captured in the Stage 2 methodology review (Document 00, Part VII).</w:t>
            </w:r>
          </w:p>
          <w:p>
            <w:pPr>
              <w:spacing w:after="0"/>
            </w:pPr>
            <w:r>
              <w:rPr>
                <w:b/>
                <w:bCs/>
              </w:rPr>
              <w:t xml:space="preserve">How does it scale to civilisational level?  </w:t>
            </w:r>
            <w:r>
              <w:t xml:space="preserve">The pilot's outcome evidence is the single input every later franchise licence, government MOU, and DFI conversation depends on — this manual is where the 250-year mandate starts being tested against reality.</w:t>
            </w:r>
          </w:p>
        </w:tc>
      </w:tr>
    </w:tbl>
    <w:p>
      <w:r>
        <w:br w:type="page"/>
      </w:r>
    </w:p>
    <w:p>
      <w:pPr>
        <w:pStyle w:val="Heading1"/>
      </w:pPr>
      <w:r>
        <w:t xml:space="preserve">1. Node Setup</w:t>
      </w:r>
    </w:p>
    <w:p>
      <w:pPr>
        <w:pStyle w:val="Heading2"/>
      </w:pPr>
      <w:r>
        <w:t xml:space="preserve">1.1  Site Selection</w:t>
      </w:r>
    </w:p>
    <w:p>
      <w:pPr>
        <w:spacing w:after="160" w:line="276"/>
        <w:jc w:val="left"/>
      </w:pPr>
      <w:r>
        <w:t xml:space="preserve">The pilot node operates as a single facility in Johannesburg, selected for proximity to the founder's existing government and employer relationships (City of Johannesburg, DBSA, IDC) and to T.S. Industries' earliest anticipated project sites. Site requirements: capacity for 50 participants across four concurrent stream classrooms, a private space for case management and psychosocial counselling, reliable connectivity for UDOC and digital-literacy delivery, and accessible public transport routes given the cohort's income profile.</w:t>
      </w:r>
    </w:p>
    <w:p>
      <w:pPr>
        <w:pStyle w:val="Heading2"/>
      </w:pPr>
      <w:r>
        <w:t xml:space="preserve">1.2  Staffing Model</w:t>
      </w:r>
    </w:p>
    <w:p>
      <w:pPr>
        <w:spacing w:after="160" w:line="276"/>
        <w:jc w:val="left"/>
      </w:pPr>
      <w:r>
        <w:t xml:space="preserve">The pilot staffing structure is a direct implementation of the 14-person team already costed in the S.E.T.H.S. Complete Programme Specification. It is reproduced here as the operating org chart for Stage 0–1, with reporting lines and core function, so the Programme Director can begin recruitment against a fixed structure rather than a range.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1600"/>
        <w:gridCol w:w="1900"/>
        <w:gridCol w:w="2860"/>
      </w:tblGrid>
      <w:tr>
        <w:trPr>
          <w:tblHeader/>
        </w:trPr>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Position</w:t>
            </w:r>
          </w:p>
        </w:tc>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Reports To</w:t>
            </w:r>
          </w:p>
        </w:tc>
        <w:tc>
          <w:tcPr>
            <w:tcW w:type="dxa" w:w="1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CTC Range (ZAR/yr)</w:t>
            </w:r>
          </w:p>
        </w:tc>
        <w:tc>
          <w:tcPr>
            <w:tcW w:type="dxa" w:w="28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Core Function</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Programme Director</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CEO / COO</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R480,000 – R720,000</w:t>
            </w:r>
          </w:p>
        </w:tc>
        <w:tc>
          <w:tcPr>
            <w:tcW w:type="dxa" w:w="2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Overall leadership, government liaison, employer partnerships, COB reporting</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Operations Manager</w:t>
            </w:r>
          </w:p>
        </w:tc>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Programme Director</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R360,000 – R480,000</w:t>
            </w:r>
          </w:p>
        </w:tc>
        <w:tc>
          <w:tcPr>
            <w:tcW w:type="dxa" w:w="2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Day-to-day operations, logistics, facilities, vendor management</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Head of Curriculum</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Programme Director</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R360,000 – R540,000</w:t>
            </w:r>
          </w:p>
        </w:tc>
        <w:tc>
          <w:tcPr>
            <w:tcW w:type="dxa" w:w="2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Curriculum design, facilitator management, learning outcomes</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Senior Facilitator (×2)</w:t>
            </w:r>
          </w:p>
        </w:tc>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Head of Curriculum</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R240,000 – R360,000</w:t>
            </w:r>
          </w:p>
        </w:tc>
        <w:tc>
          <w:tcPr>
            <w:tcW w:type="dxa" w:w="2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Phase delivery, participant facilitation, learning assessment</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Stream Facilitators (×4 — Construction, Digital, Agriculture, Community Health)</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Head of Curriculum</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R180,000 – R240,000</w:t>
            </w:r>
          </w:p>
        </w:tc>
        <w:tc>
          <w:tcPr>
            <w:tcW w:type="dxa" w:w="2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One facilitator per vocational stream</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Case Managers (×3)</w:t>
            </w:r>
          </w:p>
        </w:tc>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Operations Manager</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R192,000 – R264,000</w:t>
            </w:r>
          </w:p>
        </w:tc>
        <w:tc>
          <w:tcPr>
            <w:tcW w:type="dxa" w:w="2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Individual participant support, tracking, crisis intervention</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Psychosocial Counsellor</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Operations Manager</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R264,000 – R360,000</w:t>
            </w:r>
          </w:p>
        </w:tc>
        <w:tc>
          <w:tcPr>
            <w:tcW w:type="dxa" w:w="2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Trauma-informed support, mental health referrals, wellbeing</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Employer Partnerships Manager</w:t>
            </w:r>
          </w:p>
        </w:tc>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Programme Director</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R300,000 – R420,000</w:t>
            </w:r>
          </w:p>
        </w:tc>
        <w:tc>
          <w:tcPr>
            <w:tcW w:type="dxa" w:w="2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Employer relationships, placement negotiation, MOU management</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M&amp;E Officer</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Programme Director</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R240,000 – R300,000</w:t>
            </w:r>
          </w:p>
        </w:tc>
        <w:tc>
          <w:tcPr>
            <w:tcW w:type="dxa" w:w="2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Data collection, outcome reporting, UDOC data quality</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Finance Officer</w:t>
            </w:r>
          </w:p>
        </w:tc>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Operations Manager</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R216,000 – R300,000</w:t>
            </w:r>
          </w:p>
        </w:tc>
        <w:tc>
          <w:tcPr>
            <w:tcW w:type="dxa" w:w="2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Budget management, payroll, donor reporting</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Admin &amp; Comms Coordinator</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Operations Manager</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R144,000 – R192,000</w:t>
            </w:r>
          </w:p>
        </w:tc>
        <w:tc>
          <w:tcPr>
            <w:tcW w:type="dxa" w:w="2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Scheduling, communications, records management</w:t>
            </w:r>
          </w:p>
        </w:tc>
      </w:tr>
    </w:tbl>
    <w:p>
      <w:pPr>
        <w:pStyle w:val="Heading2"/>
      </w:pPr>
      <w:r>
        <w:t xml:space="preserve">1.3  Physical &amp; Digital Infrastructure</w:t>
      </w:r>
    </w:p>
    <w:p>
      <w:pPr>
        <w:pStyle w:val="ListParagraph"/>
        <w:numPr>
          <w:ilvl w:val="0"/>
          <w:numId w:val="2"/>
        </w:numPr>
        <w:spacing w:after="100" w:line="276"/>
      </w:pPr>
      <w:r>
        <w:t xml:space="preserve">Four stream classrooms + one shared assembly space for cohort bonding and circle work</w:t>
      </w:r>
    </w:p>
    <w:p>
      <w:pPr>
        <w:pStyle w:val="ListParagraph"/>
        <w:numPr>
          <w:ilvl w:val="0"/>
          <w:numId w:val="2"/>
        </w:numPr>
        <w:spacing w:after="100" w:line="276"/>
      </w:pPr>
      <w:r>
        <w:t xml:space="preserve">Private case-management and counselling rooms — confidentiality is a POPIA Section 26/27 requirement given the special personal information collected at intake (see Document 09)</w:t>
      </w:r>
    </w:p>
    <w:p>
      <w:pPr>
        <w:pStyle w:val="ListParagraph"/>
        <w:numPr>
          <w:ilvl w:val="0"/>
          <w:numId w:val="2"/>
        </w:numPr>
        <w:spacing w:after="100" w:line="276"/>
      </w:pPr>
      <w:r>
        <w:t xml:space="preserve">UDOC Identity Layer (M1) and Education Layer (M2) deployed and configured before Week 1 of Stage 1 — participant records, curriculum tracking, and certification issuance cannot run on spreadsheets once the pilot begins</w:t>
      </w:r>
    </w:p>
    <w:p>
      <w:pPr>
        <w:pStyle w:val="ListParagraph"/>
        <w:numPr>
          <w:ilvl w:val="0"/>
          <w:numId w:val="2"/>
        </w:numPr>
        <w:spacing w:after="100" w:line="276"/>
      </w:pPr>
      <w:r>
        <w:t xml:space="preserve">Digital literacy lab: shared devices sufficient for the Phase 1 digital-literacy baseline and AI Awareness Module (Document 00, Part III §10)</w:t>
      </w:r>
    </w:p>
    <w:p>
      <w:pPr>
        <w:pStyle w:val="Heading1"/>
      </w:pPr>
      <w:r>
        <w:t xml:space="preserve">2. Participant Intake &amp; Assessment</w:t>
      </w:r>
    </w:p>
    <w:p>
      <w:pPr>
        <w:pStyle w:val="Heading2"/>
      </w:pPr>
      <w:r>
        <w:t xml:space="preserve">2.1  Eligibility</w:t>
      </w:r>
    </w:p>
    <w:p>
      <w:pPr>
        <w:spacing w:after="160" w:line="276"/>
        <w:jc w:val="left"/>
      </w:pPr>
      <w:r>
        <w:t xml:space="preserve">Intake is deliberately broad — the pilot screens for potential and commitment, not credentials or prior success. Age range 18–45 (extended to 55 for specific cohorts), South African citizenship or documented residency, no minimum formal education requirement, and identification within one of the primary target groups: justice-system leavers, long-term unemployed (24+ months), NEET youth, GBV survivors transitioning to economic independence, AI-displaced formal workers, and informal-sector workers seeking formalisation.</w:t>
      </w:r>
    </w:p>
    <w:p>
      <w:pPr>
        <w:pStyle w:val="Heading2"/>
      </w:pPr>
      <w:r>
        <w:t xml:space="preserve">2.2  The Self-Affirmation Contract</w:t>
      </w:r>
    </w:p>
    <w:p>
      <w:pPr>
        <w:spacing w:after="160" w:line="276"/>
        <w:jc w:val="left"/>
      </w:pPr>
      <w:r>
        <w:t xml:space="preserve">Every participant signs the Self-Affirmation Contract at intake, witnessed by their assigned case manager (full text and design rationale: Document 00, Part III, Section 9; Document 01, Annex D). This is the first UDOC-logged artefact in a participant's record and the anchor point their Skills Passport is built from.</w:t>
      </w:r>
    </w:p>
    <w:p>
      <w:pPr>
        <w:pStyle w:val="Heading2"/>
      </w:pPr>
      <w:r>
        <w:t xml:space="preserve">2.3  Baseline Skills Passport &amp; AI Readiness Baseline</w:t>
      </w:r>
    </w:p>
    <w:p>
      <w:pPr>
        <w:spacing w:after="160" w:line="276"/>
        <w:jc w:val="left"/>
      </w:pPr>
      <w:r>
        <w:t xml:space="preserve">Intake includes cognitive, emotional, and vocational-potential assessment, establishing the participant's baseline entry in their Skills Passport (Document 04) and their Stage-1 AI Readiness Score under the AI Workforce Adaptation Framework (Document 00, Part III, Section 10). This baseline is what every later outcome — Bronze through Platinum certification, retention, income growth — is measured against.</w:t>
      </w:r>
    </w:p>
    <w:p>
      <w:pPr>
        <w:pStyle w:val="Heading1"/>
      </w:pPr>
      <w:r>
        <w:t xml:space="preserve">3. Phase Design — The 36-Week Journey</w:t>
      </w:r>
    </w:p>
    <w:p>
      <w:pPr>
        <w:spacing w:after="160" w:line="276"/>
        <w:jc w:val="left"/>
      </w:pPr>
      <w:r>
        <w:t xml:space="preserve">The pilot runs the same CET/CTE phase architecture as Document 00, expressed here with the week-by-week detail an operator actually needs on the ground.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1100"/>
        <w:gridCol w:w="4160"/>
        <w:gridCol w:w="2200"/>
      </w:tblGrid>
      <w:tr>
        <w:trPr>
          <w:tblHeader/>
        </w:trPr>
        <w:tc>
          <w:tcPr>
            <w:tcW w:type="dxa" w:w="2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Phase</w:t>
            </w:r>
          </w:p>
        </w:tc>
        <w:tc>
          <w:tcPr>
            <w:tcW w:type="dxa" w:w="11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Weeks</w:t>
            </w:r>
          </w:p>
        </w:tc>
        <w:tc>
          <w:tcPr>
            <w:tcW w:type="dxa" w:w="4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Objective</w:t>
            </w:r>
          </w:p>
        </w:tc>
        <w:tc>
          <w:tcPr>
            <w:tcW w:type="dxa" w:w="2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Assessment Gate</w:t>
            </w:r>
          </w:p>
        </w:tc>
      </w:tr>
      <w:tr>
        <w:tc>
          <w:tcPr>
            <w:tcW w:type="dxa" w:w="2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Phase 1 — Foundation &amp; Stabilisation</w:t>
            </w:r>
          </w:p>
        </w:tc>
        <w:tc>
          <w:tcPr>
            <w:tcW w:type="dxa" w:w="11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1–4</w:t>
            </w:r>
          </w:p>
        </w:tc>
        <w:tc>
          <w:tcPr>
            <w:tcW w:type="dxa" w:w="4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Psychological safety, trust, and baseline stability before any vocational content begins. Housing/nutrition/financial stabilisation where required. Life-skills foundation. Vocational pathway assignment.</w:t>
            </w:r>
          </w:p>
        </w:tc>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Phase 1 assessment; pathway confirmed</w:t>
            </w:r>
          </w:p>
        </w:tc>
      </w:tr>
      <w:tr>
        <w:tc>
          <w:tcPr>
            <w:tcW w:type="dxa" w:w="2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Phase 2 — Core Skills Development</w:t>
            </w:r>
          </w:p>
        </w:tc>
        <w:tc>
          <w:tcPr>
            <w:tcW w:type="dxa" w:w="11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5–12</w:t>
            </w:r>
          </w:p>
        </w:tc>
        <w:tc>
          <w:tcPr>
            <w:tcW w:type="dxa" w:w="4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Vocational stream delivery (Construction, Digital, Agriculture, Community Health), transferable skills, AI literacy, mentorship matching begins.</w:t>
            </w:r>
          </w:p>
        </w:tc>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Mid-phase competency checkpoint</w:t>
            </w:r>
          </w:p>
        </w:tc>
      </w:tr>
      <w:tr>
        <w:tc>
          <w:tcPr>
            <w:tcW w:type="dxa" w:w="2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Phase 3 — Advanced Skills &amp; Work Readiness</w:t>
            </w:r>
          </w:p>
        </w:tc>
        <w:tc>
          <w:tcPr>
            <w:tcW w:type="dxa" w:w="11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13–18</w:t>
            </w:r>
          </w:p>
        </w:tc>
        <w:tc>
          <w:tcPr>
            <w:tcW w:type="dxa" w:w="4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Sector-specific advanced competency, CV/interview preparation, portfolio-of-evidence completion.</w:t>
            </w:r>
          </w:p>
        </w:tc>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Employer-readiness certification (Silver tier, Document 00 §11.1)</w:t>
            </w:r>
          </w:p>
        </w:tc>
      </w:tr>
      <w:tr>
        <w:tc>
          <w:tcPr>
            <w:tcW w:type="dxa" w:w="2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Phase 4 — Placement &amp; Activation</w:t>
            </w:r>
          </w:p>
        </w:tc>
        <w:tc>
          <w:tcPr>
            <w:tcW w:type="dxa" w:w="11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19–24</w:t>
            </w:r>
          </w:p>
        </w:tc>
        <w:tc>
          <w:tcPr>
            <w:tcW w:type="dxa" w:w="4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Active employer matching and placement, case-manager-monitored onboarding.</w:t>
            </w:r>
          </w:p>
        </w:tc>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Verified employment commencement</w:t>
            </w:r>
          </w:p>
        </w:tc>
      </w:tr>
      <w:tr>
        <w:tc>
          <w:tcPr>
            <w:tcW w:type="dxa" w:w="2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Phase 5 — Alumni Network &amp; Ongoing Support</w:t>
            </w:r>
          </w:p>
        </w:tc>
        <w:tc>
          <w:tcPr>
            <w:tcW w:type="dxa" w:w="11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25–36</w:t>
            </w:r>
          </w:p>
        </w:tc>
        <w:tc>
          <w:tcPr>
            <w:tcW w:type="dxa" w:w="4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30/60/90-day outcome verification, upskilling access, cohort reunion, mentorship-pathway eligibility opens.</w:t>
            </w:r>
          </w:p>
        </w:tc>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Gold-tier verified-employment certification at Day 90</w:t>
            </w:r>
          </w:p>
        </w:tc>
      </w:tr>
      <w:tr>
        <w:tc>
          <w:tcPr>
            <w:tcW w:type="dxa" w:w="2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Phase 6 — The Door Never Closes</w:t>
            </w:r>
          </w:p>
        </w:tc>
        <w:tc>
          <w:tcPr>
            <w:tcW w:type="dxa" w:w="11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Perpetual, from Week 25 onward</w:t>
            </w:r>
          </w:p>
        </w:tc>
        <w:tc>
          <w:tcPr>
            <w:tcW w:type="dxa" w:w="4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Lifetime re-entry guarantee — no formal end date.</w:t>
            </w:r>
          </w:p>
        </w:tc>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N/A — always open</w:t>
            </w:r>
          </w:p>
        </w:tc>
      </w:tr>
    </w:tbl>
    <w:p>
      <w:pPr>
        <w:pStyle w:val="Heading1"/>
      </w:pPr>
      <w:r>
        <w:t xml:space="preserve">4. Facilitation Standards</w:t>
      </w:r>
    </w:p>
    <w:p>
      <w:pPr>
        <w:pStyle w:val="ListParagraph"/>
        <w:numPr>
          <w:ilvl w:val="0"/>
          <w:numId w:val="2"/>
        </w:numPr>
        <w:spacing w:after="100" w:line="276"/>
      </w:pPr>
      <w:r>
        <w:t xml:space="preserve">Facilitator qualification floor: minimum NQF4 equivalent, trauma-informed facilitation training completed before Cohort 1 begins</w:t>
      </w:r>
    </w:p>
    <w:p>
      <w:pPr>
        <w:pStyle w:val="ListParagraph"/>
        <w:numPr>
          <w:ilvl w:val="0"/>
          <w:numId w:val="2"/>
        </w:numPr>
        <w:spacing w:after="100" w:line="276"/>
      </w:pPr>
      <w:r>
        <w:t xml:space="preserve">Class size: one Stream Facilitator per vocational stream, target ratio no greater than 1:13 participants per stream at the 50-participant pilot scale</w:t>
      </w:r>
    </w:p>
    <w:p>
      <w:pPr>
        <w:pStyle w:val="ListParagraph"/>
        <w:numPr>
          <w:ilvl w:val="0"/>
          <w:numId w:val="2"/>
        </w:numPr>
        <w:spacing w:after="100" w:line="276"/>
      </w:pPr>
      <w:r>
        <w:t xml:space="preserve">Blended delivery: in-person for Phase 1 trust-building and Phase 2–3 vocational/practical content; digital modules for AI literacy, financial literacy, and upskilling library access from Phase 5 onward</w:t>
      </w:r>
    </w:p>
    <w:p>
      <w:pPr>
        <w:pStyle w:val="ListParagraph"/>
        <w:numPr>
          <w:ilvl w:val="0"/>
          <w:numId w:val="2"/>
        </w:numPr>
        <w:spacing w:after="100" w:line="276"/>
      </w:pPr>
      <w:r>
        <w:t xml:space="preserve">Every facilitator session is logged against the curriculum-fidelity standard in Document 00 §11.2 — minimum 90% adherence to core curriculum, adaptation only within the 20% localisation allowance</w:t>
      </w:r>
    </w:p>
    <w:p>
      <w:pPr>
        <w:pStyle w:val="Heading1"/>
      </w:pPr>
      <w:r>
        <w:t xml:space="preserve">5. Employer Pathway</w:t>
      </w:r>
    </w:p>
    <w:p>
      <w:pPr>
        <w:spacing w:after="160" w:line="276"/>
        <w:jc w:val="left"/>
      </w:pPr>
      <w:r>
        <w:t xml:space="preserve">The full employer-side framework — sourcing, onboarding, retention — is Document 05 of this package. Operationally, for the pilot:</w:t>
      </w:r>
    </w:p>
    <w:p>
      <w:pPr>
        <w:pStyle w:val="ListParagraph"/>
        <w:numPr>
          <w:ilvl w:val="0"/>
          <w:numId w:val="3"/>
        </w:numPr>
        <w:spacing w:after="100" w:line="276"/>
      </w:pPr>
      <w:r>
        <w:t xml:space="preserve">First 3 employer partnerships signed during Stage 0 (Months 1–3), before participant intake begins — outcome data on this exact sequencing risk is tracked as Risk OR-01 in the company-wide Risk Register (36-item, F-02) and mirrored in Document 08 of this package.</w:t>
      </w:r>
    </w:p>
    <w:p>
      <w:pPr>
        <w:pStyle w:val="ListParagraph"/>
        <w:numPr>
          <w:ilvl w:val="0"/>
          <w:numId w:val="3"/>
        </w:numPr>
        <w:spacing w:after="100" w:line="276"/>
      </w:pPr>
      <w:r>
        <w:t xml:space="preserve">Every employer partnership executes the Absorption Commitment Clause (Document 00 §6.3) as a condition of B-BBEE skills-development credit eligibility.</w:t>
      </w:r>
    </w:p>
    <w:p>
      <w:pPr>
        <w:pStyle w:val="ListParagraph"/>
        <w:numPr>
          <w:ilvl w:val="0"/>
          <w:numId w:val="3"/>
        </w:numPr>
        <w:spacing w:after="100" w:line="276"/>
      </w:pPr>
      <w:r>
        <w:t xml:space="preserve">Placement verification runs through UDOC's Placement Layer (M4) — a placement is not counted as an outcome until UDOC has a sealed, employer-confirmed record, not a self-report from the participant or facilitator.</w:t>
      </w:r>
    </w:p>
    <w:p>
      <w:pPr>
        <w:pStyle w:val="Heading1"/>
      </w:pPr>
      <w:r>
        <w:t xml:space="preserve">6. Data &amp; Reporting</w:t>
      </w:r>
    </w:p>
    <w:p>
      <w:pPr>
        <w:pStyle w:val="Heading2"/>
      </w:pPr>
      <w:r>
        <w:t xml:space="preserve">6.1  Primary Outcome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0"/>
        <w:gridCol w:w="3760"/>
      </w:tblGrid>
      <w:tr>
        <w:trPr>
          <w:tblHeader/>
        </w:trPr>
        <w:tc>
          <w:tcPr>
            <w:tcW w:type="dxa" w:w="5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Metric</w:t>
            </w:r>
          </w:p>
        </w:tc>
        <w:tc>
          <w:tcPr>
            <w:tcW w:type="dxa" w:w="37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Target</w:t>
            </w:r>
          </w:p>
        </w:tc>
      </w:tr>
      <w:tr>
        <w:tc>
          <w:tcPr>
            <w:tcW w:type="dxa" w:w="5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Employment rate at 30 days post-placement</w:t>
            </w:r>
          </w:p>
        </w:tc>
        <w:tc>
          <w:tcPr>
            <w:tcW w:type="dxa" w:w="3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80%+</w:t>
            </w:r>
          </w:p>
        </w:tc>
      </w:tr>
      <w:tr>
        <w:tc>
          <w:tcPr>
            <w:tcW w:type="dxa" w:w="5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Employment retention at 90 days</w:t>
            </w:r>
          </w:p>
        </w:tc>
        <w:tc>
          <w:tcPr>
            <w:tcW w:type="dxa" w:w="3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70%+</w:t>
            </w:r>
          </w:p>
        </w:tc>
      </w:tr>
      <w:tr>
        <w:tc>
          <w:tcPr>
            <w:tcW w:type="dxa" w:w="5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Employment retention at 12 months</w:t>
            </w:r>
          </w:p>
        </w:tc>
        <w:tc>
          <w:tcPr>
            <w:tcW w:type="dxa" w:w="3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60%+</w:t>
            </w:r>
          </w:p>
        </w:tc>
      </w:tr>
      <w:tr>
        <w:tc>
          <w:tcPr>
            <w:tcW w:type="dxa" w:w="5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Participant income increase from baseline</w:t>
            </w:r>
          </w:p>
        </w:tc>
        <w:tc>
          <w:tcPr>
            <w:tcW w:type="dxa" w:w="3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3× minimum</w:t>
            </w:r>
          </w:p>
        </w:tc>
      </w:tr>
      <w:tr>
        <w:tc>
          <w:tcPr>
            <w:tcW w:type="dxa" w:w="5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Participant Net Promoter Score</w:t>
            </w:r>
          </w:p>
        </w:tc>
        <w:tc>
          <w:tcPr>
            <w:tcW w:type="dxa" w:w="3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75+</w:t>
            </w:r>
          </w:p>
        </w:tc>
      </w:tr>
    </w:tbl>
    <w:p>
      <w:pPr>
        <w:pStyle w:val="Heading2"/>
      </w:pPr>
      <w:r>
        <w:t xml:space="preserve">6.2  Secondary &amp; Social Impact Metrics</w:t>
      </w:r>
    </w:p>
    <w:p>
      <w:pPr>
        <w:pStyle w:val="ListParagraph"/>
        <w:numPr>
          <w:ilvl w:val="0"/>
          <w:numId w:val="2"/>
        </w:numPr>
        <w:spacing w:after="100" w:line="276"/>
      </w:pPr>
      <w:r>
        <w:t xml:space="preserve">Employer satisfaction (target 80%+ would rehire); cohort completion rate (target 75%+); alumni re-engagement with upskilling in Year 2 (target 50%+); economic multiplier of participant income earned per Rand of programme cost (target 5:1 within 3 years)</w:t>
      </w:r>
    </w:p>
    <w:p>
      <w:pPr>
        <w:pStyle w:val="ListParagraph"/>
        <w:numPr>
          <w:ilvl w:val="0"/>
          <w:numId w:val="2"/>
        </w:numPr>
        <w:spacing w:after="100" w:line="276"/>
      </w:pPr>
      <w:r>
        <w:t xml:space="preserve">Household income increase; children of participants in school (household-stability proxy); post-programme arrest/re-incarceration rate for the justice-involved cohort (target &lt;10%)</w:t>
      </w:r>
    </w:p>
    <w:p>
      <w:pPr>
        <w:spacing w:after="160" w:line="276"/>
        <w:jc w:val="left"/>
      </w:pPr>
      <w:r>
        <w:rPr>
          <w:b/>
          <w:bCs/>
        </w:rPr>
        <w:t xml:space="preserve">Reporting cadence: </w:t>
      </w:r>
      <w:r>
        <w:t xml:space="preserve">UDOC event logging is continuous and automatic at the point of each milestone. A monthly dashboard is compiled for the Programme Director and, once the Constitutional Oversight Board is constituted, a quarterly COB compliance report is issued consistent with Document 01, Part Ten.</w:t>
      </w:r>
    </w:p>
    <w:p>
      <w:pPr>
        <w:pStyle w:val="Heading1"/>
      </w:pPr>
      <w:r>
        <w:t xml:space="preserve">7. Quality Assurance</w:t>
      </w:r>
    </w:p>
    <w:p>
      <w:pPr>
        <w:pStyle w:val="ListParagraph"/>
        <w:numPr>
          <w:ilvl w:val="0"/>
          <w:numId w:val="2"/>
        </w:numPr>
        <w:spacing w:after="100" w:line="276"/>
      </w:pPr>
      <w:r>
        <w:t xml:space="preserve">Certification triggers and the full tier system (Bronze/Silver/Gold/Platinum/Specialist) are defined in Document 00 §11.1 and enforced through UDOC — no tier is awarded on attendance alone.</w:t>
      </w:r>
    </w:p>
    <w:p>
      <w:pPr>
        <w:pStyle w:val="ListParagraph"/>
        <w:numPr>
          <w:ilvl w:val="0"/>
          <w:numId w:val="2"/>
        </w:numPr>
        <w:spacing w:after="100" w:line="276"/>
      </w:pPr>
      <w:r>
        <w:t xml:space="preserve">Facilitator recertification: biennial, tied to the GBS Mentor (Platinum) standard once available.</w:t>
      </w:r>
    </w:p>
    <w:p>
      <w:pPr>
        <w:pStyle w:val="ListParagraph"/>
        <w:numPr>
          <w:ilvl w:val="0"/>
          <w:numId w:val="2"/>
        </w:numPr>
        <w:spacing w:after="100" w:line="276"/>
      </w:pPr>
      <w:r>
        <w:t xml:space="preserve">Remediation pathway: any participant falling behind an assessment gate is referred back into the relevant phase with additional case-management support before being exited from the cohort — exit is a last resort, documented and COB-visible, not a silent dropout.</w:t>
      </w:r>
    </w:p>
    <w:p>
      <w:pPr>
        <w:pStyle w:val="Heading1"/>
      </w:pPr>
      <w:r>
        <w:t xml:space="preserve">8. Safety &amp; Safeguarding</w:t>
      </w:r>
    </w:p>
    <w:p>
      <w:pPr>
        <w:pStyle w:val="ListParagraph"/>
        <w:numPr>
          <w:ilvl w:val="0"/>
          <w:numId w:val="2"/>
        </w:numPr>
        <w:spacing w:after="100" w:line="276"/>
      </w:pPr>
      <w:r>
        <w:t xml:space="preserve">A dedicated Psychosocial Counsellor is on staff from Day 1, not added reactively — the pilot's target population (justice-involved, GBV survivors, long-term unemployed) carries a materially higher likelihood of trauma history than a general workforce cohort.</w:t>
      </w:r>
    </w:p>
    <w:p>
      <w:pPr>
        <w:pStyle w:val="ListParagraph"/>
        <w:numPr>
          <w:ilvl w:val="0"/>
          <w:numId w:val="2"/>
        </w:numPr>
        <w:spacing w:after="100" w:line="276"/>
      </w:pPr>
      <w:r>
        <w:t xml:space="preserve">Crisis escalation: any disclosure of immediate risk to self or others is escalated to the Psychosocial Counsellor and, where appropriate, external emergency services within the same working day — this is a hard operational rule, not a target.</w:t>
      </w:r>
    </w:p>
    <w:p>
      <w:pPr>
        <w:pStyle w:val="ListParagraph"/>
        <w:numPr>
          <w:ilvl w:val="0"/>
          <w:numId w:val="2"/>
        </w:numPr>
        <w:spacing w:after="100" w:line="276"/>
      </w:pPr>
      <w:r>
        <w:t xml:space="preserve">Referral network: pre-established relationships with local mental-health, housing, and social-services providers so a case manager is never sending a participant into a gap the pilot cannot cover itself.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36-week phase design, staffing structure, and outcome-metric framework are fully specified and costed; Stage 0 pre-launch actions (facility, staffing, SETA registration, first 3 employer partnerships, UDOC module deployment) are the next concrete steps once seed capital closes.</w:t>
            </w:r>
          </w:p>
          <w:p>
            <w:pPr>
              <w:spacing w:after="60"/>
            </w:pPr>
            <w:r>
              <w:rPr>
                <w:b/>
                <w:bCs/>
              </w:rPr>
              <w:t xml:space="preserve">Designed / production-specified, not yet built:  </w:t>
            </w:r>
            <w:r>
              <w:t xml:space="preserve">UDOC's Identity and Education Layer modules exist at capstone/architecture level; their specific configuration for live pilot intake has not yet been operationally tested against a real cohort.</w:t>
            </w:r>
          </w:p>
          <w:p>
            <w:pPr>
              <w:spacing w:after="0"/>
            </w:pPr>
            <w:r>
              <w:rPr>
                <w:b/>
                <w:bCs/>
              </w:rPr>
              <w:t xml:space="preserve">Aspirational / long-horizon:  </w:t>
            </w:r>
            <w:r>
              <w:t xml:space="preserve">The Stage 3+ multi-node, multi-region expansion of this exact operating model is addressed in Document 00, Part VI–VII, not in this manual, which is scoped to the single pilot node.</w:t>
            </w:r>
          </w:p>
        </w:tc>
      </w:tr>
    </w:tbl>
    <w:p>
      <w:pPr>
        <w:pStyle w:val="Heading1"/>
      </w:pPr>
      <w:r>
        <w:t xml:space="preserve">Operational Templates (Annexes)</w:t>
      </w:r>
    </w:p>
    <w:p>
      <w:pPr>
        <w:pStyle w:val="Heading2"/>
      </w:pPr>
      <w:r>
        <w:t xml:space="preserve">Annex A — Intake Form (UDOC Schema Summary)</w:t>
      </w:r>
    </w:p>
    <w:p>
      <w:pPr>
        <w:spacing w:after="160" w:line="276"/>
        <w:jc w:val="left"/>
      </w:pPr>
      <w:r>
        <w:t xml:space="preserve">Full technical schema: Document 04, Skills Passport Technical Standard. Operationally, intake captures: identity/KYC fields, eligibility-category self-declaration, baseline cognitive/emotional/vocational assessment results, Self-Affirmation Contract responses, and initial stream assignment — all logged to UDOC's Identity Layer (M1) on Day 1.</w:t>
      </w:r>
    </w:p>
    <w:p>
      <w:pPr>
        <w:pStyle w:val="Heading2"/>
      </w:pPr>
      <w:r>
        <w:t xml:space="preserve">Annex B — Weekly Facilitator Plan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Field</w:t>
            </w:r>
          </w:p>
        </w:tc>
        <w:tc>
          <w:tcPr>
            <w:tcW w:type="dxa" w:w="6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Content</w:t>
            </w:r>
          </w:p>
        </w:tc>
      </w:tr>
      <w:tr>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Week / Phase</w:t>
            </w:r>
          </w:p>
        </w:tc>
        <w:tc>
          <w:tcPr>
            <w:tcW w:type="dxa" w:w="6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e.g. Week 6, Phase 2</w:t>
            </w:r>
          </w:p>
        </w:tc>
      </w:tr>
      <w:tr>
        <w:tc>
          <w:tcPr>
            <w:tcW w:type="dxa" w:w="3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Learning objective</w:t>
            </w:r>
          </w:p>
        </w:tc>
        <w:tc>
          <w:tcPr>
            <w:tcW w:type="dxa" w:w="6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Stated per stream, tied to the curriculum-fidelity standard</w:t>
            </w:r>
          </w:p>
        </w:tc>
      </w:tr>
      <w:tr>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Session structure</w:t>
            </w:r>
          </w:p>
        </w:tc>
        <w:tc>
          <w:tcPr>
            <w:tcW w:type="dxa" w:w="6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Time-blocked: check-in, core content, practical application, reflection</w:t>
            </w:r>
          </w:p>
        </w:tc>
      </w:tr>
      <w:tr>
        <w:tc>
          <w:tcPr>
            <w:tcW w:type="dxa" w:w="3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Assessment activity (if applicable)</w:t>
            </w:r>
          </w:p>
        </w:tc>
        <w:tc>
          <w:tcPr>
            <w:tcW w:type="dxa" w:w="6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Tied to the relevant assessment gate</w:t>
            </w:r>
          </w:p>
        </w:tc>
      </w:tr>
      <w:tr>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UDOC logging action</w:t>
            </w:r>
          </w:p>
        </w:tc>
        <w:tc>
          <w:tcPr>
            <w:tcW w:type="dxa" w:w="6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What gets recorded this week and by whom</w:t>
            </w:r>
          </w:p>
        </w:tc>
      </w:tr>
    </w:tbl>
    <w:p>
      <w:pPr>
        <w:pStyle w:val="Heading2"/>
      </w:pPr>
      <w:r>
        <w:t xml:space="preserve">Annex C — Employer Placement MOU (Summary)</w:t>
      </w:r>
    </w:p>
    <w:p>
      <w:pPr>
        <w:spacing w:after="160" w:line="276"/>
        <w:jc w:val="left"/>
      </w:pPr>
      <w:r>
        <w:t xml:space="preserve">Full template: Document 05, Annex A. Core clauses: placement commitment scope, Absorption Commitment Clause incorporation by reference, UDOC verification consent, and outcome-reporting obligations.</w:t>
      </w:r>
    </w:p>
    <w:p>
      <w:pPr>
        <w:pStyle w:val="Heading2"/>
      </w:pPr>
      <w:r>
        <w:t xml:space="preserve">Annex D — Pilot Evaluation Scorecard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3600"/>
        <w:gridCol w:w="2560"/>
      </w:tblGrid>
      <w:tr>
        <w:trPr>
          <w:tblHeader/>
        </w:trPr>
        <w:tc>
          <w:tcPr>
            <w:tcW w:type="dxa" w:w="3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Dimension</w:t>
            </w:r>
          </w:p>
        </w:tc>
        <w:tc>
          <w:tcPr>
            <w:tcW w:type="dxa" w:w="3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Data Source</w:t>
            </w:r>
          </w:p>
        </w:tc>
        <w:tc>
          <w:tcPr>
            <w:tcW w:type="dxa" w:w="25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Reporting Frequency</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Outcomes (employment, retention, income)</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UDOC Placement &amp; Economic Layers</w:t>
            </w:r>
          </w:p>
        </w:tc>
        <w:tc>
          <w:tcPr>
            <w:tcW w:type="dxa" w:w="2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Monthly, with 30/60/90-day gates</w:t>
            </w:r>
          </w:p>
        </w:tc>
      </w:tr>
      <w:tr>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Employer satisfaction</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Post-placement employer survey</w:t>
            </w:r>
          </w:p>
        </w:tc>
        <w:tc>
          <w:tcPr>
            <w:tcW w:type="dxa" w:w="2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At 90 days and 12 months</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Participant experience (NPS)</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Participant survey</w:t>
            </w:r>
          </w:p>
        </w:tc>
        <w:tc>
          <w:tcPr>
            <w:tcW w:type="dxa" w:w="2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At Phase 3 exit and Phase 5</w:t>
            </w:r>
          </w:p>
        </w:tc>
      </w:tr>
      <w:tr>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Constitutional compliance</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COB review (once constituted)</w:t>
            </w:r>
          </w:p>
        </w:tc>
        <w:tc>
          <w:tcPr>
            <w:tcW w:type="dxa" w:w="2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Annual, or on flagged incident</w:t>
            </w:r>
          </w:p>
        </w:tc>
      </w:tr>
    </w:tbl>
    <w:p>
      <w:pPr>
        <w:pStyle w:val="Heading1"/>
      </w:pPr>
      <w:r>
        <w:t xml:space="preserve">Pilot Success Criteria</w:t>
      </w:r>
    </w:p>
    <w:p>
      <w:pPr>
        <w:pStyle w:val="ListParagraph"/>
        <w:numPr>
          <w:ilvl w:val="0"/>
          <w:numId w:val="2"/>
        </w:numPr>
        <w:spacing w:after="100" w:line="276"/>
      </w:pPr>
      <w:r>
        <w:t xml:space="preserve">Minimum cohort completion rate of 75%</w:t>
      </w:r>
    </w:p>
    <w:p>
      <w:pPr>
        <w:pStyle w:val="ListParagraph"/>
        <w:numPr>
          <w:ilvl w:val="0"/>
          <w:numId w:val="2"/>
        </w:numPr>
        <w:spacing w:after="100" w:line="276"/>
      </w:pPr>
      <w:r>
        <w:t xml:space="preserve">Verified 90-day employment placement rate of at least 70%, rising toward the 80%+ 30-day target as the model matures</w:t>
      </w:r>
    </w:p>
    <w:p>
      <w:pPr>
        <w:pStyle w:val="ListParagraph"/>
        <w:numPr>
          <w:ilvl w:val="0"/>
          <w:numId w:val="2"/>
        </w:numPr>
        <w:spacing w:after="100" w:line="276"/>
      </w:pPr>
      <w:r>
        <w:t xml:space="preserve">Skills Passport issuance and UDOC verification functioning for 100% of the cohort — a pilot that cannot produce clean data is not evidence, however good the outcomes feel anecdotally</w:t>
      </w:r>
    </w:p>
    <w:p>
      <w:pPr>
        <w:pStyle w:val="ListParagraph"/>
        <w:numPr>
          <w:ilvl w:val="0"/>
          <w:numId w:val="2"/>
        </w:numPr>
        <w:spacing w:after="100" w:line="276"/>
      </w:pPr>
      <w:r>
        <w:t xml:space="preserve">Evidence of genuine employer absorption and retention, not just placement — this is what the Absorption Commitment Clause exists to make visible</w:t>
      </w:r>
    </w:p>
    <w:p>
      <w:pPr>
        <w:pStyle w:val="Heading1"/>
      </w:pPr>
      <w:r>
        <w:t xml:space="preserve">Implementation Checklist</w:t>
      </w:r>
    </w:p>
    <w:p>
      <w:pPr>
        <w:pStyle w:val="ListParagraph"/>
        <w:numPr>
          <w:ilvl w:val="0"/>
          <w:numId w:val="3"/>
        </w:numPr>
        <w:spacing w:after="100" w:line="276"/>
      </w:pPr>
      <w:r>
        <w:t xml:space="preserve">Confirm pilot facility lease and fit-out timeline against the Stage 0 (Months 1–3) window.</w:t>
      </w:r>
    </w:p>
    <w:p>
      <w:pPr>
        <w:pStyle w:val="ListParagraph"/>
        <w:numPr>
          <w:ilvl w:val="0"/>
          <w:numId w:val="3"/>
        </w:numPr>
        <w:spacing w:after="100" w:line="276"/>
      </w:pPr>
      <w:r>
        <w:t xml:space="preserve">Begin Programme Director and senior-role recruitment immediately on seed capital close — these are the longest lead-time hires.</w:t>
      </w:r>
    </w:p>
    <w:p>
      <w:pPr>
        <w:pStyle w:val="ListParagraph"/>
        <w:numPr>
          <w:ilvl w:val="0"/>
          <w:numId w:val="3"/>
        </w:numPr>
        <w:spacing w:after="100" w:line="276"/>
      </w:pPr>
      <w:r>
        <w:t xml:space="preserve">Deploy UDOC Identity and Education Layer modules and complete a dry-run intake before Cohort 1 Week 1.</w:t>
      </w:r>
    </w:p>
    <w:p>
      <w:pPr>
        <w:pStyle w:val="ListParagraph"/>
        <w:numPr>
          <w:ilvl w:val="0"/>
          <w:numId w:val="3"/>
        </w:numPr>
        <w:spacing w:after="100" w:line="276"/>
      </w:pPr>
      <w:r>
        <w:t xml:space="preserve">Secure the first 3 employer partnerships, each with the Absorption Commitment Clause executed, before intake opens.</w:t>
      </w:r>
    </w:p>
    <w:p>
      <w:pPr>
        <w:pStyle w:val="ListParagraph"/>
        <w:numPr>
          <w:ilvl w:val="0"/>
          <w:numId w:val="3"/>
        </w:numPr>
        <w:spacing w:after="100" w:line="276"/>
      </w:pPr>
      <w:r>
        <w:t xml:space="preserve">Complete SETA registration for the applicable unit standards (Document 09, Regulatory Compliance Framework) before Cohort 1 certification events.</w:t>
      </w:r>
    </w:p>
    <w:p>
      <w:pPr>
        <w:pBdr>
          <w:bottom w:val="single" w:color="C9A84C" w:sz="6"/>
        </w:pBdr>
        <w:spacing w:after="120" w:before="120"/>
      </w:pPr>
    </w:p>
    <w:p>
      <w:pPr>
        <w:spacing w:after="40" w:before="200"/>
        <w:jc w:val="center"/>
      </w:pPr>
      <w:r>
        <w:rPr>
          <w:color w:val="5B6472"/>
          <w:sz w:val="18"/>
          <w:szCs w:val="18"/>
        </w:rPr>
        <w:t xml:space="preserve">GBS-SETHS Pilot Operations Manual · G.O.D.S Holdings (Pty) Ltd · IP Trust Protected · July 2026</w:t>
      </w:r>
    </w:p>
    <w:p>
      <w:pPr>
        <w:spacing w:after="40"/>
        <w:jc w:val="center"/>
      </w:pPr>
      <w:r>
        <w:rPr>
          <w:color w:val="5B6472"/>
          <w:sz w:val="16"/>
          <w:szCs w:val="16"/>
        </w:rPr>
        <w:t xml:space="preserve">All intellectual property held in the G.O.D.S. IP Trust under the Trust Property Control Act 57 of 1988</w:t>
      </w:r>
    </w:p>
    <w:p>
      <w:pPr>
        <w:spacing w:after="0"/>
        <w:jc w:val="center"/>
      </w:pPr>
      <w:r>
        <w:rPr>
          <w:color w:val="5B6472"/>
          <w:sz w:val="16"/>
          <w:szCs w:val="16"/>
        </w:rPr>
        <w:t xml:space="preserve">Founder &amp; Architect: Sashin J. Singh  ·  sashin.singh@outlook.com  ·  capstoneprojectsjs.netlify.app</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tabs>
        <w:tab w:val="right" w:pos="9026"/>
      </w:tabs>
    </w:pPr>
    <w:r>
      <w:rPr>
        <w:color w:val="5B6472"/>
        <w:sz w:val="15"/>
        <w:szCs w:val="15"/>
      </w:rPr>
      <w:t xml:space="preserve">INSTITUTIONAL · G.O.D.S Holdings (Pty) Ltd · IP Trust Protected</w:t>
    </w:r>
    <w:r>
      <w:rPr>
        <w:color w:val="5B6472"/>
        <w:sz w:val="15"/>
        <w:szCs w:val="15"/>
      </w:rPr>
      <w:t xml:space="preserve">	Page </w:t>
    </w:r>
    <w:r>
      <w:rPr>
        <w:color w:val="5B6472"/>
        <w:sz w:val="15"/>
        <w:szCs w:val="15"/>
      </w:rPr>
      <w:fldChar w:fldCharType="begin"/>
      <w:instrText xml:space="preserve">PAGE</w:instrText>
      <w:fldChar w:fldCharType="separate"/>
      <w:fldChar w:fldCharType="end"/>
    </w:r>
    <w:r>
      <w:rPr>
        <w:color w:val="5B6472"/>
        <w:sz w:val="15"/>
        <w:szCs w:val="15"/>
      </w:rPr>
      <w:t xml:space="preserve"> of </w:t>
    </w:r>
    <w:r>
      <w:rPr>
        <w:color w:val="5B6472"/>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pBdr>
      <w:tabs>
        <w:tab w:val="right" w:pos="9026"/>
      </w:tabs>
    </w:pPr>
    <w:r>
      <w:rPr>
        <w:color w:val="5B6472"/>
        <w:sz w:val="15"/>
        <w:szCs w:val="15"/>
      </w:rPr>
      <w:t xml:space="preserve">G.O.D.S HOLDINGS · GBS-SETHS</w:t>
    </w:r>
    <w:r>
      <w:rPr>
        <w:color w:val="5B6472"/>
        <w:sz w:val="15"/>
        <w:szCs w:val="15"/>
      </w:rPr>
      <w:t xml:space="preserve">	GBS-SETHS Pilot Operations Manual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4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6233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84C" w:sz="8" w:space="4"/>
      </w:pBdr>
      <w:spacing w:after="200" w:before="360"/>
    </w:pPr>
    <w:rPr>
      <w:rFonts w:ascii="Arial" w:cs="Arial" w:eastAsia="Arial" w:hAnsi="Arial"/>
      <w:b/>
      <w:bCs/>
      <w:color w:val="16233A"/>
      <w:sz w:val="30"/>
      <w:szCs w:val="30"/>
    </w:rPr>
  </w:style>
  <w:style w:type="paragraph" w:styleId="Heading2">
    <w:name w:val="Heading 2"/>
    <w:basedOn w:val="Normal"/>
    <w:next w:val="Normal"/>
    <w:qFormat/>
    <w:pPr>
      <w:spacing w:after="140" w:before="280"/>
    </w:pPr>
    <w:rPr>
      <w:rFonts w:ascii="Arial" w:cs="Arial" w:eastAsia="Arial" w:hAnsi="Arial"/>
      <w:b/>
      <w:bCs/>
      <w:color w:val="8C7330"/>
      <w:sz w:val="25"/>
      <w:szCs w:val="25"/>
    </w:rPr>
  </w:style>
  <w:style w:type="paragraph" w:styleId="Heading3">
    <w:name w:val="Heading 3"/>
    <w:basedOn w:val="Normal"/>
    <w:next w:val="Normal"/>
    <w:qFormat/>
    <w:pPr>
      <w:spacing w:after="100" w:before="200"/>
    </w:pPr>
    <w:rPr>
      <w:rFonts w:ascii="Arial" w:cs="Arial" w:eastAsia="Arial" w:hAnsi="Arial"/>
      <w:b/>
      <w:bCs/>
      <w:i/>
      <w:iCs/>
      <w:color w:val="16233A"/>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2026-07-10T02:36:22.830Z</dcterms:created>
  <dcterms:modified xsi:type="dcterms:W3CDTF">2026-07-10T02:36:22.831Z</dcterms:modified>
</cp:coreProperties>
</file>

<file path=docProps/custom.xml><?xml version="1.0" encoding="utf-8"?>
<Properties xmlns="http://schemas.openxmlformats.org/officeDocument/2006/custom-properties" xmlns:vt="http://schemas.openxmlformats.org/officeDocument/2006/docPropsVTypes"/>
</file>