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03 of 11 OF 11</w:t>
      </w:r>
    </w:p>
    <w:p>
      <w:pPr>
        <w:spacing w:after="160"/>
        <w:jc w:val="center"/>
      </w:pPr>
      <w:r>
        <w:rPr>
          <w:b/>
          <w:bCs/>
          <w:color w:val="16233A"/>
          <w:sz w:val="40"/>
          <w:szCs w:val="40"/>
        </w:rPr>
        <w:t xml:space="preserve">Franchise Licensing Handbook</w:t>
      </w:r>
    </w:p>
    <w:p>
      <w:pPr>
        <w:spacing w:after="400"/>
        <w:jc w:val="center"/>
      </w:pPr>
      <w:r>
        <w:rPr>
          <w:i/>
          <w:iCs/>
          <w:color w:val="5B6472"/>
          <w:sz w:val="24"/>
          <w:szCs w:val="24"/>
        </w:rPr>
        <w:t xml:space="preserve">National &amp; Regional Licensing of the GBS-SETHS Standard</w:t>
      </w:r>
    </w:p>
    <w:p>
      <w:pPr>
        <w:spacing w:after="100"/>
        <w:jc w:val="center"/>
      </w:pPr>
      <w:r>
        <w:rPr>
          <w:color w:val="16233A"/>
          <w:sz w:val="20"/>
          <w:szCs w:val="20"/>
        </w:rPr>
        <w:t xml:space="preserve">OPERATIONAL &amp; LEGAL HANDBOOK · GOVERNS LAYERS 2–4 OF THE FIVE-LAYER FRANCHISE ARCHITECTURE</w:t>
      </w:r>
    </w:p>
    <w:p>
      <w:pPr>
        <w:spacing w:after="400"/>
        <w:jc w:val="center"/>
      </w:pPr>
      <w:r>
        <w:rPr>
          <w:color w:val="5B6472"/>
          <w:sz w:val="18"/>
          <w:szCs w:val="18"/>
        </w:rPr>
        <w:t xml:space="preserve">Version 1.0 · July 2026 · Directly answers Outstanding Work Item OW-011 ("GBS Franchise Framework Definition")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Resolves the previously outstanding question of what a 'GBS franchisee' concretely is — this handbook confirms it is all three of geographic (national/regional), operator (delivery), and methodology (constitutional adoption) licensing simultaneously, structured across Layers 2–4</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This document resolves an item already on the Outstanding Work Register.</w:t>
            </w:r>
          </w:p>
          <w:p>
            <w:pPr>
              <w:spacing w:after="160" w:line="276"/>
              <w:jc w:val="left"/>
            </w:pPr>
            <w:r>
              <w:t xml:space="preserve">OW-011 recorded that GBS-SETHS v2.0 already contained the five-layer franchise model, but that SJS might want a standalone franchisee-facing document, and that a clarifying answer on what 'franchisee' means was needed before drafting. SJS's detailed specification for this document — Layer 2/3/4 licensing, eligibility, fees, sanctions, brand use, localisation — answers that question directly: a GBS franchisee is licensed simultaneously at the geographic level (national/regional territory), the operator level (certified to deliver), and the methodology level (constitutionally bound to the GBS standard). This handbook is that standalone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The five-layer franchise architecture and governance table already specified in Document 00, Part II.</w:t>
            </w:r>
          </w:p>
          <w:p>
            <w:pPr>
              <w:spacing w:after="60"/>
            </w:pPr>
            <w:r>
              <w:rPr>
                <w:b/>
                <w:bCs/>
              </w:rPr>
              <w:t xml:space="preserve">How is it communicated?  </w:t>
            </w:r>
            <w:r>
              <w:t xml:space="preserve">To prospective National GBS Authorities, Regional GBS Authorities, and Delivery Operators during due diligence and licence negotiation — this is the document a prospective licensee reads before signing.</w:t>
            </w:r>
          </w:p>
          <w:p>
            <w:pPr>
              <w:spacing w:after="60"/>
            </w:pPr>
            <w:r>
              <w:rPr>
                <w:b/>
                <w:bCs/>
              </w:rPr>
              <w:t xml:space="preserve">How is it transported?  </w:t>
            </w:r>
            <w:r>
              <w:t xml:space="preserve">Through the licence agreement itself, the certification chain, and UDOC's compliance-tracking modules.</w:t>
            </w:r>
          </w:p>
          <w:p>
            <w:pPr>
              <w:spacing w:after="60"/>
            </w:pPr>
            <w:r>
              <w:rPr>
                <w:b/>
                <w:bCs/>
              </w:rPr>
              <w:t xml:space="preserve">How is it received?  </w:t>
            </w:r>
            <w:r>
              <w:t xml:space="preserve">By each layer of licensee, who inherits both the commercial opportunity and the constitutional obligations of the tier above it.</w:t>
            </w:r>
          </w:p>
          <w:p>
            <w:pPr>
              <w:spacing w:after="60"/>
            </w:pPr>
            <w:r>
              <w:rPr>
                <w:b/>
                <w:bCs/>
              </w:rPr>
              <w:t xml:space="preserve">How is learning/compliance verified?  </w:t>
            </w:r>
            <w:r>
              <w:t xml:space="preserve">Through the Annual Compliance Audit, outcome-underperformance flags, and UDOC's sealed audit trail — see Document 00 §6.1.</w:t>
            </w:r>
          </w:p>
          <w:p>
            <w:pPr>
              <w:spacing w:after="60"/>
            </w:pPr>
            <w:r>
              <w:rPr>
                <w:b/>
                <w:bCs/>
              </w:rPr>
              <w:t xml:space="preserve">How is the process repeated?  </w:t>
            </w:r>
            <w:r>
              <w:t xml:space="preserve">Every licence renewal cycle (annual for Layer 3/4, per-term for Layer 2) re-tests eligibility and performance.</w:t>
            </w:r>
          </w:p>
          <w:p>
            <w:pPr>
              <w:spacing w:after="0"/>
            </w:pPr>
            <w:r>
              <w:rPr>
                <w:b/>
                <w:bCs/>
              </w:rPr>
              <w:t xml:space="preserve">How does it scale to civilisational level?  </w:t>
            </w:r>
            <w:r>
              <w:t xml:space="preserve">This is the literal mechanism by which one Johannesburg pilot becomes a 20-node global network by Year 25 (Document 00, Part VII, Stage 6) without diluting the constitutional standard at any node.</w:t>
            </w:r>
          </w:p>
        </w:tc>
      </w:tr>
    </w:tbl>
    <w:p>
      <w:r>
        <w:br w:type="page"/>
      </w:r>
    </w:p>
    <w:p>
      <w:pPr>
        <w:pStyle w:val="Heading1"/>
      </w:pPr>
      <w:r>
        <w:t xml:space="preserve">1. Licence Types</w:t>
      </w:r>
    </w:p>
    <w:p>
      <w:pPr>
        <w:spacing w:after="160" w:line="276"/>
        <w:jc w:val="left"/>
      </w:pPr>
      <w:r>
        <w:t xml:space="preserve">Three licence types operate beneath GBS Global (Layer 1), which is never itself licensed — it is the constitutional and IP-owning authority from which every licence flows.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900"/>
        <w:gridCol w:w="3960"/>
        <w:gridCol w:w="2400"/>
      </w:tblGrid>
      <w:tr>
        <w:trPr>
          <w:tblHeader/>
        </w:trPr>
        <w:tc>
          <w:tcPr>
            <w:tcW w:type="dxa" w:w="21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Licence Type</w:t>
            </w:r>
          </w:p>
        </w:tc>
        <w:tc>
          <w:tcPr>
            <w:tcW w:type="dxa" w:w="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Layer</w:t>
            </w:r>
          </w:p>
        </w:tc>
        <w:tc>
          <w:tcPr>
            <w:tcW w:type="dxa" w:w="3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It Grants</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Who Holds It</w:t>
            </w:r>
          </w:p>
        </w:tc>
      </w:tr>
      <w:tr>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Licence</w:t>
            </w:r>
          </w:p>
        </w:tc>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Exclusive right to operate the GBS-SETHS standard within a defined national territory; authority to grant Regional sub-licences within that territory; obligation to localise within the 20% adaptation allowance.</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One National GBS Authority per country — typically a credible local NGO, government-aligned workforce agency, or (in South Africa's Phase 1) G.O.D.S Holdings directly</w:t>
            </w:r>
          </w:p>
        </w:tc>
      </w:tr>
      <w:tr>
        <w:tc>
          <w:tcPr>
            <w:tcW w:type="dxa" w:w="21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Sub-Licence</w:t>
            </w:r>
          </w:p>
        </w:tc>
        <w:tc>
          <w:tcPr>
            <w:tcW w:type="dxa" w:w="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3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Right to operate within a province/state/metro area under a National Licence; authority to certify Delivery Operators within that region.</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GBS Authority, sub-licensed from Layer 2</w:t>
            </w:r>
          </w:p>
        </w:tc>
      </w:tr>
      <w:tr>
        <w:tc>
          <w:tcPr>
            <w:tcW w:type="dxa" w:w="21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Delivery Operator Certification</w:t>
            </w:r>
          </w:p>
        </w:tc>
        <w:tc>
          <w:tcPr>
            <w:tcW w:type="dxa" w:w="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3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Right to deliver the GBS-SETHS curriculum under Regional GBS supervision; does not include methodology ownership or sub-licensing rights.</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Accredited training providers, NGOs, TVET colleges, corporate skills departments, rehabilitation/veterans/prison-reintegration programmes</w:t>
            </w:r>
          </w:p>
        </w:tc>
      </w:tr>
    </w:tbl>
    <w:p>
      <w:pPr>
        <w:spacing w:after="160" w:line="276"/>
        <w:jc w:val="left"/>
      </w:pPr>
      <w:r>
        <w:t xml:space="preserve">Layer 5 (Certified Employer Ecosystems) is deliberately not a licence type — employer partners are bound by MOU and the Absorption Commitment Clause (Document 00 §6.3), not by a franchise agreement, because they are consumers of the graduate pipeline, not deliverers of the methodology. Full detail: Document 05.</w:t>
      </w:r>
    </w:p>
    <w:p>
      <w:pPr>
        <w:pStyle w:val="Heading1"/>
      </w:pPr>
      <w:r>
        <w:t xml:space="preserve">2. Eligibility &amp; Due Diligence</w:t>
      </w:r>
    </w:p>
    <w:p>
      <w:pPr>
        <w:spacing w:after="160" w:line="276"/>
        <w:jc w:val="left"/>
      </w:pPr>
      <w:r>
        <w:t xml:space="preserve">No licence — at any layer — is granted without passing all three of the checks below. This is deliberately more than a commercial credit check: a franchise licence extends constitutional authority, and G.O.D.S Holdings is exposed to reputational and constitutional risk for every node it certifies.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900"/>
        <w:gridCol w:w="2760"/>
      </w:tblGrid>
      <w:tr>
        <w:trPr>
          <w:tblHeader/>
        </w:trPr>
        <w:tc>
          <w:tcPr>
            <w:tcW w:type="dxa" w:w="1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Check</w:t>
            </w:r>
          </w:p>
        </w:tc>
        <w:tc>
          <w:tcPr>
            <w:tcW w:type="dxa" w:w="49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Is Assessed</w:t>
            </w:r>
          </w:p>
        </w:tc>
        <w:tc>
          <w:tcPr>
            <w:tcW w:type="dxa" w:w="2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Who Assesses It</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Financial</w:t>
            </w:r>
          </w:p>
        </w:tc>
        <w:tc>
          <w:tcPr>
            <w:tcW w:type="dxa" w:w="4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Solvency, funding runway sufficient to operate at least one full cohort cycle without licence-fee default, no history of misappropriation of donor/government funds</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GBS Global finance function, or National GBS for Layer 3/4 applicants</w:t>
            </w:r>
          </w:p>
        </w:tc>
      </w:tr>
      <w:tr>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Governance</w:t>
            </w:r>
          </w:p>
        </w:tc>
        <w:tc>
          <w:tcPr>
            <w:tcW w:type="dxa" w:w="49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Board/leadership structure, existing safeguarding policy (or willingness to adopt GBS-SETHS's), no disqualifying conflicts of interest (mirroring the COB disqualification criteria in Document 01, Part Five)</w:t>
            </w:r>
          </w:p>
        </w:tc>
        <w:tc>
          <w:tcPr>
            <w:tcW w:type="dxa" w:w="2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Global legal function</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Alignment</w:t>
            </w:r>
          </w:p>
        </w:tc>
        <w:tc>
          <w:tcPr>
            <w:tcW w:type="dxa" w:w="49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Demonstrated understanding of and commitment to the Twelve Pillars and Five Foundational Pillars — assessed through a structured interview, not a signature on a form</w:t>
            </w:r>
          </w:p>
        </w:tc>
        <w:tc>
          <w:tcPr>
            <w:tcW w:type="dxa" w:w="2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COB (once constituted) or GBS Global pending constitution</w:t>
            </w:r>
          </w:p>
        </w:tc>
      </w:tr>
    </w:tbl>
    <w:p>
      <w:pPr>
        <w:pStyle w:val="Heading1"/>
      </w:pPr>
      <w:r>
        <w:t xml:space="preserve">3. Licence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5460"/>
        <w:gridCol w:w="2200"/>
      </w:tblGrid>
      <w:tr>
        <w:trPr>
          <w:tblHeader/>
        </w:trPr>
        <w:tc>
          <w:tcPr>
            <w:tcW w:type="dxa" w:w="17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Obligation</w:t>
            </w:r>
          </w:p>
        </w:tc>
        <w:tc>
          <w:tcPr>
            <w:tcW w:type="dxa" w:w="54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Detail</w:t>
            </w:r>
          </w:p>
        </w:tc>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Applies To</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Reporting cadence</w:t>
            </w:r>
          </w:p>
        </w:tc>
        <w:tc>
          <w:tcPr>
            <w:tcW w:type="dxa" w:w="5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Monthly outcome data submission to UDOC; annual constitutional self-assessment; immediate notification of any incident implicating a Constitutional Pillar</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All layers</w:t>
            </w:r>
          </w:p>
        </w:tc>
      </w:tr>
      <w:tr>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 integration</w:t>
            </w:r>
          </w:p>
        </w:tc>
        <w:tc>
          <w:tcPr>
            <w:tcW w:type="dxa" w:w="5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Identity, Education, and Compliance Layer modules configured and live before the first cohort under the licence begins — no licensee may run on parallel, non-UDOC systems</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Layers 2–4</w:t>
            </w:r>
          </w:p>
        </w:tc>
      </w:tr>
      <w:tr>
        <w:tc>
          <w:tcPr>
            <w:tcW w:type="dxa" w:w="17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Skills Passport issuance</w:t>
            </w:r>
          </w:p>
        </w:tc>
        <w:tc>
          <w:tcPr>
            <w:tcW w:type="dxa" w:w="54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Every participant receives and retains a Skills Passport (Document 04) regardless of which node they were served by</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Layers 3–4 (delivery point)</w:t>
            </w:r>
          </w:p>
        </w:tc>
      </w:tr>
      <w:tr>
        <w:tc>
          <w:tcPr>
            <w:tcW w:type="dxa" w:w="17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Audit rights</w:t>
            </w:r>
          </w:p>
        </w:tc>
        <w:tc>
          <w:tcPr>
            <w:tcW w:type="dxa" w:w="54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Global, and the relevant Layer 2/3 authority above, retain the right to audit outcome and financial records relevant to constitutional and licence compliance at any time with reasonable notice, and immediately in the event of a flagged violation</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All layers</w:t>
            </w:r>
          </w:p>
        </w:tc>
      </w:tr>
    </w:tbl>
    <w:p>
      <w:pPr>
        <w:pStyle w:val="Heading1"/>
      </w:pPr>
      <w:r>
        <w:t xml:space="preserve">4. Fees &amp; Revenue Model</w:t>
      </w:r>
    </w:p>
    <w:p>
      <w:pPr>
        <w:spacing w:after="160" w:line="276"/>
        <w:jc w:val="left"/>
      </w:pPr>
      <w:r>
        <w:t xml:space="preserve">The franchise economics are set out in full in Document 00 §6.2 and modelled with scenario tabs in Document 07 (Financial Model Workbook). Reproduced here as the licensee-facing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Revenue Stream</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Payer</w:t>
            </w:r>
          </w:p>
        </w:tc>
        <w:tc>
          <w:tcPr>
            <w:tcW w:type="dxa" w:w="4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Structure</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Franchise Licence fee</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National GBS (Layer 2)</w:t>
            </w:r>
          </w:p>
        </w:tc>
        <w:tc>
          <w:tcPr>
            <w:tcW w:type="dxa" w:w="4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Upfront fee + annual renewal + % of cohort revenue shared upward to GBS Global. Rate negotiated per country by GDP/capita and market size.</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Sub-Licence fee</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Regional GBS (Layer 3)</w:t>
            </w:r>
          </w:p>
        </w:tc>
        <w:tc>
          <w:tcPr>
            <w:tcW w:type="dxa" w:w="4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Annual fee to National GBS, covering branded curriculum, UDOC-governed case management systems, and the certified facilitator pool.</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Delivery Operator Certification fee</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Layer 4 operators</w:t>
            </w:r>
          </w:p>
        </w:tc>
        <w:tc>
          <w:tcPr>
            <w:tcW w:type="dxa" w:w="4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certification fee; recertification every 24 months.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Outcome-based government funding</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Government payer (SETA/EPWP/DSD/DCS)</w:t>
            </w:r>
          </w:p>
        </w:tc>
        <w:tc>
          <w:tcPr>
            <w:tcW w:type="dxa" w:w="4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Flows to the delivery point per verified 90-day placement — this is revenue the licensee earns, not a fee it pays.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Upfront fees are waived, not charged, during the pre-registration and Phase 1 pilot.</w:t>
            </w:r>
          </w:p>
          <w:p>
            <w:pPr>
              <w:spacing w:after="160" w:line="276"/>
              <w:jc w:val="left"/>
            </w:pPr>
            <w:r>
              <w:t xml:space="preserve">G.O.D.S Holdings operates the South Africa pilot directly (Document 00, Part VII, Stage 1) — there is no Layer 2/3 licensee to charge yet. The fee schedule above becomes live at Stage 4 (first international node). Presenting these fees as already being collected, before a second node exists, would misstate the current stage.</w:t>
            </w:r>
          </w:p>
        </w:tc>
      </w:tr>
    </w:tbl>
    <w:p>
      <w:pPr>
        <w:pStyle w:val="Heading1"/>
      </w:pPr>
      <w:r>
        <w:t xml:space="preserve">5. Performance &amp; Sanctions</w:t>
      </w:r>
    </w:p>
    <w:p>
      <w:pPr>
        <w:spacing w:after="160" w:line="276"/>
        <w:jc w:val="left"/>
      </w:pPr>
      <w:r>
        <w:t xml:space="preserve">Identical to the Franchise Governance table in Document 00 §6.1, restated here as the licensee's own reference rather than requiring cross-document lookup: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600"/>
        <w:gridCol w:w="31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Mechanism</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c>
          <w:tcPr>
            <w:tcW w:type="dxa" w:w="3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Outcome</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Compliance Audit</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All active nodes, mandatory</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Certification renewed or conditional status applied</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Underperformance Flag</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&gt;20% below minimum placement benchmark for two consecutive cohorts</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Probation; intensified monitoring</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Violation</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breach of the Twelve Pillars</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Immediate provisional BLOCK; remediation required</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Licence Revocation</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Repeated violation or fraud</w:t>
            </w:r>
          </w:p>
        </w:tc>
        <w:tc>
          <w:tcPr>
            <w:tcW w:type="dxa" w:w="3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COB decision (3/5); node removed; participants transferred to an adjacent node</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Appeal</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node subject to revocation</w:t>
            </w:r>
          </w:p>
        </w:tc>
        <w:tc>
          <w:tcPr>
            <w:tcW w:type="dxa" w:w="3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Formal submission to GBS Global within 30 days; COB hearing is final and binding</w:t>
            </w:r>
          </w:p>
        </w:tc>
      </w:tr>
    </w:tbl>
    <w:p>
      <w:pPr>
        <w:pStyle w:val="Heading1"/>
      </w:pPr>
      <w:r>
        <w:t xml:space="preserve">6. Brand &amp; IP Use</w:t>
      </w:r>
    </w:p>
    <w:p>
      <w:pPr>
        <w:pStyle w:val="ListParagraph"/>
        <w:numPr>
          <w:ilvl w:val="0"/>
          <w:numId w:val="2"/>
        </w:numPr>
        <w:spacing w:after="100" w:line="276"/>
      </w:pPr>
      <w:r>
        <w:t xml:space="preserve">The compass-and-shield mark, the GBS-SETHS name, and the curriculum are licensed for use, never assigned or sold — ownership remains with the G.O.D.S IP Trust at all times, consistent with Document 01, Part Six.</w:t>
      </w:r>
    </w:p>
    <w:p>
      <w:pPr>
        <w:pStyle w:val="ListParagraph"/>
        <w:numPr>
          <w:ilvl w:val="0"/>
          <w:numId w:val="2"/>
        </w:numPr>
        <w:spacing w:after="100" w:line="276"/>
      </w:pPr>
      <w:r>
        <w:t xml:space="preserve">Brand application follows the G.O.D.S Brand Manual v2 (navy #060E1C / gold #C9A84C, compass-and-shield mark) — never recoloured, distorted, cropped, hand-redrawn, or mixed across divisions.</w:t>
      </w:r>
    </w:p>
    <w:p>
      <w:pPr>
        <w:pStyle w:val="ListParagraph"/>
        <w:numPr>
          <w:ilvl w:val="0"/>
          <w:numId w:val="2"/>
        </w:numPr>
        <w:spacing w:after="100" w:line="276"/>
      </w:pPr>
      <w:r>
        <w:t xml:space="preserve">Document classification ladder applies to every licensee: OPEN → INSTITUTIONAL → CONFIDENTIAL → RESTRICTED. A licensee mishandling a CONFIDENTIAL document (e.g. this handbook's fee schedule) is itself a compliance matter.</w:t>
      </w:r>
    </w:p>
    <w:p>
      <w:pPr>
        <w:pStyle w:val="ListParagraph"/>
        <w:numPr>
          <w:ilvl w:val="0"/>
          <w:numId w:val="2"/>
        </w:numPr>
        <w:spacing w:after="100" w:line="276"/>
      </w:pPr>
      <w:r>
        <w:t xml:space="preserve">On licence termination for any reason, all branded materials, curriculum copies, and UDOC access credentials are retrieved or revoked within 30 days.</w:t>
      </w:r>
    </w:p>
    <w:p>
      <w:pPr>
        <w:pStyle w:val="Heading1"/>
      </w:pPr>
      <w:r>
        <w:t xml:space="preserve">7. Local Adaptation Allowance</w:t>
      </w:r>
    </w:p>
    <w:p>
      <w:pPr>
        <w:spacing w:after="160" w:line="276"/>
        <w:jc w:val="left"/>
      </w:pPr>
      <w:r>
        <w:t xml:space="preserve">Every licensee operates within the 20%-adapts / 80%-never-moves rule already established in Document 00 §14 and the Four Deployment Layers table. The 80% that never changes: the Five Foundational Pillars, the CET/CTE methodology, the UDOC outcome-governance architecture, the Self-Affirmation Contract, and the Phase 6 lifetime re-entry commitment. The 20% that adapts: language of delivery, vocational pathway alignment to local industry, regulatory accreditation pathway, and employer ecosystem composition. Any localisation request outside this allowance requires GBS Global sign-off via the form in Annex C below — a licensee does not have unilateral authority to decide a proposed change fits within the 20%.</w:t>
      </w:r>
    </w:p>
    <w:p>
      <w:pPr>
        <w:pStyle w:val="Heading1"/>
      </w:pPr>
      <w:r>
        <w:t xml:space="preserve">Templates &amp; Annexes</w:t>
      </w:r>
    </w:p>
    <w:p>
      <w:pPr>
        <w:pStyle w:val="Heading2"/>
      </w:pPr>
      <w:r>
        <w:t xml:space="preserve">Annex A — Licence Agreement Template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Section</w:t>
            </w:r>
          </w:p>
        </w:tc>
        <w:tc>
          <w:tcPr>
            <w:tcW w:type="dxa" w:w="6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Content</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Parties &amp; Territory</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Licensor (GBS Global or the relevant upstream Layer) and Licensee; defined geographic or operational scope</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Grant of Rights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Licence type per Section 1 above; explicit non-transferability</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Obligations</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Section 3 above, incorporated by reference</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Fees</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Section 4 schedule, with the specific negotiated rate for this licensee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Term &amp; Renewal</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Initial term, renewal conditions, and the performance thresholds that trigger non-renewal</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Termination &amp; Revocation</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Section 5 mechanisms, incorporated by reference</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Incorporation</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Express acceptance of the Twelve Pillars and the COB's binding authority (Document 01)</w:t>
            </w:r>
          </w:p>
        </w:tc>
      </w:tr>
    </w:tbl>
    <w:p>
      <w:pPr>
        <w:pStyle w:val="Heading2"/>
      </w:pPr>
      <w:r>
        <w:t xml:space="preserve">Annex B — Performance Covenant Schedule</w:t>
      </w:r>
    </w:p>
    <w:p>
      <w:pPr>
        <w:spacing w:after="160" w:line="276"/>
        <w:jc w:val="left"/>
      </w:pPr>
      <w:r>
        <w:t xml:space="preserve">Minimum placement benchmark, minimum curriculum-fidelity score, and minimum reporting-timeliness standard, set per licence at signing and reviewed at each Annual Compliance Audit.</w:t>
      </w:r>
    </w:p>
    <w:p>
      <w:pPr>
        <w:pStyle w:val="Heading2"/>
      </w:pPr>
      <w:r>
        <w:t xml:space="preserve">Annex C — Localisation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Field</w:t>
            </w:r>
          </w:p>
        </w:tc>
        <w:tc>
          <w:tcPr>
            <w:tcW w:type="dxa" w:w="6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Content</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Proposed adaptation</w:t>
            </w:r>
          </w:p>
        </w:tc>
        <w:tc>
          <w:tcPr>
            <w:tcW w:type="dxa" w:w="6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Specific description of what the licensee wants to change</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Layer classification claimed</w:t>
            </w:r>
          </w:p>
        </w:tc>
        <w:tc>
          <w:tcPr>
            <w:tcW w:type="dxa" w:w="6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Country / Industry / Community (Document 00 §14)</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Justification</w:t>
            </w:r>
          </w:p>
        </w:tc>
        <w:tc>
          <w:tcPr>
            <w:tcW w:type="dxa" w:w="6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Why the 80% core cannot deliver the intended outcome without this change</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GBS Global determination</w:t>
            </w:r>
          </w:p>
        </w:tc>
        <w:tc>
          <w:tcPr>
            <w:tcW w:type="dxa" w:w="6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Approved / Approved with conditions / Rejected, with reasoning logged to UDOC</w:t>
            </w:r>
          </w:p>
        </w:tc>
      </w:tr>
    </w:tbl>
    <w:p>
      <w:pPr>
        <w:pStyle w:val="Heading2"/>
      </w:pPr>
      <w:r>
        <w:t xml:space="preserve">Annex D — Audit Checklist</w:t>
      </w:r>
    </w:p>
    <w:p>
      <w:pPr>
        <w:pStyle w:val="ListParagraph"/>
        <w:numPr>
          <w:ilvl w:val="0"/>
          <w:numId w:val="2"/>
        </w:numPr>
        <w:spacing w:after="100" w:line="276"/>
      </w:pPr>
      <w:r>
        <w:t xml:space="preserve">UDOC modules live and data current within the required reporting window</w:t>
      </w:r>
    </w:p>
    <w:p>
      <w:pPr>
        <w:pStyle w:val="ListParagraph"/>
        <w:numPr>
          <w:ilvl w:val="0"/>
          <w:numId w:val="2"/>
        </w:numPr>
        <w:spacing w:after="100" w:line="276"/>
      </w:pPr>
      <w:r>
        <w:t xml:space="preserve">Curriculum-fidelity sample review (minimum 90% adherence)</w:t>
      </w:r>
    </w:p>
    <w:p>
      <w:pPr>
        <w:pStyle w:val="ListParagraph"/>
        <w:numPr>
          <w:ilvl w:val="0"/>
          <w:numId w:val="2"/>
        </w:numPr>
        <w:spacing w:after="100" w:line="276"/>
      </w:pPr>
      <w:r>
        <w:t xml:space="preserve">Facilitator certification records current</w:t>
      </w:r>
    </w:p>
    <w:p>
      <w:pPr>
        <w:pStyle w:val="ListParagraph"/>
        <w:numPr>
          <w:ilvl w:val="0"/>
          <w:numId w:val="2"/>
        </w:numPr>
        <w:spacing w:after="100" w:line="276"/>
      </w:pPr>
      <w:r>
        <w:t xml:space="preserve">Constitutional self-assessment submitted and no unresolved Pillar flags</w:t>
      </w:r>
    </w:p>
    <w:p>
      <w:pPr>
        <w:pStyle w:val="ListParagraph"/>
        <w:numPr>
          <w:ilvl w:val="0"/>
          <w:numId w:val="2"/>
        </w:numPr>
        <w:spacing w:after="100" w:line="276"/>
      </w:pPr>
      <w:r>
        <w:t xml:space="preserve">Fee payments current</w:t>
      </w:r>
    </w:p>
    <w:p>
      <w:pPr>
        <w:pStyle w:val="Heading1"/>
      </w:pPr>
      <w:r>
        <w:t xml:space="preserve">Implementation Checklist</w:t>
      </w:r>
    </w:p>
    <w:p>
      <w:pPr>
        <w:pStyle w:val="ListParagraph"/>
        <w:numPr>
          <w:ilvl w:val="0"/>
          <w:numId w:val="3"/>
        </w:numPr>
        <w:spacing w:after="100" w:line="276"/>
      </w:pPr>
      <w:r>
        <w:t xml:space="preserve">Confirm this handbook against SJS's original franchise intent before external use — specifically, that 'franchisee' is intended to mean all three of geographic, operator, and methodology licensing simultaneously, as drafted here.</w:t>
      </w:r>
    </w:p>
    <w:p>
      <w:pPr>
        <w:pStyle w:val="ListParagraph"/>
        <w:numPr>
          <w:ilvl w:val="0"/>
          <w:numId w:val="3"/>
        </w:numPr>
        <w:spacing w:after="100" w:line="276"/>
      </w:pPr>
      <w:r>
        <w:t xml:space="preserve">Draft the binding legal version of Annex A with a qualified commercial attorney ahead of the first Layer 2 licence (Document 00, Part VII, Stage 4).</w:t>
      </w:r>
    </w:p>
    <w:p>
      <w:pPr>
        <w:pStyle w:val="ListParagraph"/>
        <w:numPr>
          <w:ilvl w:val="0"/>
          <w:numId w:val="3"/>
        </w:numPr>
        <w:spacing w:after="100" w:line="276"/>
      </w:pPr>
      <w:r>
        <w:t xml:space="preserve">Do not issue any licence, or represent any fee as currently being collected, until the South Africa pilot (Stage 1) has produced outcome evidence — see the flagged note in Section 4.</w:t>
      </w:r>
    </w:p>
    <w:p>
      <w:pPr>
        <w:pBdr>
          <w:bottom w:val="single" w:color="C9A84C" w:sz="6"/>
        </w:pBdr>
        <w:spacing w:after="120" w:before="120"/>
      </w:pPr>
    </w:p>
    <w:p>
      <w:pPr>
        <w:spacing w:after="40" w:before="200"/>
        <w:jc w:val="center"/>
      </w:pPr>
      <w:r>
        <w:rPr>
          <w:color w:val="5B6472"/>
          <w:sz w:val="18"/>
          <w:szCs w:val="18"/>
        </w:rPr>
        <w:t xml:space="preserve">GBS-SETHS Franchise Licensing Handbook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Franchise Licensing Handbook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2026-07-10T02:37:34.574Z</dcterms:created>
  <dcterms:modified xsi:type="dcterms:W3CDTF">2026-07-10T02:37:34.574Z</dcterms:modified>
</cp:coreProperties>
</file>

<file path=docProps/custom.xml><?xml version="1.0" encoding="utf-8"?>
<Properties xmlns="http://schemas.openxmlformats.org/officeDocument/2006/custom-properties" xmlns:vt="http://schemas.openxmlformats.org/officeDocument/2006/docPropsVTypes"/>
</file>