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b/>
          <w:bCs/>
          <w:color w:val="16233A"/>
          <w:sz w:val="22"/>
          <w:szCs w:val="22"/>
        </w:rPr>
        <w:t xml:space="preserve">G . O . D . S   H O L D I N G S</w:t>
      </w:r>
    </w:p>
    <w:p>
      <w:pPr>
        <w:spacing w:after="320"/>
        <w:jc w:val="center"/>
      </w:pPr>
      <w:r>
        <w:rPr>
          <w:color w:val="5B6472"/>
          <w:sz w:val="16"/>
          <w:szCs w:val="16"/>
        </w:rPr>
        <w:t xml:space="preserve">GOOD ORDERLY DIRECTIONAL SYSTEMS  ·  GBS-SETHS INSTITUTIONAL READINESS PACKAGE</w:t>
      </w:r>
    </w:p>
    <w:p>
      <w:pPr>
        <w:spacing w:after="120"/>
        <w:jc w:val="center"/>
      </w:pPr>
      <w:r>
        <w:rPr>
          <w:b/>
          <w:bCs/>
          <w:color w:val="8C7330"/>
          <w:sz w:val="18"/>
          <w:szCs w:val="18"/>
        </w:rPr>
        <w:t xml:space="preserve">DOCUMENT 04 of 11 OF 11</w:t>
      </w:r>
    </w:p>
    <w:p>
      <w:pPr>
        <w:spacing w:after="160"/>
        <w:jc w:val="center"/>
      </w:pPr>
      <w:r>
        <w:rPr>
          <w:b/>
          <w:bCs/>
          <w:color w:val="16233A"/>
          <w:sz w:val="40"/>
          <w:szCs w:val="40"/>
        </w:rPr>
        <w:t xml:space="preserve">Skills Passport Technical Standard</w:t>
      </w:r>
    </w:p>
    <w:p>
      <w:pPr>
        <w:spacing w:after="400"/>
        <w:jc w:val="center"/>
      </w:pPr>
      <w:r>
        <w:rPr>
          <w:i/>
          <w:iCs/>
          <w:color w:val="5B6472"/>
          <w:sz w:val="24"/>
          <w:szCs w:val="24"/>
        </w:rPr>
        <w:t xml:space="preserve">UDOC &amp; GIS Integration Specification</w:t>
      </w:r>
    </w:p>
    <w:p>
      <w:pPr>
        <w:spacing w:after="100"/>
        <w:jc w:val="center"/>
      </w:pPr>
      <w:r>
        <w:rPr>
          <w:color w:val="16233A"/>
          <w:sz w:val="20"/>
          <w:szCs w:val="20"/>
        </w:rPr>
        <w:t xml:space="preserve">TECHNICAL SPECIFICATION · DATA MODEL, VERIFICATION, AND GOVERNANCE OF THE LIFETIME PARTICIPANT CREDENTIAL</w:t>
      </w:r>
    </w:p>
    <w:p>
      <w:pPr>
        <w:spacing w:after="400"/>
        <w:jc w:val="center"/>
      </w:pPr>
      <w:r>
        <w:rPr>
          <w:color w:val="5B6472"/>
          <w:sz w:val="18"/>
          <w:szCs w:val="18"/>
        </w:rPr>
        <w:t xml:space="preserve">Version 1.0 · July 2026 · Implements the Skills Passport concept introduced in Document 00, Part III, Section 10.1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60"/>
            </w:pPr>
            <w:r>
              <w:rPr>
                <w:b/>
                <w:bCs/>
              </w:rPr>
              <w:t xml:space="preserve">Architect &amp; Founder:  </w:t>
            </w:r>
            <w:r>
              <w:t xml:space="preserve">Sashin J. Singh</w:t>
            </w:r>
          </w:p>
          <w:p>
            <w:pPr>
              <w:spacing w:after="60"/>
            </w:pPr>
            <w:r>
              <w:rPr>
                <w:b/>
                <w:bCs/>
              </w:rPr>
              <w:t xml:space="preserve">Institution:  </w:t>
            </w:r>
            <w:r>
              <w:t xml:space="preserve">G.O.D.S Holdings (Pty) Ltd — Pre-Registration, Johannesburg, South Africa</w:t>
            </w:r>
          </w:p>
          <w:p>
            <w:pPr>
              <w:spacing w:after="60"/>
            </w:pPr>
            <w:r>
              <w:rPr>
                <w:b/>
                <w:bCs/>
              </w:rPr>
              <w:t xml:space="preserve">IP Custodian:  </w:t>
            </w:r>
            <w:r>
              <w:t xml:space="preserve">G.O.D.S IP Trust — Trust Property Control Act 57 of 1988</w:t>
            </w:r>
          </w:p>
          <w:p>
            <w:pPr>
              <w:spacing w:after="60"/>
            </w:pPr>
            <w:r>
              <w:rPr>
                <w:b/>
                <w:bCs/>
              </w:rPr>
              <w:t xml:space="preserve">Document Classification:  </w:t>
            </w:r>
            <w:r>
              <w:t xml:space="preserve">INSTITUTIONAL — Cover Letter Required for External Distribution; Annex A (schema) may be shared CONFIDENTIAL with developer partners</w:t>
            </w:r>
          </w:p>
          <w:p>
            <w:pPr>
              <w:spacing w:after="0"/>
            </w:pPr>
            <w:r>
              <w:rPr>
                <w:b/>
                <w:bCs/>
              </w:rPr>
              <w:t xml:space="preserve">Package:  </w:t>
            </w:r>
            <w:r>
              <w:t xml:space="preserve">GBS-SETHS Institutional Readiness Package — consolidating GBS-SETHS Framework v1.0/v2.0 with 10 companion registration-grade instruments</w:t>
            </w:r>
          </w:p>
        </w:tc>
      </w:tr>
    </w:tbl>
    <w:p>
      <w:pPr>
        <w:spacing w:after="3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0"/>
            </w:pPr>
            <w:r>
              <w:rPr>
                <w:b/>
                <w:bCs/>
              </w:rPr>
              <w:t xml:space="preserve">Authorship declaration.  </w:t>
            </w:r>
            <w:r>
              <w:t xml:space="preserve">This document translates a decade of Sashin J. Singh's original institutional architecture — conceived 2016 (Seth's Empire, Johannesburg), continuously refined through personal, academic, and lived development, and previously formalised in GBS-SETHS v1.0/v2.0, the G.O.D.S. data room, and the live institutional platform — into a registration-grade instrument. AI production tools were used to draft, structure, cross-reference, and format this document from that existing body of work and from SJS's direct specification of its required structure and content. The architecture, the pillars, the methodology, the terminology, and the decade of lived commitment are SJS's own. AI did not originate the institutional design; it produced the document.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1600"/>
        <w:gridCol w:w="2360"/>
        <w:gridCol w:w="4000"/>
      </w:tblGrid>
      <w:tr>
        <w:trPr>
          <w:tblHeader/>
        </w:trPr>
        <w:tc>
          <w:tcPr>
            <w:tcW w:type="dxa" w:w="1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Version</w:t>
            </w:r>
          </w:p>
        </w:tc>
        <w:tc>
          <w:tcPr>
            <w:tcW w:type="dxa" w:w="1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Date</w:t>
            </w:r>
          </w:p>
        </w:tc>
        <w:tc>
          <w:tcPr>
            <w:tcW w:type="dxa" w:w="23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Author</w:t>
            </w:r>
          </w:p>
        </w:tc>
        <w:tc>
          <w:tcPr>
            <w:tcW w:type="dxa" w:w="40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Change Summary</w:t>
            </w:r>
          </w:p>
        </w:tc>
      </w:tr>
      <w:tr>
        <w:tc>
          <w:tcPr>
            <w:tcW w:type="dxa" w:w="1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1.0</w:t>
            </w:r>
          </w:p>
        </w:tc>
        <w:tc>
          <w:tcPr>
            <w:tcW w:type="dxa" w:w="1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July 2026</w:t>
            </w:r>
          </w:p>
        </w:tc>
        <w:tc>
          <w:tcPr>
            <w:tcW w:type="dxa" w:w="23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SJS + AI documentation assistance</w:t>
            </w:r>
          </w:p>
        </w:tc>
        <w:tc>
          <w:tcPr>
            <w:tcW w:type="dxa" w:w="40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First issue — technical specification derived from the Skills Passport concept in GBS-SETHS v2.0 and the UDOC Nine-Module Architecture, extended into a developer-ready data model and API surface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Systemic trace — the seven GBS questions this document answers</w:t>
            </w:r>
          </w:p>
          <w:p>
            <w:pPr>
              <w:spacing w:after="60"/>
            </w:pPr>
            <w:r>
              <w:rPr>
                <w:b/>
                <w:bCs/>
              </w:rPr>
              <w:t xml:space="preserve">What information exists?  </w:t>
            </w:r>
            <w:r>
              <w:t xml:space="preserve">Every qualification, certification, competency, and AI Readiness Score a participant earns across their lifetime, anywhere in the GBS-SETHS network.</w:t>
            </w:r>
          </w:p>
          <w:p>
            <w:pPr>
              <w:spacing w:after="60"/>
            </w:pPr>
            <w:r>
              <w:rPr>
                <w:b/>
                <w:bCs/>
              </w:rPr>
              <w:t xml:space="preserve">How is it communicated?  </w:t>
            </w:r>
            <w:r>
              <w:t xml:space="preserve">To the participant themselves (who owns it), to employers and education institutions (who verify it), and to GIS (which updates it).</w:t>
            </w:r>
          </w:p>
          <w:p>
            <w:pPr>
              <w:spacing w:after="60"/>
            </w:pPr>
            <w:r>
              <w:rPr>
                <w:b/>
                <w:bCs/>
              </w:rPr>
              <w:t xml:space="preserve">How is it transported?  </w:t>
            </w:r>
            <w:r>
              <w:t xml:space="preserve">Through UDOC's Certification Layer (M6) and Identity Layer (M1) APIs, described below.</w:t>
            </w:r>
          </w:p>
          <w:p>
            <w:pPr>
              <w:spacing w:after="60"/>
            </w:pPr>
            <w:r>
              <w:rPr>
                <w:b/>
                <w:bCs/>
              </w:rPr>
              <w:t xml:space="preserve">How is it received?  </w:t>
            </w:r>
            <w:r>
              <w:t xml:space="preserve">By any verifying party presenting a valid credential reference — with read access strictly scoped to what that party is entitled to see.</w:t>
            </w:r>
          </w:p>
          <w:p>
            <w:pPr>
              <w:spacing w:after="60"/>
            </w:pPr>
            <w:r>
              <w:rPr>
                <w:b/>
                <w:bCs/>
              </w:rPr>
              <w:t xml:space="preserve">How is learning/compliance verified?  </w:t>
            </w:r>
            <w:r>
              <w:t xml:space="preserve">Through cryptographic issuer signatures and UDOC's sealed, Merkle-linked audit chain — a Skills Passport entry cannot be verified as genuine any other way.</w:t>
            </w:r>
          </w:p>
          <w:p>
            <w:pPr>
              <w:spacing w:after="60"/>
            </w:pPr>
            <w:r>
              <w:rPr>
                <w:b/>
                <w:bCs/>
              </w:rPr>
              <w:t xml:space="preserve">How is the process repeated?  </w:t>
            </w:r>
            <w:r>
              <w:t xml:space="preserve">Every certification event, every AI Readiness annual recalculation, and every employer verification query follows the same schema and the same audit trail.</w:t>
            </w:r>
          </w:p>
          <w:p>
            <w:pPr>
              <w:spacing w:after="0"/>
            </w:pPr>
            <w:r>
              <w:rPr>
                <w:b/>
                <w:bCs/>
              </w:rPr>
              <w:t xml:space="preserve">How does it scale to civilisational level?  </w:t>
            </w:r>
            <w:r>
              <w:t xml:space="preserve">One data model, one verification standard, used identically whether the participant was served by the Johannesburg pilot node or a delivery operator on another continent 50 years from now — this is what makes the Passport portable across borders and generations.</w:t>
            </w:r>
          </w:p>
        </w:tc>
      </w:tr>
    </w:tbl>
    <w:p>
      <w:r>
        <w:br w:type="page"/>
      </w:r>
    </w:p>
    <w:p>
      <w:pPr>
        <w:pStyle w:val="Heading1"/>
      </w:pPr>
      <w:r>
        <w:t xml:space="preserve">1. Purpose &amp; Design Principles</w:t>
      </w:r>
    </w:p>
    <w:p>
      <w:pPr>
        <w:spacing w:after="160" w:line="276"/>
        <w:jc w:val="left"/>
      </w:pPr>
      <w:r>
        <w:t xml:space="preserve">The Skills Passport is a UDOC-issued, GIS-verified, digitally portable credential record — the single lifetime record of everything a GBS-SETHS participant has achieved, owned by the participant and verifiable by any employer, education institution, or government agency via UDOC's sealed audit trail. This document specifies the data model, verification API, security model, and governance rules needed for a development team to build it, and is the direct technical companion to Document 00 §10.1.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rPr>
                <w:b/>
                <w:bCs/>
              </w:rPr>
              <w:t xml:space="preserve">Non-negotiable design principles:</w:t>
            </w:r>
          </w:p>
          <w:p>
            <w:pPr>
              <w:pStyle w:val="ListParagraph"/>
              <w:numPr>
                <w:ilvl w:val="0"/>
                <w:numId w:val="2"/>
              </w:numPr>
              <w:spacing w:after="100" w:line="276"/>
            </w:pPr>
            <w:r>
              <w:t xml:space="preserve">The participant owns the Passport. No delivery operator, employer, or National GBS Authority can claim ownership, even though they issue attestations into it.</w:t>
            </w:r>
          </w:p>
          <w:p>
            <w:pPr>
              <w:pStyle w:val="ListParagraph"/>
              <w:numPr>
                <w:ilvl w:val="0"/>
                <w:numId w:val="2"/>
              </w:numPr>
              <w:spacing w:after="100" w:line="276"/>
            </w:pPr>
            <w:r>
              <w:t xml:space="preserve">No credential is ever deleted. Corrections happen through an amendment record, never a silent edit — the history remains visible.</w:t>
            </w:r>
          </w:p>
          <w:p>
            <w:pPr>
              <w:pStyle w:val="ListParagraph"/>
              <w:numPr>
                <w:ilvl w:val="0"/>
                <w:numId w:val="2"/>
              </w:numPr>
              <w:spacing w:after="100" w:line="276"/>
            </w:pPr>
            <w:r>
              <w:t xml:space="preserve">GIS operates fail-closed (Document 00 §3.2) on every Passport-affecting decision — the same constitutional constraint that governs UDOC generally applies here without exception.</w:t>
            </w:r>
          </w:p>
        </w:tc>
      </w:tr>
    </w:tbl>
    <w:p>
      <w:pPr>
        <w:pStyle w:val="Heading1"/>
      </w:pPr>
      <w:r>
        <w:t xml:space="preserve">2. Data Model</w:t>
      </w:r>
    </w:p>
    <w:p>
      <w:pPr>
        <w:pStyle w:val="Heading2"/>
      </w:pPr>
      <w:r>
        <w:t xml:space="preserve">2.1  Core Entities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rPr>
          <w:tblHeader/>
        </w:trPr>
        <w:tc>
          <w:tcPr>
            <w:tcW w:type="dxa" w:w="26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Entity</w:t>
            </w:r>
          </w:p>
        </w:tc>
        <w:tc>
          <w:tcPr>
            <w:tcW w:type="dxa" w:w="67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Description</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Participant Identifier</w:t>
            </w:r>
          </w:p>
        </w:tc>
        <w:tc>
          <w:tcPr>
            <w:tcW w:type="dxa" w:w="6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UDOC-issued unique identifier, distinct from any national ID number, generated at intake and never reused or reassigned</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Credential Record</w:t>
            </w:r>
          </w:p>
        </w:tc>
        <w:tc>
          <w:tcPr>
            <w:tcW w:type="dxa" w:w="6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One entry per certification tier, competency, or milestone — see Document 00 §11.1 for the Bronze–Specialist tier system this schema stores</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Competency Taxonomy Reference</w:t>
            </w:r>
          </w:p>
        </w:tc>
        <w:tc>
          <w:tcPr>
            <w:tcW w:type="dxa" w:w="6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Maps each credential to a recognised standard where one exists — SAQA unit standard ID where applicable, with a clear flag for GBS-SETHS-specific competencies not yet mapped to an external standard</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Issuer Signature</w:t>
            </w:r>
          </w:p>
        </w:tc>
        <w:tc>
          <w:tcPr>
            <w:tcW w:type="dxa" w:w="6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Cryptographic signature identifying which node/facilitator/UDOC process issued the credential and when</w:t>
            </w:r>
          </w:p>
        </w:tc>
      </w:tr>
      <w:tr>
        <w:tc>
          <w:tcPr>
            <w:tcW w:type="dxa" w:w="26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AI Readiness Score</w:t>
            </w:r>
          </w:p>
        </w:tc>
        <w:tc>
          <w:tcPr>
            <w:tcW w:type="dxa" w:w="67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A structured, versioned score across the four AI Workforce Adaptation stages (Document 00 §10) recalculated at minimum annually</w:t>
            </w:r>
          </w:p>
        </w:tc>
      </w:tr>
      <w:tr>
        <w:tc>
          <w:tcPr>
            <w:tcW w:type="dxa" w:w="26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Timestamp &amp; Provenance</w:t>
            </w:r>
          </w:p>
        </w:tc>
        <w:tc>
          <w:tcPr>
            <w:tcW w:type="dxa" w:w="67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Issuance date, node of issuance, and (where applicable) GIS geolocation metadata (Section 4 below)</w:t>
            </w:r>
          </w:p>
        </w:tc>
      </w:tr>
    </w:tbl>
    <w:p>
      <w:pPr>
        <w:pStyle w:val="Heading2"/>
      </w:pPr>
      <w:r>
        <w:t xml:space="preserve">2.2  Illustrative Schema (JSON)</w:t>
      </w:r>
    </w:p>
    <w:p>
      <w:pPr>
        <w:spacing w:after="160" w:line="276"/>
        <w:jc w:val="left"/>
      </w:pPr>
      <w:r>
        <w:t xml:space="preserve">The following is an illustrative data shape for developer handoff, not a final production schema — field names and validation rules should be confirmed with the UDOC backend team before implementation.</w:t>
      </w:r>
    </w:p>
    <w:p>
      <w:pPr>
        <w:shd w:fill="F2F3F5" w:val="clear"/>
        <w:spacing w:after="200"/>
      </w:pPr>
      <w:r>
        <w:rPr>
          <w:rFonts w:ascii="Courier New" w:cs="Courier New" w:eastAsia="Courier New" w:hAnsi="Courier New"/>
          <w:sz w:val="17"/>
          <w:szCs w:val="17"/>
        </w:rPr>
        <w:t xml:space="preserve">{
  "passport_id": "SP-2026-ZA-000482",
  "participant_ref": "PID-8841027-JHB",
  "issuer_node": "national_gbs:ZA",
  "created_at": "2026-08-03T09:12:00Z",
  "credentials": [
    {
      "tier": "Bronze",
      "name": "GBS Foundation Certificate",
      "issued_at": "2026-09-28T00:00:00Z",
      "issuing_facilitator_id": "FAC-0091",
      "competency_ref": { "standard": "SAQA", "unit_standard_id": null, "gbs_internal_ref": "GBS-COMP-FOUND-01" },
      "signature": "ed25519:base64-signature-value",
      "status": "active"
    }
  ],
  "ai_readiness_score": {
    "stage": 2,
    "label": "AI Augmentation",
    "last_updated": "2026-09-28T00:00:00Z",
    "history": []
  },
  "provenance": { "node_geo_ref": "GEO-ZA-JHB-001", "sync_state": "confirmed" },
  "audit_ref": "udoc_chain:0x9f...c1"
}</w:t>
      </w:r>
    </w:p>
    <w:p>
      <w:pPr>
        <w:pStyle w:val="Heading1"/>
      </w:pPr>
      <w:r>
        <w:t xml:space="preserve">3. Verification API</w:t>
      </w:r>
    </w:p>
    <w:p>
      <w:pPr>
        <w:spacing w:after="160" w:line="276"/>
        <w:jc w:val="left"/>
      </w:pPr>
      <w:r>
        <w:t xml:space="preserve">Verification runs through UDOC's Certification Layer (M6), which exposes three access patterns, each with distinct read/write permissions consistent with the security model in Section 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400"/>
        <w:gridCol w:w="2400"/>
        <w:gridCol w:w="3560"/>
      </w:tblGrid>
      <w:tr>
        <w:trPr>
          <w:tblHeader/>
        </w:trPr>
        <w:tc>
          <w:tcPr>
            <w:tcW w:type="dxa" w:w="3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Endpoint Pattern</w:t>
            </w:r>
          </w:p>
        </w:tc>
        <w:tc>
          <w:tcPr>
            <w:tcW w:type="dxa" w:w="24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Access</w:t>
            </w:r>
          </w:p>
        </w:tc>
        <w:tc>
          <w:tcPr>
            <w:tcW w:type="dxa" w:w="35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Purpose</w:t>
            </w:r>
          </w:p>
        </w:tc>
      </w:tr>
      <w:tr>
        <w:tc>
          <w:tcPr>
            <w:tcW w:type="dxa" w:w="3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GET /passport/{passport_id}/summary</w:t>
            </w:r>
          </w:p>
        </w:tc>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Public with participant-issued share token</w:t>
            </w:r>
          </w:p>
        </w:tc>
        <w:tc>
          <w:tcPr>
            <w:tcW w:type="dxa" w:w="3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Employer or institution verification of a specific credential — returns a signed attestation, not the full record</w:t>
            </w:r>
          </w:p>
        </w:tc>
      </w:tr>
      <w:tr>
        <w:tc>
          <w:tcPr>
            <w:tcW w:type="dxa" w:w="3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GET /passport/{passport_id}/full</w:t>
            </w:r>
          </w:p>
        </w:tc>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Participant only, or GBS Global/COB under audit authority</w:t>
            </w:r>
          </w:p>
        </w:tc>
        <w:tc>
          <w:tcPr>
            <w:tcW w:type="dxa" w:w="3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Full lifetime record access</w:t>
            </w:r>
          </w:p>
        </w:tc>
      </w:tr>
      <w:tr>
        <w:tc>
          <w:tcPr>
            <w:tcW w:type="dxa" w:w="3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POST /passport/{passport_id}/credentials</w:t>
            </w:r>
          </w:p>
        </w:tc>
        <w:tc>
          <w:tcPr>
            <w:tcW w:type="dxa" w:w="24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Certified issuer node only, signed request</w:t>
            </w:r>
          </w:p>
        </w:tc>
        <w:tc>
          <w:tcPr>
            <w:tcW w:type="dxa" w:w="35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Issue a new credential entry — write access is restricted to the issuing node's certified signing key</w:t>
            </w:r>
          </w:p>
        </w:tc>
      </w:tr>
      <w:tr>
        <w:tc>
          <w:tcPr>
            <w:tcW w:type="dxa" w:w="3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POST /passport/{passport_id}/ai-readiness</w:t>
            </w:r>
          </w:p>
        </w:tc>
        <w:tc>
          <w:tcPr>
            <w:tcW w:type="dxa" w:w="24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GIS process only</w:t>
            </w:r>
          </w:p>
        </w:tc>
        <w:tc>
          <w:tcPr>
            <w:tcW w:type="dxa" w:w="35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Annual (or event-triggered) AI Readiness Score recalculation</w:t>
            </w:r>
          </w:p>
        </w:tc>
      </w:tr>
    </w:tbl>
    <w:p>
      <w:pPr>
        <w:pStyle w:val="Heading1"/>
      </w:pPr>
      <w:r>
        <w:t xml:space="preserve">4. GIS Bindings</w:t>
      </w:r>
    </w:p>
    <w:p>
      <w:pPr>
        <w:pStyle w:val="ListParagraph"/>
        <w:numPr>
          <w:ilvl w:val="0"/>
          <w:numId w:val="2"/>
        </w:numPr>
        <w:spacing w:after="100" w:line="276"/>
      </w:pPr>
      <w:r>
        <w:t xml:space="preserve">Node geolocation: each credential entry carries a node geo-reference so provenance (which physical or digital node issued it) is traceable without exposing the participant's own location</w:t>
      </w:r>
    </w:p>
    <w:p>
      <w:pPr>
        <w:pStyle w:val="ListParagraph"/>
        <w:numPr>
          <w:ilvl w:val="0"/>
          <w:numId w:val="2"/>
        </w:numPr>
        <w:spacing w:after="100" w:line="276"/>
      </w:pPr>
      <w:r>
        <w:t xml:space="preserve">Provenance metadata: sync state (confirmed / pending / conflict) supports offline-capable delivery nodes with intermittent connectivity — a real operational requirement given rural and cross-border delivery contexts described in Document 00 Part VI</w:t>
      </w:r>
    </w:p>
    <w:p>
      <w:pPr>
        <w:pStyle w:val="ListParagraph"/>
        <w:numPr>
          <w:ilvl w:val="0"/>
          <w:numId w:val="2"/>
        </w:numPr>
        <w:spacing w:after="100" w:line="276"/>
      </w:pPr>
      <w:r>
        <w:t xml:space="preserve">Offline sync rule: credentials issued offline queue locally and sync on reconnect; UDOC's sealed audit chain only treats a credential as verified once synced and signature-confirmed — an offline-issued, unsynced credential is visibly marked "pending" to any verifier, never silently presented as confirmed</w:t>
      </w:r>
    </w:p>
    <w:p>
      <w:pPr>
        <w:pStyle w:val="Heading1"/>
      </w:pPr>
      <w:r>
        <w:t xml:space="preserve">5. Security &amp; Privacy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rPr>
          <w:tblHeader/>
        </w:trPr>
        <w:tc>
          <w:tcPr>
            <w:tcW w:type="dxa" w:w="220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Control</w:t>
            </w:r>
          </w:p>
        </w:tc>
        <w:tc>
          <w:tcPr>
            <w:tcW w:type="dxa" w:w="7160"/>
            <w:tcBorders>
              <w:top w:val="single" w:color="CCCCCC" w:sz="2"/>
              <w:left w:val="single" w:color="CCCCCC" w:sz="2"/>
              <w:bottom w:val="single" w:color="CCCCCC" w:sz="2"/>
              <w:right w:val="single" w:color="CCCCCC" w:sz="2"/>
            </w:tcBorders>
            <w:shd w:fill="060E1C" w:val="clear"/>
            <w:tcMar>
              <w:top w:type="dxa" w:w="100"/>
              <w:left w:type="dxa" w:w="120"/>
              <w:bottom w:type="dxa" w:w="100"/>
              <w:right w:type="dxa" w:w="120"/>
            </w:tcMar>
            <w:vAlign w:val="center"/>
          </w:tcPr>
          <w:p>
            <w:r>
              <w:rPr>
                <w:b/>
                <w:bCs/>
                <w:color w:val="FFFFFF"/>
                <w:sz w:val="19"/>
                <w:szCs w:val="19"/>
              </w:rPr>
              <w:t xml:space="preserve">Implementation</w:t>
            </w:r>
          </w:p>
        </w:tc>
      </w:tr>
      <w:tr>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Participant ownership</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The participant, not any node, holds the primary access and sharing-consent right over the full record</w:t>
            </w:r>
          </w:p>
        </w:tc>
      </w:tr>
      <w:tr>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Encryption at rest / in transit</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AES-256 at rest, TLS 1.3 in transit, consistent with the UDOC HQ-OS security layer specified elsewhere in the G.O.D.S. technical documentation</w:t>
            </w:r>
          </w:p>
        </w:tc>
      </w:tr>
      <w:tr>
        <w:tc>
          <w:tcPr>
            <w:tcW w:type="dxa" w:w="220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Role-based access control</w:t>
            </w:r>
          </w:p>
        </w:tc>
        <w:tc>
          <w:tcPr>
            <w:tcW w:type="dxa" w:w="7160"/>
            <w:tcBorders>
              <w:top w:val="single" w:color="CCCCCC" w:sz="2"/>
              <w:left w:val="single" w:color="CCCCCC" w:sz="2"/>
              <w:bottom w:val="single" w:color="CCCCCC" w:sz="2"/>
              <w:right w:val="single" w:color="CCCCCC" w:sz="2"/>
            </w:tcBorders>
            <w:shd w:fill="FFFFFF" w:val="clear"/>
            <w:tcMar>
              <w:top w:type="dxa" w:w="90"/>
              <w:left w:type="dxa" w:w="120"/>
              <w:bottom w:type="dxa" w:w="90"/>
              <w:right w:type="dxa" w:w="120"/>
            </w:tcMar>
            <w:vAlign w:val="center"/>
          </w:tcPr>
          <w:p>
            <w:pPr>
              <w:spacing w:after="40"/>
            </w:pPr>
            <w:r>
              <w:rPr>
                <w:sz w:val="19"/>
                <w:szCs w:val="19"/>
              </w:rPr>
              <w:t xml:space="preserve">Issuer nodes hold write-scoped keys for their own issuances only; no node can write into another node's issued credentials</w:t>
            </w:r>
          </w:p>
        </w:tc>
      </w:tr>
      <w:tr>
        <w:tc>
          <w:tcPr>
            <w:tcW w:type="dxa" w:w="220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POPIA alignment</w:t>
            </w:r>
          </w:p>
        </w:tc>
        <w:tc>
          <w:tcPr>
            <w:tcW w:type="dxa" w:w="7160"/>
            <w:tcBorders>
              <w:top w:val="single" w:color="CCCCCC" w:sz="2"/>
              <w:left w:val="single" w:color="CCCCCC" w:sz="2"/>
              <w:bottom w:val="single" w:color="CCCCCC" w:sz="2"/>
              <w:right w:val="single" w:color="CCCCCC" w:sz="2"/>
            </w:tcBorders>
            <w:shd w:fill="F2F3F5" w:val="clear"/>
            <w:tcMar>
              <w:top w:type="dxa" w:w="90"/>
              <w:left w:type="dxa" w:w="120"/>
              <w:bottom w:type="dxa" w:w="90"/>
              <w:right w:type="dxa" w:w="120"/>
            </w:tcMar>
            <w:vAlign w:val="center"/>
          </w:tcPr>
          <w:p>
            <w:pPr>
              <w:spacing w:after="40"/>
            </w:pPr>
            <w:r>
              <w:rPr>
                <w:sz w:val="19"/>
                <w:szCs w:val="19"/>
              </w:rPr>
              <w:t xml:space="preserve">Special personal information collected at intake (Document 02, Section 2) is governed by Document 09, not duplicated in the Passport itself — the Passport stores credential and competency data, not the underlying assessment data that produced it</w:t>
            </w:r>
          </w:p>
        </w:tc>
      </w:tr>
    </w:tbl>
    <w:p>
      <w:pPr>
        <w:pStyle w:val="Heading1"/>
      </w:pPr>
      <w:r>
        <w:t xml:space="preserve">6. Immutability &amp; Governance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B2C2C" w:sz="4"/>
              <w:left w:val="single" w:color="9B2C2C" w:sz="4"/>
              <w:bottom w:val="single" w:color="9B2C2C" w:sz="4"/>
              <w:right w:val="single" w:color="9B2C2C" w:sz="4"/>
            </w:tcBorders>
            <w:shd w:fill="FBEAEA" w:val="clear"/>
            <w:tcMar>
              <w:top w:type="dxa" w:w="160"/>
              <w:left w:type="dxa" w:w="200"/>
              <w:bottom w:type="dxa" w:w="160"/>
              <w:right w:type="dxa" w:w="200"/>
            </w:tcMar>
          </w:tcPr>
          <w:p>
            <w:pPr>
              <w:spacing w:after="100"/>
            </w:pPr>
            <w:r>
              <w:rPr>
                <w:b/>
                <w:bCs/>
                <w:color w:val="9B2C2C"/>
              </w:rPr>
              <w:t xml:space="preserve">No credential is ever deleted.</w:t>
            </w:r>
          </w:p>
          <w:p>
            <w:pPr>
              <w:spacing w:after="160" w:line="276"/>
              <w:jc w:val="left"/>
            </w:pPr>
            <w:r>
              <w:t xml:space="preserve">Corrections are made through a UDOC amendment record — a new, timestamped, signed entry that supersedes the prior one for display purposes while the original remains in the sealed audit chain. This is the same non-negotiable principle that governs UDOC's audit trail generally: the record of what was said and when is never rewritten.</w:t>
            </w:r>
          </w:p>
        </w:tc>
      </w:tr>
    </w:tbl>
    <w:p>
      <w:pPr>
        <w:pStyle w:val="ListParagraph"/>
        <w:numPr>
          <w:ilvl w:val="0"/>
          <w:numId w:val="2"/>
        </w:numPr>
        <w:spacing w:after="100" w:line="276"/>
      </w:pPr>
      <w:r>
        <w:t xml:space="preserve">Change request protocol: a participant or issuing node disputing an entry submits a change request; GIS attempts automatic resolution against its rules; anything GIS cannot resolve escalates to a human reviewer, consistent with Pillar VIII (Human Primacy in AI).</w:t>
      </w:r>
    </w:p>
    <w:p>
      <w:pPr>
        <w:pStyle w:val="ListParagraph"/>
        <w:numPr>
          <w:ilvl w:val="0"/>
          <w:numId w:val="2"/>
        </w:numPr>
        <w:spacing w:after="100" w:line="276"/>
      </w:pPr>
      <w:r>
        <w:t xml:space="preserve">GIS override authority: only the COB, once constituted, can authorise an override of a sealed Passport entry outside the standard amendment process — and any such override is itself logged to the audit chain, never applied silently.</w:t>
      </w:r>
    </w:p>
    <w:p>
      <w:pPr>
        <w:pStyle w:val="Heading1"/>
      </w:pPr>
      <w:r>
        <w:t xml:space="preserve">7. Interoperability</w:t>
      </w:r>
    </w:p>
    <w:p>
      <w:pPr>
        <w:pStyle w:val="ListParagraph"/>
        <w:numPr>
          <w:ilvl w:val="0"/>
          <w:numId w:val="2"/>
        </w:numPr>
        <w:spacing w:after="100" w:line="276"/>
      </w:pPr>
      <w:r>
        <w:t xml:space="preserve">Employer verification flow: an employer receives a share link from the participant (or via the placement pipeline in Document 05), calls the public summary endpoint, and receives a signed attestation sufficient for hiring decisions without needing raw database access.</w:t>
      </w:r>
    </w:p>
    <w:p>
      <w:pPr>
        <w:pStyle w:val="ListParagraph"/>
        <w:numPr>
          <w:ilvl w:val="0"/>
          <w:numId w:val="2"/>
        </w:numPr>
        <w:spacing w:after="100" w:line="276"/>
      </w:pPr>
      <w:r>
        <w:t xml:space="preserve">Third-party education-provider queries: a receiving institution (for further study, or cross-border recognition) can verify a specific credential the same way an employer does, without needing a data-sharing agreement with G.O.D.S. Holdings directly.</w:t>
      </w:r>
    </w:p>
    <w:p>
      <w:pPr>
        <w:pStyle w:val="ListParagraph"/>
        <w:numPr>
          <w:ilvl w:val="0"/>
          <w:numId w:val="2"/>
        </w:numPr>
        <w:spacing w:after="100" w:line="276"/>
      </w:pPr>
      <w:r>
        <w:t xml:space="preserve">Cross-border portability: as the franchise network expands into new National GBS territories (Document 03), a Passport issued in one country remains fully verifiable in another, since the underlying schema, signature scheme, and audit chain are identical everywhere GBS Global has certified a node.</w:t>
      </w:r>
    </w:p>
    <w:p>
      <w:pPr>
        <w:pStyle w:val="Heading1"/>
      </w:pPr>
      <w:r>
        <w:t xml:space="preserve">Operational Rules</w:t>
      </w:r>
    </w:p>
    <w:p>
      <w:pPr>
        <w:pStyle w:val="ListParagraph"/>
        <w:numPr>
          <w:ilvl w:val="0"/>
          <w:numId w:val="3"/>
        </w:numPr>
        <w:spacing w:after="100" w:line="276"/>
      </w:pPr>
      <w:r>
        <w:t xml:space="preserve">The participant owns the Passport; the node issues attestations into it.</w:t>
      </w:r>
    </w:p>
    <w:p>
      <w:pPr>
        <w:pStyle w:val="ListParagraph"/>
        <w:numPr>
          <w:ilvl w:val="0"/>
          <w:numId w:val="3"/>
        </w:numPr>
        <w:spacing w:after="100" w:line="276"/>
      </w:pPr>
      <w:r>
        <w:t xml:space="preserve">No credential deletion — corrections happen via UDOC amendment record only.</w:t>
      </w:r>
    </w:p>
    <w:p>
      <w:pPr>
        <w:pStyle w:val="ListParagraph"/>
        <w:numPr>
          <w:ilvl w:val="0"/>
          <w:numId w:val="3"/>
        </w:numPr>
        <w:spacing w:after="100" w:line="276"/>
      </w:pPr>
      <w:r>
        <w:t xml:space="preserve">AI Readiness recalculation occurs at minimum annually, and is appended to history, never overwritten.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00"/>
            </w:pPr>
            <w:r>
              <w:rPr>
                <w:b/>
                <w:bCs/>
                <w:color w:val="8C7330"/>
              </w:rPr>
              <w:t xml:space="preserve">Honesty tier — what is proven, what is designed, what is aspirational</w:t>
            </w:r>
          </w:p>
          <w:p>
            <w:pPr>
              <w:spacing w:after="60"/>
            </w:pPr>
            <w:r>
              <w:rPr>
                <w:b/>
                <w:bCs/>
              </w:rPr>
              <w:t xml:space="preserve">Proven / live:  </w:t>
            </w:r>
            <w:r>
              <w:t xml:space="preserve">The Skills Passport concept, its ownership model, and its relationship to the UDOC Certification Layer (M6) are fully specified and consistent across Document 00 and this standard.</w:t>
            </w:r>
          </w:p>
          <w:p>
            <w:pPr>
              <w:spacing w:after="60"/>
            </w:pPr>
            <w:r>
              <w:rPr>
                <w:b/>
                <w:bCs/>
              </w:rPr>
              <w:t xml:space="preserve">Designed / production-specified, not yet built:  </w:t>
            </w:r>
            <w:r>
              <w:t xml:space="preserve">The illustrative schema and API surface in this document are a development-ready starting specification, not yet implemented or tested against UDOC's live capstone backend (72 routes, deployed and operational per Document 00 §12).</w:t>
            </w:r>
          </w:p>
          <w:p>
            <w:pPr>
              <w:spacing w:after="0"/>
            </w:pPr>
            <w:r>
              <w:rPr>
                <w:b/>
                <w:bCs/>
              </w:rPr>
              <w:t xml:space="preserve">Aspirational / long-horizon:  </w:t>
            </w:r>
            <w:r>
              <w:t xml:space="preserve">Cross-border verification at the scale described in Section 7 depends on the multi-national franchise network existing — a Stage 4+ target (Document 00, Part VII).</w:t>
            </w:r>
          </w:p>
        </w:tc>
      </w:tr>
    </w:tbl>
    <w:p>
      <w:pPr>
        <w:pStyle w:val="Heading1"/>
      </w:pPr>
      <w:r>
        <w:t xml:space="preserve">Annexes</w:t>
      </w:r>
    </w:p>
    <w:p>
      <w:pPr>
        <w:pStyle w:val="Heading2"/>
      </w:pPr>
      <w:r>
        <w:t xml:space="preserve">Annex A — JSON Schema</w:t>
      </w:r>
    </w:p>
    <w:p>
      <w:pPr>
        <w:spacing w:after="160" w:line="276"/>
        <w:jc w:val="left"/>
      </w:pPr>
      <w:r>
        <w:t xml:space="preserve">The illustrative schema in Section 2.2 above serves as Annex A; a formal JSON Schema (with type validation and required-field constraints) should be generated from it before developer handoff.</w:t>
      </w:r>
    </w:p>
    <w:p>
      <w:pPr>
        <w:pStyle w:val="Heading2"/>
      </w:pPr>
      <w:r>
        <w:t xml:space="preserve">Annex B — API Call Examples</w:t>
      </w:r>
    </w:p>
    <w:p>
      <w:pPr>
        <w:spacing w:after="160" w:line="276"/>
        <w:jc w:val="left"/>
      </w:pPr>
      <w:r>
        <w:t xml:space="preserve">See Section 3 for the endpoint pattern table; concrete request/response examples should be developed alongside the UDOC backend team once this specification is confirmed.</w:t>
      </w:r>
    </w:p>
    <w:p>
      <w:pPr>
        <w:pStyle w:val="Heading2"/>
      </w:pPr>
      <w:r>
        <w:t xml:space="preserve">Annex C — Verification Flow Diagram (Text Representation)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4"/>
              <w:left w:val="single" w:color="C9A84C" w:sz="4"/>
              <w:bottom w:val="single" w:color="C9A84C" w:sz="4"/>
              <w:right w:val="single" w:color="C9A84C" w:sz="4"/>
            </w:tcBorders>
            <w:shd w:fill="F7F1E0" w:val="clear"/>
            <w:tcMar>
              <w:top w:type="dxa" w:w="160"/>
              <w:left w:type="dxa" w:w="200"/>
              <w:bottom w:type="dxa" w:w="160"/>
              <w:right w:type="dxa" w:w="200"/>
            </w:tcMar>
          </w:tcPr>
          <w:p>
            <w:pPr>
              <w:spacing w:after="160" w:line="276"/>
              <w:jc w:val="left"/>
            </w:pPr>
            <w:r>
              <w:t xml:space="preserve">PARTICIPANT (owns Passport) → issues share token → EMPLOYER / INSTITUTION (verifier)</w:t>
            </w:r>
          </w:p>
          <w:p>
            <w:pPr>
              <w:spacing w:after="160" w:line="276"/>
              <w:jc w:val="left"/>
            </w:pPr>
            <w:r>
              <w:t xml:space="preserve">↓ verifier calls GET /passport/{id}/summary</w:t>
            </w:r>
          </w:p>
          <w:p>
            <w:pPr>
              <w:spacing w:after="160" w:line="276"/>
              <w:jc w:val="left"/>
            </w:pPr>
            <w:r>
              <w:t xml:space="preserve">UDOC Certification Layer (M6) → checks signature against issuer node's certified key → returns signed attestation</w:t>
            </w:r>
          </w:p>
          <w:p>
            <w:pPr>
              <w:spacing w:after="160" w:line="276"/>
              <w:jc w:val="left"/>
            </w:pPr>
            <w:r>
              <w:t xml:space="preserve">Every verification event is itself logged to the sealed audit chain — verification requests are not anonymous or unlogged, protecting against pattern-of-life misuse of the verification endpoint itself.</w:t>
            </w:r>
          </w:p>
        </w:tc>
      </w:tr>
    </w:tbl>
    <w:p>
      <w:pPr>
        <w:pStyle w:val="Heading1"/>
      </w:pPr>
      <w:r>
        <w:t xml:space="preserve">Implementation Checklist</w:t>
      </w:r>
    </w:p>
    <w:p>
      <w:pPr>
        <w:pStyle w:val="ListParagraph"/>
        <w:numPr>
          <w:ilvl w:val="0"/>
          <w:numId w:val="3"/>
        </w:numPr>
        <w:spacing w:after="100" w:line="276"/>
      </w:pPr>
      <w:r>
        <w:t xml:space="preserve">Confirm the illustrative schema and endpoint set with the UDOC backend team against the actual FastAPI/PostgreSQL implementation.</w:t>
      </w:r>
    </w:p>
    <w:p>
      <w:pPr>
        <w:pStyle w:val="ListParagraph"/>
        <w:numPr>
          <w:ilvl w:val="0"/>
          <w:numId w:val="3"/>
        </w:numPr>
        <w:spacing w:after="100" w:line="276"/>
      </w:pPr>
      <w:r>
        <w:t xml:space="preserve">Build the participant consent UX for passport sharing before any employer-facing verification flow goes live.</w:t>
      </w:r>
    </w:p>
    <w:p>
      <w:pPr>
        <w:pStyle w:val="ListParagraph"/>
        <w:numPr>
          <w:ilvl w:val="0"/>
          <w:numId w:val="3"/>
        </w:numPr>
        <w:spacing w:after="100" w:line="276"/>
      </w:pPr>
      <w:r>
        <w:t xml:space="preserve">Stand up an employer verification sandbox ahead of the first pilot placements (Document 02, Section 5).</w:t>
      </w:r>
    </w:p>
    <w:p>
      <w:pPr>
        <w:pStyle w:val="ListParagraph"/>
        <w:numPr>
          <w:ilvl w:val="0"/>
          <w:numId w:val="3"/>
        </w:numPr>
        <w:spacing w:after="100" w:line="276"/>
      </w:pPr>
      <w:r>
        <w:t xml:space="preserve">Map every certification tier in Document 00 §11.1 to its SAQA unit-standard reference or its GBS-internal reference before Cohort 1 certification events.</w:t>
      </w:r>
    </w:p>
    <w:p>
      <w:pPr>
        <w:pBdr>
          <w:bottom w:val="single" w:color="C9A84C" w:sz="6"/>
        </w:pBdr>
        <w:spacing w:after="120" w:before="120"/>
      </w:pPr>
    </w:p>
    <w:p>
      <w:pPr>
        <w:spacing w:after="40" w:before="200"/>
        <w:jc w:val="center"/>
      </w:pPr>
      <w:r>
        <w:rPr>
          <w:color w:val="5B6472"/>
          <w:sz w:val="18"/>
          <w:szCs w:val="18"/>
        </w:rPr>
        <w:t xml:space="preserve">GBS-SETHS Skills Passport Technical Standard · G.O.D.S Holdings (Pty) Ltd · IP Trust Protected · July 2026</w:t>
      </w:r>
    </w:p>
    <w:p>
      <w:pPr>
        <w:spacing w:after="40"/>
        <w:jc w:val="center"/>
      </w:pPr>
      <w:r>
        <w:rPr>
          <w:color w:val="5B6472"/>
          <w:sz w:val="16"/>
          <w:szCs w:val="16"/>
        </w:rPr>
        <w:t xml:space="preserve">All intellectual property held in the G.O.D.S. IP Trust under the Trust Property Control Act 57 of 1988</w:t>
      </w:r>
    </w:p>
    <w:p>
      <w:pPr>
        <w:spacing w:after="0"/>
        <w:jc w:val="center"/>
      </w:pPr>
      <w:r>
        <w:rPr>
          <w:color w:val="5B6472"/>
          <w:sz w:val="16"/>
          <w:szCs w:val="16"/>
        </w:rPr>
        <w:t xml:space="preserve">Founder &amp; Architect: Sashin J. Singh  ·  sashin.singh@outlook.com  ·  capstoneprojectsjs.netlify.app</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tabs>
        <w:tab w:val="right" w:pos="9026"/>
      </w:tabs>
    </w:pPr>
    <w:r>
      <w:rPr>
        <w:color w:val="5B6472"/>
        <w:sz w:val="15"/>
        <w:szCs w:val="15"/>
      </w:rPr>
      <w:t xml:space="preserve">INSTITUTIONAL · G.O.D.S Holdings (Pty) Ltd · IP Trust Protected</w:t>
    </w:r>
    <w:r>
      <w:rPr>
        <w:color w:val="5B6472"/>
        <w:sz w:val="15"/>
        <w:szCs w:val="15"/>
      </w:rPr>
      <w:t xml:space="preserve">	Page </w:t>
    </w:r>
    <w:r>
      <w:rPr>
        <w:color w:val="5B6472"/>
        <w:sz w:val="15"/>
        <w:szCs w:val="15"/>
      </w:rPr>
      <w:fldChar w:fldCharType="begin"/>
      <w:instrText xml:space="preserve">PAGE</w:instrText>
      <w:fldChar w:fldCharType="separate"/>
      <w:fldChar w:fldCharType="end"/>
    </w:r>
    <w:r>
      <w:rPr>
        <w:color w:val="5B6472"/>
        <w:sz w:val="15"/>
        <w:szCs w:val="15"/>
      </w:rPr>
      <w:t xml:space="preserve"> of </w:t>
    </w:r>
    <w:r>
      <w:rPr>
        <w:color w:val="5B6472"/>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pBdr>
      <w:tabs>
        <w:tab w:val="right" w:pos="9026"/>
      </w:tabs>
    </w:pPr>
    <w:r>
      <w:rPr>
        <w:color w:val="5B6472"/>
        <w:sz w:val="15"/>
        <w:szCs w:val="15"/>
      </w:rPr>
      <w:t xml:space="preserve">G.O.D.S HOLDINGS · GBS-SETHS</w:t>
    </w:r>
    <w:r>
      <w:rPr>
        <w:color w:val="5B6472"/>
        <w:sz w:val="15"/>
        <w:szCs w:val="15"/>
      </w:rPr>
      <w:t xml:space="preserve">	GBS-SETHS Skills Passport Technical Standard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lvl w:ilvl="1" w15:tentative="1">
      <w:start w:val="1"/>
      <w:numFmt w:val="bullet"/>
      <w:lvlText w:val="◦"/>
      <w:lvlJc w:val="left"/>
      <w:pPr>
        <w:ind w:left="84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6233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84C" w:sz="8" w:space="4"/>
      </w:pBdr>
      <w:spacing w:after="200" w:before="360"/>
    </w:pPr>
    <w:rPr>
      <w:rFonts w:ascii="Arial" w:cs="Arial" w:eastAsia="Arial" w:hAnsi="Arial"/>
      <w:b/>
      <w:bCs/>
      <w:color w:val="16233A"/>
      <w:sz w:val="30"/>
      <w:szCs w:val="30"/>
    </w:rPr>
  </w:style>
  <w:style w:type="paragraph" w:styleId="Heading2">
    <w:name w:val="Heading 2"/>
    <w:basedOn w:val="Normal"/>
    <w:next w:val="Normal"/>
    <w:qFormat/>
    <w:pPr>
      <w:spacing w:after="140" w:before="280"/>
    </w:pPr>
    <w:rPr>
      <w:rFonts w:ascii="Arial" w:cs="Arial" w:eastAsia="Arial" w:hAnsi="Arial"/>
      <w:b/>
      <w:bCs/>
      <w:color w:val="8C7330"/>
      <w:sz w:val="25"/>
      <w:szCs w:val="25"/>
    </w:rPr>
  </w:style>
  <w:style w:type="paragraph" w:styleId="Heading3">
    <w:name w:val="Heading 3"/>
    <w:basedOn w:val="Normal"/>
    <w:next w:val="Normal"/>
    <w:qFormat/>
    <w:pPr>
      <w:spacing w:after="100" w:before="200"/>
    </w:pPr>
    <w:rPr>
      <w:rFonts w:ascii="Arial" w:cs="Arial" w:eastAsia="Arial" w:hAnsi="Arial"/>
      <w:b/>
      <w:bCs/>
      <w:i/>
      <w:iCs/>
      <w:color w:val="16233A"/>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2026-07-10T02:38:44.988Z</dcterms:created>
  <dcterms:modified xsi:type="dcterms:W3CDTF">2026-07-10T02:38:44.988Z</dcterms:modified>
</cp:coreProperties>
</file>

<file path=docProps/custom.xml><?xml version="1.0" encoding="utf-8"?>
<Properties xmlns="http://schemas.openxmlformats.org/officeDocument/2006/custom-properties" xmlns:vt="http://schemas.openxmlformats.org/officeDocument/2006/docPropsVTypes"/>
</file>