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05 of 11 OF 11</w:t>
      </w:r>
    </w:p>
    <w:p>
      <w:pPr>
        <w:spacing w:after="160"/>
        <w:jc w:val="center"/>
      </w:pPr>
      <w:r>
        <w:rPr>
          <w:b/>
          <w:bCs/>
          <w:color w:val="16233A"/>
          <w:sz w:val="40"/>
          <w:szCs w:val="40"/>
        </w:rPr>
        <w:t xml:space="preserve">Employer Acquisition Framework</w:t>
      </w:r>
    </w:p>
    <w:p>
      <w:pPr>
        <w:spacing w:after="400"/>
        <w:jc w:val="center"/>
      </w:pPr>
      <w:r>
        <w:rPr>
          <w:i/>
          <w:iCs/>
          <w:color w:val="5B6472"/>
          <w:sz w:val="24"/>
          <w:szCs w:val="24"/>
        </w:rPr>
        <w:t xml:space="preserve">Ecosystem Partnerships &amp; Placement Pathways</w:t>
      </w:r>
    </w:p>
    <w:p>
      <w:pPr>
        <w:spacing w:after="100"/>
        <w:jc w:val="center"/>
      </w:pPr>
      <w:r>
        <w:rPr>
          <w:color w:val="16233A"/>
          <w:sz w:val="20"/>
          <w:szCs w:val="20"/>
        </w:rPr>
        <w:t xml:space="preserve">COMMERCIAL FRAMEWORK · SOURCING, ONBOARDING, AND RETAINING LAYER 5 EMPLOYER PARTNERS</w:t>
      </w:r>
    </w:p>
    <w:p>
      <w:pPr>
        <w:spacing w:after="400"/>
        <w:jc w:val="center"/>
      </w:pPr>
      <w:r>
        <w:rPr>
          <w:color w:val="5B6472"/>
          <w:sz w:val="18"/>
          <w:szCs w:val="18"/>
        </w:rPr>
        <w:t xml:space="preserve">Version 1.0 · July 2026 · Companion to Document 00 (Layer 5) and Document 02 (Pilot placement operations)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INSTITUTIONAL — Cover Letter Required for External Distribution</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issue — operationalises Layer 5 of the franchise architecture and the Absorption Commitment Clause into a sourcing and account-management framework</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Systemic trace — the seven GBS questions this document answers</w:t>
            </w:r>
          </w:p>
          <w:p>
            <w:pPr>
              <w:spacing w:after="60"/>
            </w:pPr>
            <w:r>
              <w:rPr>
                <w:b/>
                <w:bCs/>
              </w:rPr>
              <w:t xml:space="preserve">What information exists?  </w:t>
            </w:r>
            <w:r>
              <w:t xml:space="preserve">Verified graduate competency data (via the Skills Passport) and employer workforce needs.</w:t>
            </w:r>
          </w:p>
          <w:p>
            <w:pPr>
              <w:spacing w:after="60"/>
            </w:pPr>
            <w:r>
              <w:rPr>
                <w:b/>
                <w:bCs/>
              </w:rPr>
              <w:t xml:space="preserve">How is it communicated?  </w:t>
            </w:r>
            <w:r>
              <w:t xml:space="preserve">Through the Employer Partnerships Manager function, employer-facing marketing of the graduate pipeline, and direct engagement with T.S. Industries and government departments as anchor employers.</w:t>
            </w:r>
          </w:p>
          <w:p>
            <w:pPr>
              <w:spacing w:after="60"/>
            </w:pPr>
            <w:r>
              <w:rPr>
                <w:b/>
                <w:bCs/>
              </w:rPr>
              <w:t xml:space="preserve">How is it transported?  </w:t>
            </w:r>
            <w:r>
              <w:t xml:space="preserve">Through the placement-matching process and UDOC's Placement Layer (M4).</w:t>
            </w:r>
          </w:p>
          <w:p>
            <w:pPr>
              <w:spacing w:after="60"/>
            </w:pPr>
            <w:r>
              <w:rPr>
                <w:b/>
                <w:bCs/>
              </w:rPr>
              <w:t xml:space="preserve">How is it received?  </w:t>
            </w:r>
            <w:r>
              <w:t xml:space="preserve">By employers as verified candidates, and by participants as verified placement opportunities — a two-sided pipeline, not a one-way referral service.</w:t>
            </w:r>
          </w:p>
          <w:p>
            <w:pPr>
              <w:spacing w:after="60"/>
            </w:pPr>
            <w:r>
              <w:rPr>
                <w:b/>
                <w:bCs/>
              </w:rPr>
              <w:t xml:space="preserve">How is learning/compliance verified?  </w:t>
            </w:r>
            <w:r>
              <w:t xml:space="preserve">Through UDOC-logged placement confirmation and the Absorption Commitment Clause's documented interview/decision requirement.</w:t>
            </w:r>
          </w:p>
          <w:p>
            <w:pPr>
              <w:spacing w:after="60"/>
            </w:pPr>
            <w:r>
              <w:rPr>
                <w:b/>
                <w:bCs/>
              </w:rPr>
              <w:t xml:space="preserve">How is the process repeated?  </w:t>
            </w:r>
            <w:r>
              <w:t xml:space="preserve">Every cohort cycle re-engages the same employer base and adds new partners as the pipeline scales.</w:t>
            </w:r>
          </w:p>
          <w:p>
            <w:pPr>
              <w:spacing w:after="0"/>
            </w:pPr>
            <w:r>
              <w:rPr>
                <w:b/>
                <w:bCs/>
              </w:rPr>
              <w:t xml:space="preserve">How does it scale to civilisational level?  </w:t>
            </w:r>
            <w:r>
              <w:t xml:space="preserve">From 3 employer partnerships at Stage 0 pilot launch to a full Layer 5 ecosystem spanning T.S. Industries, government departments, and private-sector partners across every region in Document 00, Part VI.</w:t>
            </w:r>
          </w:p>
        </w:tc>
      </w:tr>
    </w:tbl>
    <w:p>
      <w:r>
        <w:br w:type="page"/>
      </w:r>
    </w:p>
    <w:p>
      <w:pPr>
        <w:pStyle w:val="Heading1"/>
      </w:pPr>
      <w:r>
        <w:t xml:space="preserve">1. Employer Segmentation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3960"/>
        <w:gridCol w:w="3300"/>
      </w:tblGrid>
      <w:tr>
        <w:trPr>
          <w:tblHeader/>
        </w:trPr>
        <w:tc>
          <w:tcPr>
            <w:tcW w:type="dxa" w:w="21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Segment</w:t>
            </w:r>
          </w:p>
        </w:tc>
        <w:tc>
          <w:tcPr>
            <w:tcW w:type="dxa" w:w="3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Description</w:t>
            </w:r>
          </w:p>
        </w:tc>
        <w:tc>
          <w:tcPr>
            <w:tcW w:type="dxa" w:w="33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Primary Value Exchange</w:t>
            </w:r>
          </w:p>
        </w:tc>
      </w:tr>
      <w:tr>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Anchor employer — T.S. Industries</w:t>
            </w:r>
          </w:p>
        </w:tc>
        <w:tc>
          <w:tcPr>
            <w:tcW w:type="dxa" w:w="3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seven T.S. Industries subsidiaries (Energy, Construction, AgriTech, Water, Digital Infrastructure, Manufacturing, Logistics) are the primary, structurally guaranteed employer pipeline for GBS-SETHS graduates — not an external partner but part of the same closed-loop institution.</w:t>
            </w:r>
          </w:p>
        </w:tc>
        <w:tc>
          <w:tcPr>
            <w:tcW w:type="dxa" w:w="3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Guaranteed pipeline alignment; T.S. project workforce needs are matched to S.E.T.H.S. vocational streams by design, not by cold outreach</w:t>
            </w:r>
          </w:p>
        </w:tc>
      </w:tr>
      <w:tr>
        <w:tc>
          <w:tcPr>
            <w:tcW w:type="dxa" w:w="2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SME partners</w:t>
            </w:r>
          </w:p>
        </w:tc>
        <w:tc>
          <w:tcPr>
            <w:tcW w:type="dxa" w:w="3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Small and medium enterprises in construction, digital services, agriculture, and community health, sourced regionally around each node</w:t>
            </w:r>
          </w:p>
        </w:tc>
        <w:tc>
          <w:tcPr>
            <w:tcW w:type="dxa" w:w="3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B-BBEE skills-development credit; lower-cost access to pre-assessed, work-ready candidates</w:t>
            </w:r>
          </w:p>
        </w:tc>
      </w:tr>
      <w:tr>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Public sector</w:t>
            </w:r>
          </w:p>
        </w:tc>
        <w:tc>
          <w:tcPr>
            <w:tcW w:type="dxa" w:w="3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Government departments (SETA, EPWP, DSD, DCS, provincial skills development) and municipal partners such as the City of Johannesburg</w:t>
            </w:r>
          </w:p>
        </w:tc>
        <w:tc>
          <w:tcPr>
            <w:tcW w:type="dxa" w:w="3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Outcomes-based funding relationship (Document 00 §13.1) plus a credible delivery partner for public employment mandates</w:t>
            </w:r>
          </w:p>
        </w:tc>
      </w:tr>
      <w:tr>
        <w:tc>
          <w:tcPr>
            <w:tcW w:type="dxa" w:w="2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Co-operatives</w:t>
            </w:r>
          </w:p>
        </w:tc>
        <w:tc>
          <w:tcPr>
            <w:tcW w:type="dxa" w:w="3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Worker co-operatives and social enterprises, particularly relevant to the Reintegration cohort (Cohort 1) where a structured, supportive employment environment is often a better fit than a conventional employer</w:t>
            </w:r>
          </w:p>
        </w:tc>
        <w:tc>
          <w:tcPr>
            <w:tcW w:type="dxa" w:w="3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Alignment with GBS-SETHS's dignity-first placement philosophy</w:t>
            </w:r>
          </w:p>
        </w:tc>
      </w:tr>
    </w:tbl>
    <w:p>
      <w:pPr>
        <w:pStyle w:val="Heading1"/>
      </w:pPr>
      <w:r>
        <w:t xml:space="preserve">2. Value Proposition to Employers</w:t>
      </w:r>
    </w:p>
    <w:p>
      <w:pPr>
        <w:pStyle w:val="ListParagraph"/>
        <w:numPr>
          <w:ilvl w:val="0"/>
          <w:numId w:val="2"/>
        </w:numPr>
        <w:spacing w:after="100" w:line="276"/>
      </w:pPr>
      <w:r>
        <w:t xml:space="preserve">Skills Passport verification — every candidate presented arrives with a UDOC-verified, tamper-proof record of competency, not a CV the employer must take on faith (Document 04)</w:t>
      </w:r>
    </w:p>
    <w:p>
      <w:pPr>
        <w:pStyle w:val="ListParagraph"/>
        <w:numPr>
          <w:ilvl w:val="0"/>
          <w:numId w:val="2"/>
        </w:numPr>
        <w:spacing w:after="100" w:line="276"/>
      </w:pPr>
      <w:r>
        <w:t xml:space="preserve">Outcome-based hiring — employers engage a candidate pool that has already passed Silver-tier employer-readiness certification (Document 00 §11.1), reducing the employer's own screening cost</w:t>
      </w:r>
    </w:p>
    <w:p>
      <w:pPr>
        <w:pStyle w:val="ListParagraph"/>
        <w:numPr>
          <w:ilvl w:val="0"/>
          <w:numId w:val="2"/>
        </w:numPr>
        <w:spacing w:after="100" w:line="276"/>
      </w:pPr>
      <w:r>
        <w:t xml:space="preserve">Subsidised onboarding — case-manager support continues through the first 90 days of employment, reducing the employer's early-tenure attrition risk</w:t>
      </w:r>
    </w:p>
    <w:p>
      <w:pPr>
        <w:pStyle w:val="ListParagraph"/>
        <w:numPr>
          <w:ilvl w:val="0"/>
          <w:numId w:val="2"/>
        </w:numPr>
        <w:spacing w:after="100" w:line="276"/>
      </w:pPr>
      <w:r>
        <w:t xml:space="preserve">Retention support — Phase 5/6 ongoing check-ins (Document 00 §9) mean the employer is not solely responsible for a new hire's post-placement stability</w:t>
      </w:r>
    </w:p>
    <w:p>
      <w:pPr>
        <w:pStyle w:val="Heading1"/>
      </w:pPr>
      <w:r>
        <w:t xml:space="preserve">3. Engagement Model</w:t>
      </w:r>
    </w:p>
    <w:p>
      <w:pPr>
        <w:pStyle w:val="Heading2"/>
      </w:pPr>
      <w:r>
        <w:t xml:space="preserve">3.1  Employer MOU</w:t>
      </w:r>
    </w:p>
    <w:p>
      <w:pPr>
        <w:spacing w:after="160" w:line="276"/>
        <w:jc w:val="left"/>
      </w:pPr>
      <w:r>
        <w:t xml:space="preserve">Every Layer 5 partnership is formalised through an Employer MOU, incorporating the Absorption Commitment Clause (Document 00 §6.3) by reference as a non-negotiable term. The MOU is not a franchise licence — the employer holds no rights to the methodology or the GBS-SETHS brand beyond an agreed co-branding allowance for their own recruitment marketing.</w:t>
      </w:r>
    </w:p>
    <w:p>
      <w:pPr>
        <w:pStyle w:val="Heading2"/>
      </w:pPr>
      <w:r>
        <w:t xml:space="preserve">3.2  Placement Guarantees &amp; Shared-Risk Contracts</w:t>
      </w:r>
    </w:p>
    <w:p>
      <w:pPr>
        <w:spacing w:after="160" w:line="276"/>
        <w:jc w:val="left"/>
      </w:pPr>
      <w:r>
        <w:t xml:space="preserve">Where M.A.D.I.B.A outcome-based funding is in place (Document 00 §13.1), employer agreements can incorporate shared-risk structures — for example, a reduced upfront placement fee offset by a success-fee triggered on the 90-day verified retention outcome, aligning the employer's incentive with the participant's actual, not just initial, employment success.</w:t>
      </w:r>
    </w:p>
    <w:p>
      <w:pPr>
        <w:pStyle w:val="Heading1"/>
      </w:pPr>
      <w:r>
        <w:t xml:space="preserve">4. Verification &amp; Incentives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960"/>
      </w:tblGrid>
      <w:tr>
        <w:trPr>
          <w:tblHeader/>
        </w:trPr>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Mechanism</w:t>
            </w:r>
          </w:p>
        </w:tc>
        <w:tc>
          <w:tcPr>
            <w:tcW w:type="dxa" w:w="6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How It Works</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 placement verification</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placement is only counted as an outcome once UDOC's Placement Layer (M4) has a sealed, employer-confirmed record — protecting both the employer (accurate reporting) and the programme (against inflated placement claims).</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 performance scorecard</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Tracks retention rate, absorption-clause compliance, and employer satisfaction per partner, feeding both the Employer Partnerships Manager's account planning and, in aggregate, the Document 00 §7.1 outcome data.</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Incentive tiers</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Employers with strong retention and absorption performance receive priority access to the next cohort's candidate pool before it opens more broadly — an earned advantage, not a paid one.</w:t>
            </w:r>
          </w:p>
        </w:tc>
      </w:tr>
    </w:tbl>
    <w:p>
      <w:pPr>
        <w:pStyle w:val="Heading1"/>
      </w:pPr>
      <w:r>
        <w:t xml:space="preserve">5. Workplace Integration</w:t>
      </w:r>
    </w:p>
    <w:p>
      <w:pPr>
        <w:pStyle w:val="ListParagraph"/>
        <w:numPr>
          <w:ilvl w:val="0"/>
          <w:numId w:val="2"/>
        </w:numPr>
        <w:spacing w:after="100" w:line="276"/>
      </w:pPr>
      <w:r>
        <w:t xml:space="preserve">Onboarding modules: a short workplace-integration module co-delivered with the employer in the first two weeks of placement, covering the specific employer's systems and expectations alongside the participant's existing professional-identity training</w:t>
      </w:r>
    </w:p>
    <w:p>
      <w:pPr>
        <w:pStyle w:val="ListParagraph"/>
        <w:numPr>
          <w:ilvl w:val="0"/>
          <w:numId w:val="2"/>
        </w:numPr>
        <w:spacing w:after="100" w:line="276"/>
      </w:pPr>
      <w:r>
        <w:t xml:space="preserve">Mentor pairing: where the employer already has a Layer-5-experienced supervisor or a GBS-SETHS alumnus on staff, the new hire is paired with them for the first 90 days</w:t>
      </w:r>
    </w:p>
    <w:p>
      <w:pPr>
        <w:pStyle w:val="ListParagraph"/>
        <w:numPr>
          <w:ilvl w:val="0"/>
          <w:numId w:val="2"/>
        </w:numPr>
        <w:spacing w:after="100" w:line="276"/>
      </w:pPr>
      <w:r>
        <w:t xml:space="preserve">Workplace communication training: delivered as part of the Communication Methodology Pillar (Document 00 §8.2) before placement, not left to the employer to teach post-hoc</w:t>
      </w:r>
    </w:p>
    <w:p>
      <w:pPr>
        <w:pStyle w:val="Heading1"/>
      </w:pPr>
      <w:r>
        <w:t xml:space="preserve">Templates &amp; Annexes</w:t>
      </w:r>
    </w:p>
    <w:p>
      <w:pPr>
        <w:pStyle w:val="Heading2"/>
      </w:pPr>
      <w:r>
        <w:t xml:space="preserve">Annex A — Employer MOU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Section</w:t>
            </w:r>
          </w:p>
        </w:tc>
        <w:tc>
          <w:tcPr>
            <w:tcW w:type="dxa" w:w="6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Content</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Parties &amp; Scope</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Employer name, sector, placement volume anticipated</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Absorption Commitment Clause</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Incorporated in full by reference to Document 00 §6.3</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Verification Consent</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Employer agrees to confirm placement and retention data to UDOC's Placement Layer</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Fee Structure (if applicable)</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Where a placement or success fee applies, per Section 3.2 above</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Term &amp; Termination</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Standard annual term with renewal tied to the performance scorecard in Section 4</w:t>
            </w:r>
          </w:p>
        </w:tc>
      </w:tr>
    </w:tbl>
    <w:p>
      <w:pPr>
        <w:pStyle w:val="Heading2"/>
      </w:pPr>
      <w:r>
        <w:t xml:space="preserve">Annex B — Placement Verification Checklist</w:t>
      </w:r>
    </w:p>
    <w:p>
      <w:pPr>
        <w:pStyle w:val="ListParagraph"/>
        <w:numPr>
          <w:ilvl w:val="0"/>
          <w:numId w:val="2"/>
        </w:numPr>
        <w:spacing w:after="100" w:line="276"/>
      </w:pPr>
      <w:r>
        <w:t xml:space="preserve">UDOC-confirmed employment commencement record</w:t>
      </w:r>
    </w:p>
    <w:p>
      <w:pPr>
        <w:pStyle w:val="ListParagraph"/>
        <w:numPr>
          <w:ilvl w:val="0"/>
          <w:numId w:val="2"/>
        </w:numPr>
        <w:spacing w:after="100" w:line="276"/>
      </w:pPr>
      <w:r>
        <w:t xml:space="preserve">30/60/90-day retention check-in logged</w:t>
      </w:r>
    </w:p>
    <w:p>
      <w:pPr>
        <w:pStyle w:val="ListParagraph"/>
        <w:numPr>
          <w:ilvl w:val="0"/>
          <w:numId w:val="2"/>
        </w:numPr>
        <w:spacing w:after="100" w:line="276"/>
      </w:pPr>
      <w:r>
        <w:t xml:space="preserve">Absorption Commitment Clause decision letter on file where applicable</w:t>
      </w:r>
    </w:p>
    <w:p>
      <w:pPr>
        <w:pStyle w:val="Heading2"/>
      </w:pPr>
      <w:r>
        <w:t xml:space="preserve">Annex C — Employer Satisfaction Survey (Structure)</w:t>
      </w:r>
    </w:p>
    <w:p>
      <w:pPr>
        <w:pStyle w:val="ListParagraph"/>
        <w:numPr>
          <w:ilvl w:val="0"/>
          <w:numId w:val="2"/>
        </w:numPr>
        <w:spacing w:after="100" w:line="276"/>
      </w:pPr>
      <w:r>
        <w:t xml:space="preserve">Would rehire another GBS-SETHS graduate? (target: 80%+ yes)</w:t>
      </w:r>
    </w:p>
    <w:p>
      <w:pPr>
        <w:pStyle w:val="ListParagraph"/>
        <w:numPr>
          <w:ilvl w:val="0"/>
          <w:numId w:val="2"/>
        </w:numPr>
        <w:spacing w:after="100" w:line="276"/>
      </w:pPr>
      <w:r>
        <w:t xml:space="preserve">Candidate work-readiness rating</w:t>
      </w:r>
    </w:p>
    <w:p>
      <w:pPr>
        <w:pStyle w:val="ListParagraph"/>
        <w:numPr>
          <w:ilvl w:val="0"/>
          <w:numId w:val="2"/>
        </w:numPr>
        <w:spacing w:after="100" w:line="276"/>
      </w:pPr>
      <w:r>
        <w:t xml:space="preserve">Case-manager support helpfulness rating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Absorption Commitment Clause, the MOU structure, and the placement-verification mechanism are fully specified and consistent with Document 00 and Document 02.</w:t>
            </w:r>
          </w:p>
          <w:p>
            <w:pPr>
              <w:spacing w:after="60"/>
            </w:pPr>
            <w:r>
              <w:rPr>
                <w:b/>
                <w:bCs/>
              </w:rPr>
              <w:t xml:space="preserve">Designed / production-specified, not yet built:  </w:t>
            </w:r>
            <w:r>
              <w:t xml:space="preserve">The employer performance scorecard and incentive-tier system are designed but not yet operated against real placement data — the pilot's first 3 employer partnerships (Document 02, Stage 0) will be the first live test.</w:t>
            </w:r>
          </w:p>
          <w:p>
            <w:pPr>
              <w:spacing w:after="0"/>
            </w:pPr>
            <w:r>
              <w:rPr>
                <w:b/>
                <w:bCs/>
              </w:rPr>
              <w:t xml:space="preserve">Aspirational / long-horizon:  </w:t>
            </w:r>
            <w:r>
              <w:t xml:space="preserve">A full Layer 5 ecosystem spanning every T.S. Industries subsidiary and multiple government departments simultaneously is a Stage 3+ target (Document 00, Part VII).</w:t>
            </w:r>
          </w:p>
        </w:tc>
      </w:tr>
    </w:tbl>
    <w:p>
      <w:pPr>
        <w:pStyle w:val="Heading1"/>
      </w:pPr>
      <w:r>
        <w:t xml:space="preserve">Implementation Checklist</w:t>
      </w:r>
    </w:p>
    <w:p>
      <w:pPr>
        <w:pStyle w:val="ListParagraph"/>
        <w:numPr>
          <w:ilvl w:val="0"/>
          <w:numId w:val="3"/>
        </w:numPr>
        <w:spacing w:after="100" w:line="276"/>
      </w:pPr>
      <w:r>
        <w:t xml:space="preserve">Map T.S. Industries' anticipated Year 1–2 project workforce needs directly against S.E.T.H.S. vocational streams before pilot intake, so the anchor-employer pipeline is not left to chance.</w:t>
      </w:r>
    </w:p>
    <w:p>
      <w:pPr>
        <w:pStyle w:val="ListParagraph"/>
        <w:numPr>
          <w:ilvl w:val="0"/>
          <w:numId w:val="3"/>
        </w:numPr>
        <w:spacing w:after="100" w:line="276"/>
      </w:pPr>
      <w:r>
        <w:t xml:space="preserve">Secure and sign the first 3 employer MOUs during Stage 0 (Document 02, Section 5), each with the Absorption Commitment Clause executed.</w:t>
      </w:r>
    </w:p>
    <w:p>
      <w:pPr>
        <w:pStyle w:val="ListParagraph"/>
        <w:numPr>
          <w:ilvl w:val="0"/>
          <w:numId w:val="3"/>
        </w:numPr>
        <w:spacing w:after="100" w:line="276"/>
      </w:pPr>
      <w:r>
        <w:t xml:space="preserve">Build the employer performance scorecard as a UDOC Analytics Layer (M5) view before the first 90-day retention milestone arrives.</w:t>
      </w:r>
    </w:p>
    <w:p>
      <w:pPr>
        <w:pBdr>
          <w:bottom w:val="single" w:color="C9A84C" w:sz="6"/>
        </w:pBdr>
        <w:spacing w:after="120" w:before="120"/>
      </w:pPr>
    </w:p>
    <w:p>
      <w:pPr>
        <w:spacing w:after="40" w:before="200"/>
        <w:jc w:val="center"/>
      </w:pPr>
      <w:r>
        <w:rPr>
          <w:color w:val="5B6472"/>
          <w:sz w:val="18"/>
          <w:szCs w:val="18"/>
        </w:rPr>
        <w:t xml:space="preserve">GBS-SETHS Employer Acquisition Framework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INSTITUTIONAL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GBS-SETHS Employer Acquisition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2026-07-10T02:39:47.274Z</dcterms:created>
  <dcterms:modified xsi:type="dcterms:W3CDTF">2026-07-10T02:39:47.274Z</dcterms:modified>
</cp:coreProperties>
</file>

<file path=docProps/custom.xml><?xml version="1.0" encoding="utf-8"?>
<Properties xmlns="http://schemas.openxmlformats.org/officeDocument/2006/custom-properties" xmlns:vt="http://schemas.openxmlformats.org/officeDocument/2006/docPropsVTypes"/>
</file>