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jc w:val="center"/>
      </w:pPr>
      <w:r>
        <w:rPr>
          <w:b/>
          <w:bCs/>
          <w:color w:val="16233A"/>
          <w:sz w:val="22"/>
          <w:szCs w:val="22"/>
        </w:rPr>
        <w:t xml:space="preserve">G . O . D . S   H O L D I N G S</w:t>
      </w:r>
    </w:p>
    <w:p>
      <w:pPr>
        <w:spacing w:after="320"/>
        <w:jc w:val="center"/>
      </w:pPr>
      <w:r>
        <w:rPr>
          <w:color w:val="5B6472"/>
          <w:sz w:val="16"/>
          <w:szCs w:val="16"/>
        </w:rPr>
        <w:t xml:space="preserve">GOOD ORDERLY DIRECTIONAL SYSTEMS  ·  GBS-SETHS INSTITUTIONAL READINESS PACKAGE</w:t>
      </w:r>
    </w:p>
    <w:p>
      <w:pPr>
        <w:spacing w:after="120"/>
        <w:jc w:val="center"/>
      </w:pPr>
      <w:r>
        <w:rPr>
          <w:b/>
          <w:bCs/>
          <w:color w:val="8C7330"/>
          <w:sz w:val="18"/>
          <w:szCs w:val="18"/>
        </w:rPr>
        <w:t xml:space="preserve">DOCUMENT 06 of 11 OF 11</w:t>
      </w:r>
    </w:p>
    <w:p>
      <w:pPr>
        <w:spacing w:after="160"/>
        <w:jc w:val="center"/>
      </w:pPr>
      <w:r>
        <w:rPr>
          <w:b/>
          <w:bCs/>
          <w:color w:val="16233A"/>
          <w:sz w:val="40"/>
          <w:szCs w:val="40"/>
        </w:rPr>
        <w:t xml:space="preserve">GIS Architecture Specification</w:t>
      </w:r>
    </w:p>
    <w:p>
      <w:pPr>
        <w:spacing w:after="400"/>
        <w:jc w:val="center"/>
      </w:pPr>
      <w:r>
        <w:rPr>
          <w:i/>
          <w:iCs/>
          <w:color w:val="5B6472"/>
          <w:sz w:val="24"/>
          <w:szCs w:val="24"/>
        </w:rPr>
        <w:t xml:space="preserve">The G.O.D.S. Intelligence System — Full Technical Architecture, Including Geospatial Node Monitoring</w:t>
      </w:r>
    </w:p>
    <w:p>
      <w:pPr>
        <w:spacing w:after="100"/>
        <w:jc w:val="center"/>
      </w:pPr>
      <w:r>
        <w:rPr>
          <w:color w:val="16233A"/>
          <w:sz w:val="20"/>
          <w:szCs w:val="20"/>
        </w:rPr>
        <w:t xml:space="preserve">TECHNICAL SPECIFICATION · THE LEVEL-6 AI BACKBONE, ITS SEVEN FUNCTIONS, AND ITS NODE-INTEGRITY MONITORING LAYER</w:t>
      </w:r>
    </w:p>
    <w:p>
      <w:pPr>
        <w:spacing w:after="400"/>
        <w:jc w:val="center"/>
      </w:pPr>
      <w:r>
        <w:rPr>
          <w:color w:val="5B6472"/>
          <w:sz w:val="18"/>
          <w:szCs w:val="18"/>
        </w:rPr>
        <w:t xml:space="preserve">Version 1.0 · July 2026 · Extends Document 00, Part I, Section 3 into full technical detail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60"/>
            </w:pPr>
            <w:r>
              <w:rPr>
                <w:b/>
                <w:bCs/>
              </w:rPr>
              <w:t xml:space="preserve">Architect &amp; Founder:  </w:t>
            </w:r>
            <w:r>
              <w:t xml:space="preserve">Sashin J. Singh</w:t>
            </w:r>
          </w:p>
          <w:p>
            <w:pPr>
              <w:spacing w:after="60"/>
            </w:pPr>
            <w:r>
              <w:rPr>
                <w:b/>
                <w:bCs/>
              </w:rPr>
              <w:t xml:space="preserve">Institution:  </w:t>
            </w:r>
            <w:r>
              <w:t xml:space="preserve">G.O.D.S Holdings (Pty) Ltd — Pre-Registration, Johannesburg, South Africa</w:t>
            </w:r>
          </w:p>
          <w:p>
            <w:pPr>
              <w:spacing w:after="60"/>
            </w:pPr>
            <w:r>
              <w:rPr>
                <w:b/>
                <w:bCs/>
              </w:rPr>
              <w:t xml:space="preserve">IP Custodian:  </w:t>
            </w:r>
            <w:r>
              <w:t xml:space="preserve">G.O.D.S IP Trust — Trust Property Control Act 57 of 1988</w:t>
            </w:r>
          </w:p>
          <w:p>
            <w:pPr>
              <w:spacing w:after="60"/>
            </w:pPr>
            <w:r>
              <w:rPr>
                <w:b/>
                <w:bCs/>
              </w:rPr>
              <w:t xml:space="preserve">Document Classification:  </w:t>
            </w:r>
            <w:r>
              <w:t xml:space="preserve">INSTITUTIONAL — Cover Letter Required for External Distribution</w:t>
            </w:r>
          </w:p>
          <w:p>
            <w:pPr>
              <w:spacing w:after="0"/>
            </w:pPr>
            <w:r>
              <w:rPr>
                <w:b/>
                <w:bCs/>
              </w:rPr>
              <w:t xml:space="preserve">Package:  </w:t>
            </w:r>
            <w:r>
              <w:t xml:space="preserve">GBS-SETHS Institutional Readiness Package — consolidating GBS-SETHS Framework v1.0/v2.0 with 10 companion registration-grade instruments</w:t>
            </w:r>
          </w:p>
        </w:tc>
      </w:tr>
    </w:tbl>
    <w:p>
      <w:pPr>
        <w:spacing w:after="3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0"/>
            </w:pPr>
            <w:r>
              <w:rPr>
                <w:b/>
                <w:bCs/>
              </w:rPr>
              <w:t xml:space="preserve">Authorship declaration.  </w:t>
            </w:r>
            <w:r>
              <w:t xml:space="preserve">This document translates a decade of Sashin J. Singh's original institutional architecture — conceived 2016 (Seth's Empire, Johannesburg), continuously refined through personal, academic, and lived development, and previously formalised in GBS-SETHS v1.0/v2.0, the G.O.D.S. data room, and the live institutional platform — into a registration-grade instrument. AI production tools were used to draft, structure, cross-reference, and format this document from that existing body of work and from SJS's direct specification of its required structure and content. The architecture, the pillars, the methodology, the terminology, and the decade of lived commitment are SJS's own. AI did not originate the institutional design; it produced the document.</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600"/>
        <w:gridCol w:w="2360"/>
        <w:gridCol w:w="4000"/>
      </w:tblGrid>
      <w:tr>
        <w:trPr>
          <w:tblHeader/>
        </w:trPr>
        <w:tc>
          <w:tcPr>
            <w:tcW w:type="dxa" w:w="1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Version</w:t>
            </w:r>
          </w:p>
        </w:tc>
        <w:tc>
          <w:tcPr>
            <w:tcW w:type="dxa" w:w="1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Date</w:t>
            </w:r>
          </w:p>
        </w:tc>
        <w:tc>
          <w:tcPr>
            <w:tcW w:type="dxa" w:w="23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Author</w:t>
            </w:r>
          </w:p>
        </w:tc>
        <w:tc>
          <w:tcPr>
            <w:tcW w:type="dxa" w:w="4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Change Summary</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1.0</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July 2026</w:t>
            </w:r>
          </w:p>
        </w:tc>
        <w:tc>
          <w:tcPr>
            <w:tcW w:type="dxa" w:w="2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SJS + AI documentation assistance</w:t>
            </w:r>
          </w:p>
        </w:tc>
        <w:tc>
          <w:tcPr>
            <w:tcW w:type="dxa" w:w="4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First issue — reconciles two uses of the acronym GIS in circulation (see the flagged note below) and specifies the full architecture accordingly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A naming note, flagged rather than silently resolved.</w:t>
            </w:r>
          </w:p>
          <w:p>
            <w:pPr>
              <w:spacing w:after="160" w:line="276"/>
              <w:jc w:val="left"/>
            </w:pPr>
            <w:r>
              <w:t xml:space="preserve">This document's brief — "Geospatial Monitoring &amp; Node Integrity" — describes GIS in the conventional technology sense, a Geographic Information System. But GBS-SETHS v2.0 (consolidated into Document 00, Part I, Section 3) already defines GIS as the </w:t>
            </w:r>
            <w:r>
              <w:rPr>
                <w:b/>
                <w:bCs/>
              </w:rPr>
              <w:t xml:space="preserve">G.O.D.S. Intelligence System</w:t>
            </w:r>
            <w:r>
              <w:t xml:space="preserve"> — the Level-6 AI backbone superseding EVA, with seven institution-wide functions (Digital Governor, Career Navigator, Digital Mentor, Compliance Verifier, Research &amp; Intelligence Engine, Outcome Auditor, Franchise Intelligence). Two different systems, one acronym, likely because this document's brief came from a separate conversation that did not have the G.O.D.S.-specific definition in front of it.</w:t>
            </w:r>
          </w:p>
          <w:p>
            <w:pPr>
              <w:spacing w:after="160" w:line="276"/>
              <w:jc w:val="left"/>
            </w:pPr>
            <w:r>
              <w:t xml:space="preserve">This document resolves the collision by specification rather than by silent choice: it is the full technical architecture of the G.O.D.S. Intelligence System, and the geospatial/node-integrity content requested is built in as one architectural module of it — Section 4 below — because spatial monitoring of franchise nodes is a natural extension of the Franchise Intelligence function GIS already performs. Nothing requested is dropped; nothing already defined is contradicted. If a genuinely separate, conventional Geographic Information System is also wanted for mapping and logistics purposes, that is a distinct, smaller build and should be named differently (e.g. "GBS Spatial Ops") to keep the two apart going forward.</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Systemic trace — the seven GBS questions this document answers</w:t>
            </w:r>
          </w:p>
          <w:p>
            <w:pPr>
              <w:spacing w:after="60"/>
            </w:pPr>
            <w:r>
              <w:rPr>
                <w:b/>
                <w:bCs/>
              </w:rPr>
              <w:t xml:space="preserve">What information exists?  </w:t>
            </w:r>
            <w:r>
              <w:t xml:space="preserve">Institutional decisions, participant navigation data, compliance signals, and — specifically for this document — the physical/digital location and boundary data of every GBS-SETHS node.</w:t>
            </w:r>
          </w:p>
          <w:p>
            <w:pPr>
              <w:spacing w:after="60"/>
            </w:pPr>
            <w:r>
              <w:rPr>
                <w:b/>
                <w:bCs/>
              </w:rPr>
              <w:t xml:space="preserve">How is it communicated?  </w:t>
            </w:r>
            <w:r>
              <w:t xml:space="preserve">Through UDOC's governance interface (M8) to the COB, and through the Career/Digital Mentor functions directly to participants.</w:t>
            </w:r>
          </w:p>
          <w:p>
            <w:pPr>
              <w:spacing w:after="60"/>
            </w:pPr>
            <w:r>
              <w:rPr>
                <w:b/>
                <w:bCs/>
              </w:rPr>
              <w:t xml:space="preserve">How is it transported?  </w:t>
            </w:r>
            <w:r>
              <w:t xml:space="preserve">Across all ten levels of the G.O.D.S. architecture (Document 00, Part I §1.2) via UDOC's module bus.</w:t>
            </w:r>
          </w:p>
          <w:p>
            <w:pPr>
              <w:spacing w:after="60"/>
            </w:pPr>
            <w:r>
              <w:rPr>
                <w:b/>
                <w:bCs/>
              </w:rPr>
              <w:t xml:space="preserve">How is it received?  </w:t>
            </w:r>
            <w:r>
              <w:t xml:space="preserve">By division heads, the COB, National/Regional GBS authorities, and — for the geospatial module specifically — anyone assessing licence risk or node performance by location.</w:t>
            </w:r>
          </w:p>
          <w:p>
            <w:pPr>
              <w:spacing w:after="60"/>
            </w:pPr>
            <w:r>
              <w:rPr>
                <w:b/>
                <w:bCs/>
              </w:rPr>
              <w:t xml:space="preserve">How is learning/compliance verified?  </w:t>
            </w:r>
            <w:r>
              <w:t xml:space="preserve">Through the fail-closed constitutional constraint (Section 5) and the sealed UDOC audit trail applied to every GIS decision, geospatial or otherwise.</w:t>
            </w:r>
          </w:p>
          <w:p>
            <w:pPr>
              <w:spacing w:after="60"/>
            </w:pPr>
            <w:r>
              <w:rPr>
                <w:b/>
                <w:bCs/>
              </w:rPr>
              <w:t xml:space="preserve">How is the process repeated?  </w:t>
            </w:r>
            <w:r>
              <w:t xml:space="preserve">Every institutional decision, every participant interaction, and every node-compliance check runs through the same architecture, whether it is the first node or the thousandth.</w:t>
            </w:r>
          </w:p>
          <w:p>
            <w:pPr>
              <w:spacing w:after="0"/>
            </w:pPr>
            <w:r>
              <w:rPr>
                <w:b/>
                <w:bCs/>
              </w:rPr>
              <w:t xml:space="preserve">How does it scale to civilisational level?  </w:t>
            </w:r>
            <w:r>
              <w:t xml:space="preserve">GIS is explicitly designed to serve all ten G.O.D.S. levels and, per Section 4, an eventual multi-region node network simultaneously — a single intelligence layer, not one instance per node.</w:t>
            </w:r>
          </w:p>
        </w:tc>
      </w:tr>
    </w:tbl>
    <w:p>
      <w:r>
        <w:br w:type="page"/>
      </w:r>
    </w:p>
    <w:p>
      <w:pPr>
        <w:pStyle w:val="Heading1"/>
      </w:pPr>
      <w:r>
        <w:t xml:space="preserve">1. Overview</w:t>
      </w:r>
    </w:p>
    <w:p>
      <w:pPr>
        <w:spacing w:after="160" w:line="276"/>
        <w:jc w:val="left"/>
      </w:pPr>
      <w:r>
        <w:t xml:space="preserve">The G.O.D.S. Intelligence System (GIS) is the artificial intelligence backbone of the G.O.D.S. ecosystem, superseding EVA (Engine for Verified Accountability), UDOC's original single-division AI governance engine. GIS is not a general-purpose AI chatbot — it is a constitutionally governed, sovereign-aligned, domain-specific intelligence system designed to govern, navigate, assess, verify, and report, across all ten levels of the G.O.D.S. architecture simultaneously (Document 00, Part I, Section 1.2).</w:t>
      </w:r>
    </w:p>
    <w:p>
      <w:pPr>
        <w:pStyle w:val="Heading1"/>
      </w:pPr>
      <w:r>
        <w:t xml:space="preserve">2. Core Functions</w:t>
      </w:r>
    </w:p>
    <w:p>
      <w:pPr>
        <w:spacing w:after="160" w:line="276"/>
        <w:jc w:val="left"/>
      </w:pPr>
      <w:r>
        <w:t xml:space="preserve">Reproduced from Document 00 §3.1 as the anchor reference, with the technical role of each function stated explicitly for a development team.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4200"/>
        <w:gridCol w:w="3360"/>
      </w:tblGrid>
      <w:tr>
        <w:trPr>
          <w:tblHeader/>
        </w:trPr>
        <w:tc>
          <w:tcPr>
            <w:tcW w:type="dxa" w:w="18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Function</w:t>
            </w:r>
          </w:p>
        </w:tc>
        <w:tc>
          <w:tcPr>
            <w:tcW w:type="dxa" w:w="4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What GIS Does</w:t>
            </w:r>
          </w:p>
        </w:tc>
        <w:tc>
          <w:tcPr>
            <w:tcW w:type="dxa" w:w="33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Technical Role</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Digital Governor</w:t>
            </w:r>
          </w:p>
        </w:tc>
        <w:tc>
          <w:tcPr>
            <w:tcW w:type="dxa" w:w="4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Issues sealed, auditable governance decisions via UDOC; applies constitutional pillar compliance checks to every institutional decision.</w:t>
            </w:r>
          </w:p>
        </w:tc>
        <w:tc>
          <w:tcPr>
            <w:tcW w:type="dxa" w:w="3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Rules engine + UDOC write interface (Governance Layer, M8)</w:t>
            </w:r>
          </w:p>
        </w:tc>
      </w:tr>
      <w:tr>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Career Navigator</w:t>
            </w:r>
          </w:p>
        </w:tc>
        <w:tc>
          <w:tcPr>
            <w:tcW w:type="dxa" w:w="4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Assesses participant skills, goals, learning style, and employment barriers; maps to vocational pathway and employer ecosystem.</w:t>
            </w:r>
          </w:p>
        </w:tc>
        <w:tc>
          <w:tcPr>
            <w:tcW w:type="dxa" w:w="33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Recommendation engine reading from the Skills Passport (Document 04) and Placement Layer (M4)</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Digital Mentor</w:t>
            </w:r>
          </w:p>
        </w:tc>
        <w:tc>
          <w:tcPr>
            <w:tcW w:type="dxa" w:w="4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On-demand learning support, progress monitoring, motivational guidance through the CET/CTE journey.</w:t>
            </w:r>
          </w:p>
        </w:tc>
        <w:tc>
          <w:tcPr>
            <w:tcW w:type="dxa" w:w="3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Conversational/adaptive interface bound by Pillar VIII — supports, never replaces, the human case manager</w:t>
            </w:r>
          </w:p>
        </w:tc>
      </w:tr>
      <w:tr>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Compliance Verifier</w:t>
            </w:r>
          </w:p>
        </w:tc>
        <w:tc>
          <w:tcPr>
            <w:tcW w:type="dxa" w:w="4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Verifies delivery operators, employer partners, and franchise nodes meet constitutional and operational standards; flags violations to the COB.</w:t>
            </w:r>
          </w:p>
        </w:tc>
        <w:tc>
          <w:tcPr>
            <w:tcW w:type="dxa" w:w="33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Rules engine over UDOC's Compliance Layer (M9) data</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Research &amp; Intelligence Engine</w:t>
            </w:r>
          </w:p>
        </w:tc>
        <w:tc>
          <w:tcPr>
            <w:tcW w:type="dxa" w:w="4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Tracks global AI displacement trends, labour-market shifts, and regulatory developments to inform methodology updates.</w:t>
            </w:r>
          </w:p>
        </w:tc>
        <w:tc>
          <w:tcPr>
            <w:tcW w:type="dxa" w:w="3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External data ingestion + trend analysis, reporting to Leadership and the GBS Global Council</w:t>
            </w:r>
          </w:p>
        </w:tc>
      </w:tr>
      <w:tr>
        <w:tc>
          <w:tcPr>
            <w:tcW w:type="dxa" w:w="18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Outcome Auditor</w:t>
            </w:r>
          </w:p>
        </w:tc>
        <w:tc>
          <w:tcPr>
            <w:tcW w:type="dxa" w:w="4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Records, verifies, and reports all participant outcomes to UDOC's sealed audit trail.</w:t>
            </w:r>
          </w:p>
        </w:tc>
        <w:tc>
          <w:tcPr>
            <w:tcW w:type="dxa" w:w="33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Write-once event logging against the Economic Layer (M7) and Certification Layer (M6)</w:t>
            </w:r>
          </w:p>
        </w:tc>
      </w:tr>
      <w:tr>
        <w:tc>
          <w:tcPr>
            <w:tcW w:type="dxa" w:w="18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Franchise Intelligence</w:t>
            </w:r>
          </w:p>
        </w:tc>
        <w:tc>
          <w:tcPr>
            <w:tcW w:type="dxa" w:w="4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Monitors performance across all GBS franchise nodes globally; escalates underperformance to National/Regional GBS.</w:t>
            </w:r>
          </w:p>
        </w:tc>
        <w:tc>
          <w:tcPr>
            <w:tcW w:type="dxa" w:w="3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Aggregation and anomaly-detection layer — this is where Section 4's geospatial module attaches</w:t>
            </w:r>
          </w:p>
        </w:tc>
      </w:tr>
    </w:tbl>
    <w:p>
      <w:pPr>
        <w:pStyle w:val="Heading1"/>
      </w:pPr>
      <w:r>
        <w:t xml:space="preserve">3. Architecture — Fail-Closed by Design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Constitutional non-negotiable.</w:t>
            </w:r>
          </w:p>
          <w:p>
            <w:pPr>
              <w:spacing w:after="160" w:line="276"/>
              <w:jc w:val="left"/>
            </w:pPr>
            <w:r>
              <w:t xml:space="preserve">GIS operates fail-closed. In the absence of verified sovereign authorisation, GIS defaults to BLOCK. No AI decision in the G.O.D.S. ecosystem is permitted to harm a participant, violate a Constitutional Pillar, or override a COB halt — regardless of system state, network condition, or operational pressure. Human primacy (Pillar VIII) is a hard architectural constraint at the foundation layer, not a preference setting.</w:t>
            </w:r>
          </w:p>
        </w:tc>
      </w:tr>
    </w:tbl>
    <w:p>
      <w:pPr>
        <w:spacing w:after="160" w:line="276"/>
        <w:jc w:val="left"/>
      </w:pPr>
      <w:r>
        <w:t xml:space="preserve">Practically, this means every GIS function above has a defined degraded-mode behaviour: if the Compliance Verifier cannot confirm a node's status with sufficient confidence, it does not guess — it flags for human review and, where a constitutional risk is plausible, defaults to a provisional BLOCK on the affected action (consistent with Document 00 §6.1's Franchise Governance table) rather than allowing the action to proceed unreviewed.</w:t>
      </w:r>
    </w:p>
    <w:p>
      <w:pPr>
        <w:pStyle w:val="Heading1"/>
      </w:pPr>
      <w:r>
        <w:t xml:space="preserve">4. Geospatial &amp; Node-Integrity Monitoring Module</w:t>
      </w:r>
    </w:p>
    <w:p>
      <w:pPr>
        <w:spacing w:after="160" w:line="276"/>
        <w:jc w:val="left"/>
      </w:pPr>
      <w:r>
        <w:t xml:space="preserve">This module operationalises the Franchise Intelligence function (Section 2) with a spatial data layer — monitoring where nodes, delivery sites, and employer partners are located, and using that layer to support constitutional enforcement and licence-risk scoring. This is the specific content originally briefed for this document, now positioned as a GIS subsystem rather than a competing system.</w:t>
      </w:r>
    </w:p>
    <w:p>
      <w:pPr>
        <w:pStyle w:val="Heading2"/>
      </w:pPr>
      <w:r>
        <w:t xml:space="preserve">4.1  Spatial Data Model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Entity</w:t>
            </w:r>
          </w:p>
        </w:tc>
        <w:tc>
          <w:tcPr>
            <w:tcW w:type="dxa" w:w="69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What Is Stored</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Node boundary</w:t>
            </w:r>
          </w:p>
        </w:tc>
        <w:tc>
          <w:tcPr>
            <w:tcW w:type="dxa" w:w="6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geographic operating territory of a National (Layer 2) or Regional (Layer 3) GBS Authority, matching its licence scope (Document 03)</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Delivery site</w:t>
            </w:r>
          </w:p>
        </w:tc>
        <w:tc>
          <w:tcPr>
            <w:tcW w:type="dxa" w:w="6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Physical or registered-digital location of each Delivery Operator (Layer 4), linked to its UDOC certification record</w:t>
            </w:r>
          </w:p>
        </w:tc>
      </w:tr>
      <w:tr>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Employer location</w:t>
            </w:r>
          </w:p>
        </w:tc>
        <w:tc>
          <w:tcPr>
            <w:tcW w:type="dxa" w:w="69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Location of Certified Employer Ecosystem (Layer 5) partners, used for placement-matching proximity, not for surveillance purposes</w:t>
            </w:r>
          </w:p>
        </w:tc>
      </w:tr>
      <w:tr>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Participant geotag (consent-based only)</w:t>
            </w:r>
          </w:p>
        </w:tc>
        <w:tc>
          <w:tcPr>
            <w:tcW w:type="dxa" w:w="69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Never collected by default. Only recorded where a participant has explicitly opted in — for example, to support placement-matching to a nearby employer — and never shared beyond what is necessary for that specific purpose</w:t>
            </w:r>
          </w:p>
        </w:tc>
      </w:tr>
    </w:tbl>
    <w:p>
      <w:pPr>
        <w:pStyle w:val="Heading2"/>
      </w:pPr>
      <w:r>
        <w:t xml:space="preserve">4.2  Integration Points</w:t>
      </w:r>
    </w:p>
    <w:p>
      <w:pPr>
        <w:pStyle w:val="ListParagraph"/>
        <w:numPr>
          <w:ilvl w:val="0"/>
          <w:numId w:val="2"/>
        </w:numPr>
        <w:spacing w:after="100" w:line="276"/>
      </w:pPr>
      <w:r>
        <w:t xml:space="preserve">UDOC event mapping: every node-compliance event (Section 3) carries a node geo-reference so a Franchise Intelligence anomaly (Section 4.3) can be traced to a specific territory, not just a licence ID</w:t>
      </w:r>
    </w:p>
    <w:p>
      <w:pPr>
        <w:pStyle w:val="ListParagraph"/>
        <w:numPr>
          <w:ilvl w:val="0"/>
          <w:numId w:val="2"/>
        </w:numPr>
        <w:spacing w:after="100" w:line="276"/>
      </w:pPr>
      <w:r>
        <w:t xml:space="preserve">Skills Passport geo-provenance: the node geo-reference in each credential entry (Document 04, Section 2.1) is the same reference used here — one spatial data model, not two</w:t>
      </w:r>
    </w:p>
    <w:p>
      <w:pPr>
        <w:pStyle w:val="ListParagraph"/>
        <w:numPr>
          <w:ilvl w:val="0"/>
          <w:numId w:val="2"/>
        </w:numPr>
        <w:spacing w:after="100" w:line="276"/>
      </w:pPr>
      <w:r>
        <w:t xml:space="preserve">GIS alerts to the COB: any geospatially-flagged anomaly (Section 4.3) that reaches a constitutional-risk threshold escalates to the COB through the same channel as any other Compliance Verifier flag</w:t>
      </w:r>
    </w:p>
    <w:p>
      <w:pPr>
        <w:pStyle w:val="Heading2"/>
      </w:pPr>
      <w:r>
        <w:t xml:space="preserve">4.3  Monitoring &amp; Analytics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rPr>
          <w:tblHeader/>
        </w:trPr>
        <w:tc>
          <w:tcPr>
            <w:tcW w:type="dxa" w:w="2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Analytic</w:t>
            </w:r>
          </w:p>
        </w:tc>
        <w:tc>
          <w:tcPr>
            <w:tcW w:type="dxa" w:w="73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Purpose</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Heatmaps</w:t>
            </w:r>
          </w:p>
        </w:tc>
        <w:tc>
          <w:tcPr>
            <w:tcW w:type="dxa" w:w="7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Visualise cohort density, placement outcomes, or complaint volume by territory — an operational management view, not a public-facing product</w:t>
            </w:r>
          </w:p>
        </w:tc>
      </w:tr>
      <w:tr>
        <w:tc>
          <w:tcPr>
            <w:tcW w:type="dxa" w:w="2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Compliance overlays</w:t>
            </w:r>
          </w:p>
        </w:tc>
        <w:tc>
          <w:tcPr>
            <w:tcW w:type="dxa" w:w="73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Overlay licence-compliance status (Document 03, Annex D) onto the node map, so a National GBS Authority can see at a glance which of its Regional/Delivery nodes need attention</w:t>
            </w:r>
          </w:p>
        </w:tc>
      </w:tr>
      <w:tr>
        <w:tc>
          <w:tcPr>
            <w:tcW w:type="dxa" w:w="2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Licence risk scoring</w:t>
            </w:r>
          </w:p>
        </w:tc>
        <w:tc>
          <w:tcPr>
            <w:tcW w:type="dxa" w:w="7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 composite score per node combining outcome performance, compliance-audit history, and reporting timeliness — feeding the Outcome Underperformance Flag mechanism (Document 00 §6.1), not replacing the COB's judgement</w:t>
            </w:r>
          </w:p>
        </w:tc>
      </w:tr>
    </w:tbl>
    <w:p>
      <w:pPr>
        <w:pStyle w:val="Heading2"/>
      </w:pPr>
      <w:r>
        <w:t xml:space="preserve">4.4  Fail-Closed Rule for This Module</w:t>
      </w:r>
    </w:p>
    <w:p>
      <w:pPr>
        <w:spacing w:after="160" w:line="276"/>
        <w:jc w:val="left"/>
      </w:pPr>
      <w:r>
        <w:t xml:space="preserve">Consistent with Section 3: where the geospatial module detects a plausible constitutional violation at a specific node (for example, a cluster of outcome-data anomalies concentrated at one location), GIS issues a provisional BLOCK on that node's affected operations and escalates to the COB, rather than allowing operations to continue while the anomaly is investigated. The module informs and accelerates human decision-making; it does not substitute for it.</w:t>
      </w:r>
    </w:p>
    <w:p>
      <w:pPr>
        <w:pStyle w:val="Heading1"/>
      </w:pPr>
      <w:r>
        <w:t xml:space="preserve">5. Privacy &amp; Consent</w:t>
      </w:r>
    </w:p>
    <w:p>
      <w:pPr>
        <w:pStyle w:val="ListParagraph"/>
        <w:numPr>
          <w:ilvl w:val="0"/>
          <w:numId w:val="2"/>
        </w:numPr>
        <w:spacing w:after="100" w:line="276"/>
      </w:pPr>
      <w:r>
        <w:t xml:space="preserve">Minimal geolocation by default — node, delivery-site, and employer locations are operational data with no reasonable expectation of privacy at that level; participant-level location is never collected without explicit, specific opt-in</w:t>
      </w:r>
    </w:p>
    <w:p>
      <w:pPr>
        <w:pStyle w:val="ListParagraph"/>
        <w:numPr>
          <w:ilvl w:val="0"/>
          <w:numId w:val="2"/>
        </w:numPr>
        <w:spacing w:after="100" w:line="276"/>
      </w:pPr>
      <w:r>
        <w:t xml:space="preserve">Opt-in rules: any participant-level geotagging use case (e.g. proximity-based placement matching) must be presented as a distinct, specific consent request, not bundled into general programme consent at intake</w:t>
      </w:r>
    </w:p>
    <w:p>
      <w:pPr>
        <w:pStyle w:val="ListParagraph"/>
        <w:numPr>
          <w:ilvl w:val="0"/>
          <w:numId w:val="2"/>
        </w:numPr>
        <w:spacing w:after="100" w:line="276"/>
      </w:pPr>
      <w:r>
        <w:t xml:space="preserve">Data retention: node and delivery-site spatial data is retained for the life of the relevant licence plus the standard audit-retention period; participant-level geotags, where consented, are retained only as long as the specific purpose requires and are deleted (not merely marked inactive) on that purpose lapsing</w:t>
      </w:r>
    </w:p>
    <w:p>
      <w:pPr>
        <w:spacing w:after="160" w:line="276"/>
        <w:jc w:val="left"/>
      </w:pPr>
      <w:r>
        <w:t xml:space="preserve">Full data-protection legal grounding for all of the above: Document 09, Regulatory Compliance Framework.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seven core GIS functions and the fail-closed constitutional constraint are fully specified and consistent with Document 00.</w:t>
            </w:r>
          </w:p>
          <w:p>
            <w:pPr>
              <w:spacing w:after="60"/>
            </w:pPr>
            <w:r>
              <w:rPr>
                <w:b/>
                <w:bCs/>
              </w:rPr>
              <w:t xml:space="preserve">Designed / production-specified, not yet built:  </w:t>
            </w:r>
            <w:r>
              <w:t xml:space="preserve">The geospatial/node-integrity module in Section 4 is newly specified in this document, extending rather than duplicating the existing Franchise Intelligence function; it has not yet been built or tested against a live multi-node network, since only the single pilot node currently exists.</w:t>
            </w:r>
          </w:p>
          <w:p>
            <w:pPr>
              <w:spacing w:after="0"/>
            </w:pPr>
            <w:r>
              <w:rPr>
                <w:b/>
                <w:bCs/>
              </w:rPr>
              <w:t xml:space="preserve">Aspirational / long-horizon:  </w:t>
            </w:r>
            <w:r>
              <w:t xml:space="preserve">GIS operating as a genuinely cross-institutional, multi-region intelligence layer at full scale — the state this document assumes for Section 4's heatmap and node-comparison use cases — is a Stage 3+ target once more than one node exists to compare.</w:t>
            </w:r>
          </w:p>
        </w:tc>
      </w:tr>
    </w:tbl>
    <w:p>
      <w:pPr>
        <w:pStyle w:val="Heading1"/>
      </w:pPr>
      <w:r>
        <w:t xml:space="preserve">Annexes</w:t>
      </w:r>
    </w:p>
    <w:p>
      <w:pPr>
        <w:pStyle w:val="Heading2"/>
      </w:pPr>
      <w:r>
        <w:t xml:space="preserve">Annex A — GIS Schema (Illustrative)</w:t>
      </w:r>
    </w:p>
    <w:p>
      <w:pPr>
        <w:shd w:fill="F2F3F5" w:val="clear"/>
        <w:spacing w:after="200"/>
      </w:pPr>
      <w:r>
        <w:rPr>
          <w:rFonts w:ascii="Courier New" w:cs="Courier New" w:eastAsia="Courier New" w:hAnsi="Courier New"/>
          <w:sz w:val="17"/>
          <w:szCs w:val="17"/>
        </w:rPr>
        <w:t xml:space="preserve">{
  "node_id": "region_gbs:ZA-GP-JHB-001",
  "node_type": "delivery_operator",
  "licence_ref": "LIC-2026-ZA-0001",
  "geo_boundary": { "type": "Point", "coordinates": [28.0473, -26.2041] },
  "compliance_status": "active",
  "risk_score": { "value": 0.12, "band": "low", "last_computed": "2026-08-01T00:00:00Z" },
  "linked_participants_geotagged": 0,
  "linked_employers": ["employer_ref:TSI-ENERGY-001"]
}</w:t>
      </w:r>
    </w:p>
    <w:p>
      <w:pPr>
        <w:pStyle w:val="Heading2"/>
      </w:pPr>
      <w:r>
        <w:t xml:space="preserve">Annex B — Sample Dashboard Views</w:t>
      </w:r>
    </w:p>
    <w:p>
      <w:pPr>
        <w:pStyle w:val="ListParagraph"/>
        <w:numPr>
          <w:ilvl w:val="0"/>
          <w:numId w:val="2"/>
        </w:numPr>
        <w:spacing w:after="100" w:line="276"/>
      </w:pPr>
      <w:r>
        <w:t xml:space="preserve">National GBS view: map of all Regional/Delivery nodes in-territory, coloured by compliance status</w:t>
      </w:r>
    </w:p>
    <w:p>
      <w:pPr>
        <w:pStyle w:val="ListParagraph"/>
        <w:numPr>
          <w:ilvl w:val="0"/>
          <w:numId w:val="2"/>
        </w:numPr>
        <w:spacing w:after="100" w:line="276"/>
      </w:pPr>
      <w:r>
        <w:t xml:space="preserve">COB view: any node currently under a provisional BLOCK, with the triggering anomaly summarised</w:t>
      </w:r>
    </w:p>
    <w:p>
      <w:pPr>
        <w:pStyle w:val="Heading2"/>
      </w:pPr>
      <w:r>
        <w:t xml:space="preserve">Annex C — Alerting Rules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3760"/>
        <w:gridCol w:w="2600"/>
      </w:tblGrid>
      <w:tr>
        <w:trPr>
          <w:tblHeader/>
        </w:trPr>
        <w:tc>
          <w:tcPr>
            <w:tcW w:type="dxa" w:w="3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Trigger</w:t>
            </w:r>
          </w:p>
        </w:tc>
        <w:tc>
          <w:tcPr>
            <w:tcW w:type="dxa" w:w="37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Threshold</w:t>
            </w:r>
          </w:p>
        </w:tc>
        <w:tc>
          <w:tcPr>
            <w:tcW w:type="dxa" w:w="2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Action</w:t>
            </w:r>
          </w:p>
        </w:tc>
      </w:tr>
      <w:tr>
        <w:tc>
          <w:tcPr>
            <w:tcW w:type="dxa" w:w="3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Outcome anomaly cluster</w:t>
            </w:r>
          </w:p>
        </w:tc>
        <w:tc>
          <w:tcPr>
            <w:tcW w:type="dxa" w:w="3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Statistically significant deviation at one node vs. network baseline</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Flag to Regional GBS + Franchise Intelligence review</w:t>
            </w:r>
          </w:p>
        </w:tc>
      </w:tr>
      <w:tr>
        <w:tc>
          <w:tcPr>
            <w:tcW w:type="dxa" w:w="30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Reporting lapse</w:t>
            </w:r>
          </w:p>
        </w:tc>
        <w:tc>
          <w:tcPr>
            <w:tcW w:type="dxa" w:w="3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UDOC data not submitted within the required window</w:t>
            </w:r>
          </w:p>
        </w:tc>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Automated reminder, then escalation to National GBS if unresolved after 14 days</w:t>
            </w:r>
          </w:p>
        </w:tc>
      </w:tr>
      <w:tr>
        <w:tc>
          <w:tcPr>
            <w:tcW w:type="dxa" w:w="3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Constitutional risk indicator</w:t>
            </w:r>
          </w:p>
        </w:tc>
        <w:tc>
          <w:tcPr>
            <w:tcW w:type="dxa" w:w="3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Any signal matching a known Pillar-violation pattern</w:t>
            </w:r>
          </w:p>
        </w:tc>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Immediate provisional BLOCK + COB notification</w:t>
            </w:r>
          </w:p>
        </w:tc>
      </w:tr>
    </w:tbl>
    <w:p>
      <w:pPr>
        <w:pStyle w:val="Heading1"/>
      </w:pPr>
      <w:r>
        <w:t xml:space="preserve">Implementation Checklist</w:t>
      </w:r>
    </w:p>
    <w:p>
      <w:pPr>
        <w:pStyle w:val="ListParagraph"/>
        <w:numPr>
          <w:ilvl w:val="0"/>
          <w:numId w:val="3"/>
        </w:numPr>
        <w:spacing w:after="100" w:line="276"/>
      </w:pPr>
      <w:r>
        <w:t xml:space="preserve">Confirm with SJS whether a separate, conventional mapping/logistics GIS is also wanted alongside this specification, and name it distinctly if so.</w:t>
      </w:r>
    </w:p>
    <w:p>
      <w:pPr>
        <w:pStyle w:val="ListParagraph"/>
        <w:numPr>
          <w:ilvl w:val="0"/>
          <w:numId w:val="3"/>
        </w:numPr>
        <w:spacing w:after="100" w:line="276"/>
      </w:pPr>
      <w:r>
        <w:t xml:space="preserve">Build the geospatial module as an extension of the existing UDOC Analytics Layer (M5) and Compliance Layer (M9), not as a parallel system.</w:t>
      </w:r>
    </w:p>
    <w:p>
      <w:pPr>
        <w:pStyle w:val="ListParagraph"/>
        <w:numPr>
          <w:ilvl w:val="0"/>
          <w:numId w:val="3"/>
        </w:numPr>
        <w:spacing w:after="100" w:line="276"/>
      </w:pPr>
      <w:r>
        <w:t xml:space="preserve">Complete a privacy impact assessment for the participant-geotag opt-in flow before it is offered in any pilot placement-matching use case.</w:t>
      </w:r>
    </w:p>
    <w:p>
      <w:pPr>
        <w:pBdr>
          <w:bottom w:val="single" w:color="C9A84C" w:sz="6"/>
        </w:pBdr>
        <w:spacing w:after="120" w:before="120"/>
      </w:pPr>
    </w:p>
    <w:p>
      <w:pPr>
        <w:spacing w:after="40" w:before="200"/>
        <w:jc w:val="center"/>
      </w:pPr>
      <w:r>
        <w:rPr>
          <w:color w:val="5B6472"/>
          <w:sz w:val="18"/>
          <w:szCs w:val="18"/>
        </w:rPr>
        <w:t xml:space="preserve">GBS-SETHS GIS Architecture Specification · G.O.D.S Holdings (Pty) Ltd · IP Trust Protected · July 2026</w:t>
      </w:r>
    </w:p>
    <w:p>
      <w:pPr>
        <w:spacing w:after="40"/>
        <w:jc w:val="center"/>
      </w:pPr>
      <w:r>
        <w:rPr>
          <w:color w:val="5B6472"/>
          <w:sz w:val="16"/>
          <w:szCs w:val="16"/>
        </w:rPr>
        <w:t xml:space="preserve">All intellectual property held in the G.O.D.S. IP Trust under the Trust Property Control Act 57 of 1988</w:t>
      </w:r>
    </w:p>
    <w:p>
      <w:pPr>
        <w:spacing w:after="0"/>
        <w:jc w:val="center"/>
      </w:pPr>
      <w:r>
        <w:rPr>
          <w:color w:val="5B6472"/>
          <w:sz w:val="16"/>
          <w:szCs w:val="16"/>
        </w:rPr>
        <w:t xml:space="preserve">Founder &amp; Architect: Sashin J. Singh  ·  sashin.singh@outlook.com  ·  capstoneprojectsjs.netlify.app</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tabs>
        <w:tab w:val="right" w:pos="9026"/>
      </w:tabs>
    </w:pPr>
    <w:r>
      <w:rPr>
        <w:color w:val="5B6472"/>
        <w:sz w:val="15"/>
        <w:szCs w:val="15"/>
      </w:rPr>
      <w:t xml:space="preserve">INSTITUTIONAL · G.O.D.S Holdings (Pty) Ltd · IP Trust Protected</w:t>
    </w:r>
    <w:r>
      <w:rPr>
        <w:color w:val="5B6472"/>
        <w:sz w:val="15"/>
        <w:szCs w:val="15"/>
      </w:rPr>
      <w:t xml:space="preserve">	Page </w:t>
    </w:r>
    <w:r>
      <w:rPr>
        <w:color w:val="5B6472"/>
        <w:sz w:val="15"/>
        <w:szCs w:val="15"/>
      </w:rPr>
      <w:fldChar w:fldCharType="begin"/>
      <w:instrText xml:space="preserve">PAGE</w:instrText>
      <w:fldChar w:fldCharType="separate"/>
      <w:fldChar w:fldCharType="end"/>
    </w:r>
    <w:r>
      <w:rPr>
        <w:color w:val="5B6472"/>
        <w:sz w:val="15"/>
        <w:szCs w:val="15"/>
      </w:rPr>
      <w:t xml:space="preserve"> of </w:t>
    </w:r>
    <w:r>
      <w:rPr>
        <w:color w:val="5B6472"/>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pBdr>
      <w:tabs>
        <w:tab w:val="right" w:pos="9026"/>
      </w:tabs>
    </w:pPr>
    <w:r>
      <w:rPr>
        <w:color w:val="5B6472"/>
        <w:sz w:val="15"/>
        <w:szCs w:val="15"/>
      </w:rPr>
      <w:t xml:space="preserve">G.O.D.S HOLDINGS · GBS-SETHS</w:t>
    </w:r>
    <w:r>
      <w:rPr>
        <w:color w:val="5B6472"/>
        <w:sz w:val="15"/>
        <w:szCs w:val="15"/>
      </w:rPr>
      <w:t xml:space="preserve">	GBS-SETHS GIS Architecture Specification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4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6233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9A84C" w:sz="8" w:space="4"/>
      </w:pBdr>
      <w:spacing w:after="200" w:before="360"/>
    </w:pPr>
    <w:rPr>
      <w:rFonts w:ascii="Arial" w:cs="Arial" w:eastAsia="Arial" w:hAnsi="Arial"/>
      <w:b/>
      <w:bCs/>
      <w:color w:val="16233A"/>
      <w:sz w:val="30"/>
      <w:szCs w:val="30"/>
    </w:rPr>
  </w:style>
  <w:style w:type="paragraph" w:styleId="Heading2">
    <w:name w:val="Heading 2"/>
    <w:basedOn w:val="Normal"/>
    <w:next w:val="Normal"/>
    <w:qFormat/>
    <w:pPr>
      <w:spacing w:after="140" w:before="280"/>
    </w:pPr>
    <w:rPr>
      <w:rFonts w:ascii="Arial" w:cs="Arial" w:eastAsia="Arial" w:hAnsi="Arial"/>
      <w:b/>
      <w:bCs/>
      <w:color w:val="8C7330"/>
      <w:sz w:val="25"/>
      <w:szCs w:val="25"/>
    </w:rPr>
  </w:style>
  <w:style w:type="paragraph" w:styleId="Heading3">
    <w:name w:val="Heading 3"/>
    <w:basedOn w:val="Normal"/>
    <w:next w:val="Normal"/>
    <w:qFormat/>
    <w:pPr>
      <w:spacing w:after="100" w:before="200"/>
    </w:pPr>
    <w:rPr>
      <w:rFonts w:ascii="Arial" w:cs="Arial" w:eastAsia="Arial" w:hAnsi="Arial"/>
      <w:b/>
      <w:bCs/>
      <w:i/>
      <w:iCs/>
      <w:color w:val="16233A"/>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2026-07-10T08:38:35.565Z</dcterms:created>
  <dcterms:modified xsi:type="dcterms:W3CDTF">2026-07-10T08:38:35.581Z</dcterms:modified>
</cp:coreProperties>
</file>

<file path=docProps/custom.xml><?xml version="1.0" encoding="utf-8"?>
<Properties xmlns="http://schemas.openxmlformats.org/officeDocument/2006/custom-properties" xmlns:vt="http://schemas.openxmlformats.org/officeDocument/2006/docPropsVTypes"/>
</file>