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b/>
          <w:bCs/>
          <w:color w:val="16233A"/>
          <w:sz w:val="22"/>
          <w:szCs w:val="22"/>
        </w:rPr>
        <w:t xml:space="preserve">G . O . D . S   H O L D I N G S</w:t>
      </w:r>
    </w:p>
    <w:p>
      <w:pPr>
        <w:spacing w:after="320"/>
        <w:jc w:val="center"/>
      </w:pPr>
      <w:r>
        <w:rPr>
          <w:color w:val="5B6472"/>
          <w:sz w:val="16"/>
          <w:szCs w:val="16"/>
        </w:rPr>
        <w:t xml:space="preserve">GOOD ORDERLY DIRECTIONAL SYSTEMS  ·  GBS-SETHS INSTITUTIONAL READINESS PACKAGE</w:t>
      </w:r>
    </w:p>
    <w:p>
      <w:pPr>
        <w:spacing w:after="120"/>
        <w:jc w:val="center"/>
      </w:pPr>
      <w:r>
        <w:rPr>
          <w:b/>
          <w:bCs/>
          <w:color w:val="8C7330"/>
          <w:sz w:val="18"/>
          <w:szCs w:val="18"/>
        </w:rPr>
        <w:t xml:space="preserve">DOCUMENT 08 of 11 OF 11</w:t>
      </w:r>
    </w:p>
    <w:p>
      <w:pPr>
        <w:spacing w:after="160"/>
        <w:jc w:val="center"/>
      </w:pPr>
      <w:r>
        <w:rPr>
          <w:b/>
          <w:bCs/>
          <w:color w:val="16233A"/>
          <w:sz w:val="40"/>
          <w:szCs w:val="40"/>
        </w:rPr>
        <w:t xml:space="preserve">Risk &amp; Failure Framework</w:t>
      </w:r>
    </w:p>
    <w:p>
      <w:pPr>
        <w:spacing w:after="400"/>
        <w:jc w:val="center"/>
      </w:pPr>
      <w:r>
        <w:rPr>
          <w:i/>
          <w:iCs/>
          <w:color w:val="5B6472"/>
          <w:sz w:val="24"/>
          <w:szCs w:val="24"/>
        </w:rPr>
        <w:t xml:space="preserve">Identification, Mitigation, and Remediation for GBS-SETHS Nodes</w:t>
      </w:r>
    </w:p>
    <w:p>
      <w:pPr>
        <w:spacing w:after="100"/>
        <w:jc w:val="center"/>
      </w:pPr>
      <w:r>
        <w:rPr>
          <w:color w:val="16233A"/>
          <w:sz w:val="20"/>
          <w:szCs w:val="20"/>
        </w:rPr>
        <w:t xml:space="preserve">OPERATIONAL RISK FRAMEWORK · NODE- AND NETWORK-LEVEL, COMPANION TO THE COMPANY-WIDE RISK REGISTER</w:t>
      </w:r>
    </w:p>
    <w:p>
      <w:pPr>
        <w:spacing w:after="400"/>
        <w:jc w:val="center"/>
      </w:pPr>
      <w:r>
        <w:rPr>
          <w:color w:val="5B6472"/>
          <w:sz w:val="18"/>
          <w:szCs w:val="18"/>
        </w:rPr>
        <w:t xml:space="preserve">Version 1.0 · July 2026 · Uses the same 5×5 methodology as the existing 36-item company-wide Risk Register (f-02) for consistency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60"/>
            </w:pPr>
            <w:r>
              <w:rPr>
                <w:b/>
                <w:bCs/>
              </w:rPr>
              <w:t xml:space="preserve">Architect &amp; Founder:  </w:t>
            </w:r>
            <w:r>
              <w:t xml:space="preserve">Sashin J. Singh</w:t>
            </w:r>
          </w:p>
          <w:p>
            <w:pPr>
              <w:spacing w:after="60"/>
            </w:pPr>
            <w:r>
              <w:rPr>
                <w:b/>
                <w:bCs/>
              </w:rPr>
              <w:t xml:space="preserve">Institution:  </w:t>
            </w:r>
            <w:r>
              <w:t xml:space="preserve">G.O.D.S Holdings (Pty) Ltd — Pre-Registration, Johannesburg, South Africa</w:t>
            </w:r>
          </w:p>
          <w:p>
            <w:pPr>
              <w:spacing w:after="60"/>
            </w:pPr>
            <w:r>
              <w:rPr>
                <w:b/>
                <w:bCs/>
              </w:rPr>
              <w:t xml:space="preserve">IP Custodian:  </w:t>
            </w:r>
            <w:r>
              <w:t xml:space="preserve">G.O.D.S IP Trust — Trust Property Control Act 57 of 1988</w:t>
            </w:r>
          </w:p>
          <w:p>
            <w:pPr>
              <w:spacing w:after="60"/>
            </w:pPr>
            <w:r>
              <w:rPr>
                <w:b/>
                <w:bCs/>
              </w:rPr>
              <w:t xml:space="preserve">Document Classification:  </w:t>
            </w:r>
            <w:r>
              <w:t xml:space="preserve">CONFIDENTIAL — Risk Detail; Distribute Only Under NDA</w:t>
            </w:r>
          </w:p>
          <w:p>
            <w:pPr>
              <w:spacing w:after="0"/>
            </w:pPr>
            <w:r>
              <w:rPr>
                <w:b/>
                <w:bCs/>
              </w:rPr>
              <w:t xml:space="preserve">Package:  </w:t>
            </w:r>
            <w:r>
              <w:t xml:space="preserve">GBS-SETHS Institutional Readiness Package — consolidating GBS-SETHS Framework v1.0/v2.0 with 10 companion registration-grade instruments</w:t>
            </w:r>
          </w:p>
        </w:tc>
      </w:tr>
    </w:tbl>
    <w:p>
      <w:pPr>
        <w:spacing w:after="3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0"/>
            </w:pPr>
            <w:r>
              <w:rPr>
                <w:b/>
                <w:bCs/>
              </w:rPr>
              <w:t xml:space="preserve">Authorship declaration.  </w:t>
            </w:r>
            <w:r>
              <w:t xml:space="preserve">This document translates a decade of Sashin J. Singh's original institutional architecture — conceived 2016 (Seth's Empire, Johannesburg), continuously refined through personal, academic, and lived development, and previously formalised in GBS-SETHS v1.0/v2.0, the G.O.D.S. data room, and the live institutional platform — into a registration-grade instrument. AI production tools were used to draft, structure, cross-reference, and format this document from that existing body of work and from SJS's direct specification of its required structure and content. The architecture, the pillars, the methodology, the terminology, and the decade of lived commitment are SJS's own. AI did not originate the institutional design; it produced the document.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2360"/>
        <w:gridCol w:w="4000"/>
      </w:tblGrid>
      <w:tr>
        <w:trPr>
          <w:tblHeader/>
        </w:trPr>
        <w:tc>
          <w:tcPr>
            <w:tcW w:type="dxa" w:w="1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Version</w:t>
            </w:r>
          </w:p>
        </w:tc>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Date</w:t>
            </w:r>
          </w:p>
        </w:tc>
        <w:tc>
          <w:tcPr>
            <w:tcW w:type="dxa" w:w="2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Author</w:t>
            </w:r>
          </w:p>
        </w:tc>
        <w:tc>
          <w:tcPr>
            <w:tcW w:type="dxa" w:w="4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Change Summary</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1.0</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July 2026</w:t>
            </w:r>
          </w:p>
        </w:tc>
        <w:tc>
          <w:tcPr>
            <w:tcW w:type="dxa" w:w="2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SJS + AI documentation assistance</w:t>
            </w:r>
          </w:p>
        </w:tc>
        <w:tc>
          <w:tcPr>
            <w:tcW w:type="dxa" w:w="4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First issue — a GBS-SETHS node/franchise-operational risk framework, deliberately scoped narrower than and complementary to the existing company-wide Risk Register rather than duplicating it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Scope note — how this differs from the existing company-wide Risk Register.</w:t>
            </w:r>
          </w:p>
          <w:p>
            <w:pPr>
              <w:spacing w:after="160" w:line="276"/>
              <w:jc w:val="left"/>
            </w:pPr>
            <w:r>
              <w:t xml:space="preserve">G.O.D.S. Holdings already maintains a 36-item, six-category, 5×5-matrix Risk Register (f-02) covering the whole institution — all four divisions, strategic and investor-facing. That document is not reproduced here. This framework is deliberately narrower: it is the operational risk and remediation playbook for a GBS-SETHS node, franchise licensee, or pilot cohort specifically — the kind of risk a Programme Director or Regional GBS Authority needs to recognise and act on day to day, not the kind an investor committee reviews annually. It uses the same 5×5 likelihood/impact scoring convention as f-02 so the two documents can be read together without a translation step, and it explicitly cross-references f-02 for anything that is genuinely company-wide rather than node-specific.</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Systemic trace — the seven GBS questions this document answers</w:t>
            </w:r>
          </w:p>
          <w:p>
            <w:pPr>
              <w:spacing w:after="60"/>
            </w:pPr>
            <w:r>
              <w:rPr>
                <w:b/>
                <w:bCs/>
              </w:rPr>
              <w:t xml:space="preserve">What information exists?  </w:t>
            </w:r>
            <w:r>
              <w:t xml:space="preserve">Every operational failure mode a GBS-SETHS node can experience — from data manipulation to participant safety incidents to licence non-compliance.</w:t>
            </w:r>
          </w:p>
          <w:p>
            <w:pPr>
              <w:spacing w:after="60"/>
            </w:pPr>
            <w:r>
              <w:rPr>
                <w:b/>
                <w:bCs/>
              </w:rPr>
              <w:t xml:space="preserve">How is it communicated?  </w:t>
            </w:r>
            <w:r>
              <w:t xml:space="preserve">To every Programme Director, Regional/National GBS Authority, and Delivery Operator as part of onboarding and annual recertification.</w:t>
            </w:r>
          </w:p>
          <w:p>
            <w:pPr>
              <w:spacing w:after="60"/>
            </w:pPr>
            <w:r>
              <w:rPr>
                <w:b/>
                <w:bCs/>
              </w:rPr>
              <w:t xml:space="preserve">How is it transported?  </w:t>
            </w:r>
            <w:r>
              <w:t xml:space="preserve">Through the incident-reporting channel into UDOC's Compliance Layer (M9) and, where constitutional, to the COB.</w:t>
            </w:r>
          </w:p>
          <w:p>
            <w:pPr>
              <w:spacing w:after="60"/>
            </w:pPr>
            <w:r>
              <w:rPr>
                <w:b/>
                <w:bCs/>
              </w:rPr>
              <w:t xml:space="preserve">How is it received?  </w:t>
            </w:r>
            <w:r>
              <w:t xml:space="preserve">By the relevant Layer 2/3 authority and, for anything crossing the constitutional threshold, by the COB directly.</w:t>
            </w:r>
          </w:p>
          <w:p>
            <w:pPr>
              <w:spacing w:after="60"/>
            </w:pPr>
            <w:r>
              <w:rPr>
                <w:b/>
                <w:bCs/>
              </w:rPr>
              <w:t xml:space="preserve">How is learning/compliance verified?  </w:t>
            </w:r>
            <w:r>
              <w:t xml:space="preserve">Through the same audit and remediation mechanisms as Document 00 §6.1 and Document 03 §5.</w:t>
            </w:r>
          </w:p>
          <w:p>
            <w:pPr>
              <w:spacing w:after="60"/>
            </w:pPr>
            <w:r>
              <w:rPr>
                <w:b/>
                <w:bCs/>
              </w:rPr>
              <w:t xml:space="preserve">How is the process repeated?  </w:t>
            </w:r>
            <w:r>
              <w:t xml:space="preserve">Every incident closes with a post-incident review that feeds back into this framework and, where relevant, into curriculum or operating-manual updates (Document 02).</w:t>
            </w:r>
          </w:p>
          <w:p>
            <w:pPr>
              <w:spacing w:after="0"/>
            </w:pPr>
            <w:r>
              <w:rPr>
                <w:b/>
                <w:bCs/>
              </w:rPr>
              <w:t xml:space="preserve">How does it scale to civilisational level?  </w:t>
            </w:r>
            <w:r>
              <w:t xml:space="preserve">The same risk taxonomy and remediation ladder applies whether it is the single pilot node or node #40 in a mature global network — only the aggregation and pattern-detection layer (GIS, Document 06) changes with scale.</w:t>
            </w:r>
          </w:p>
        </w:tc>
      </w:tr>
    </w:tbl>
    <w:p>
      <w:r>
        <w:br w:type="page"/>
      </w:r>
    </w:p>
    <w:p>
      <w:pPr>
        <w:pStyle w:val="Heading1"/>
      </w:pPr>
      <w:r>
        <w:t xml:space="preserve">1. Risk Taxonomy</w:t>
      </w:r>
    </w:p>
    <w:p>
      <w:pPr>
        <w:spacing w:after="160" w:line="276"/>
        <w:jc w:val="left"/>
      </w:pPr>
      <w:r>
        <w:t xml:space="preserve">Each risk is scored on the same 1–5 likelihood × 1–5 impact convention as the company-wide Risk Register, giving a 1–25 composite score. Scores of 15+ are treated as requiring an active, named mitigation owner at all times, not just a documented plan.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3560"/>
        <w:gridCol w:w="400"/>
        <w:gridCol w:w="400"/>
        <w:gridCol w:w="500"/>
        <w:gridCol w:w="3600"/>
      </w:tblGrid>
      <w:tr>
        <w:trPr>
          <w:tblHeader/>
        </w:trPr>
        <w:tc>
          <w:tcPr>
            <w:tcW w:type="dxa" w:w="13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Category</w:t>
            </w:r>
          </w:p>
        </w:tc>
        <w:tc>
          <w:tcPr>
            <w:tcW w:type="dxa" w:w="35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Risk</w:t>
            </w:r>
          </w:p>
        </w:tc>
        <w:tc>
          <w:tcPr>
            <w:tcW w:type="dxa" w:w="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L</w:t>
            </w:r>
          </w:p>
        </w:tc>
        <w:tc>
          <w:tcPr>
            <w:tcW w:type="dxa" w:w="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I</w:t>
            </w:r>
          </w:p>
        </w:tc>
        <w:tc>
          <w:tcPr>
            <w:tcW w:type="dxa" w:w="5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Score</w:t>
            </w:r>
          </w:p>
        </w:tc>
        <w:tc>
          <w:tcPr>
            <w:tcW w:type="dxa" w:w="3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Primary Mitigation</w:t>
            </w:r>
          </w:p>
        </w:tc>
      </w:tr>
      <w:tr>
        <w:tc>
          <w:tcPr>
            <w:tcW w:type="dxa" w:w="13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Operational</w:t>
            </w:r>
          </w:p>
        </w:tc>
        <w:tc>
          <w:tcPr>
            <w:tcW w:type="dxa" w:w="3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Licence breach — a node operates outside its certified scope or the 20% localisation allowance</w:t>
            </w:r>
          </w:p>
        </w:tc>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2</w:t>
            </w:r>
          </w:p>
        </w:tc>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4</w:t>
            </w:r>
          </w:p>
        </w:tc>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8</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Document 03 §7 localisation request process; Annual Compliance Audit</w:t>
            </w:r>
          </w:p>
        </w:tc>
      </w:tr>
      <w:tr>
        <w:tc>
          <w:tcPr>
            <w:tcW w:type="dxa" w:w="13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Operational</w:t>
            </w:r>
          </w:p>
        </w:tc>
        <w:tc>
          <w:tcPr>
            <w:tcW w:type="dxa" w:w="3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Facilitator or case-manager burnout given the trauma-informed, high-touch nature of Cohort 1 delivery</w:t>
            </w:r>
          </w:p>
        </w:tc>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3</w:t>
            </w:r>
          </w:p>
        </w:tc>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3</w:t>
            </w:r>
          </w:p>
        </w:tc>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9</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Psychosocial support built into staffing (Document 02 §1.2); realistic caseload ratios</w:t>
            </w:r>
          </w:p>
        </w:tc>
      </w:tr>
      <w:tr>
        <w:tc>
          <w:tcPr>
            <w:tcW w:type="dxa" w:w="13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Financial</w:t>
            </w:r>
          </w:p>
        </w:tc>
        <w:tc>
          <w:tcPr>
            <w:tcW w:type="dxa" w:w="3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Outcome-based government funding delayed or reduced, leaving a funding gap the pilot cannot absorb</w:t>
            </w:r>
          </w:p>
        </w:tc>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w:t>
            </w:r>
          </w:p>
        </w:tc>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4</w:t>
            </w:r>
          </w:p>
        </w:tc>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12</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Document 07's explicit funding-gap line; DFI/philanthropic bridge capital</w:t>
            </w:r>
          </w:p>
        </w:tc>
      </w:tr>
      <w:tr>
        <w:tc>
          <w:tcPr>
            <w:tcW w:type="dxa" w:w="13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Financial</w:t>
            </w:r>
          </w:p>
        </w:tc>
        <w:tc>
          <w:tcPr>
            <w:tcW w:type="dxa" w:w="3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Fraud — outcome data manipulated by a node or facilitator to trigger payment or credit it has not earned</w:t>
            </w:r>
          </w:p>
        </w:tc>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w:t>
            </w:r>
          </w:p>
        </w:tc>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5</w:t>
            </w:r>
          </w:p>
        </w:tc>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10</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UDOC's Compliance Layer (M9) anomaly detection; the Anti-Corruption Pillar (XI)</w:t>
            </w:r>
          </w:p>
        </w:tc>
      </w:tr>
      <w:tr>
        <w:tc>
          <w:tcPr>
            <w:tcW w:type="dxa" w:w="13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Reputational</w:t>
            </w:r>
          </w:p>
        </w:tc>
        <w:tc>
          <w:tcPr>
            <w:tcW w:type="dxa" w:w="3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single node's failure or scandal is read by the market as a G.O.D.S.-wide failure, given the shared brand</w:t>
            </w:r>
          </w:p>
        </w:tc>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2</w:t>
            </w:r>
          </w:p>
        </w:tc>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4</w:t>
            </w:r>
          </w:p>
        </w:tc>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8</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Document 03 §5 sanctions ladder — visible, decisive action protects the wider brand</w:t>
            </w:r>
          </w:p>
        </w:tc>
      </w:tr>
      <w:tr>
        <w:tc>
          <w:tcPr>
            <w:tcW w:type="dxa" w:w="13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Reputational</w:t>
            </w:r>
          </w:p>
        </w:tc>
        <w:tc>
          <w:tcPr>
            <w:tcW w:type="dxa" w:w="3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Learnership-abuse perception — GBS-SETHS mistaken for the extractive B-BBEE-credit model it was explicitly built to counter</w:t>
            </w:r>
          </w:p>
        </w:tc>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3</w:t>
            </w:r>
          </w:p>
        </w:tc>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3</w:t>
            </w:r>
          </w:p>
        </w:tc>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9</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The Absorption Commitment Clause (Document 00 §6.3), proactively communicated, not just enforced</w:t>
            </w:r>
          </w:p>
        </w:tc>
      </w:tr>
      <w:tr>
        <w:tc>
          <w:tcPr>
            <w:tcW w:type="dxa" w:w="13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Legal</w:t>
            </w:r>
          </w:p>
        </w:tc>
        <w:tc>
          <w:tcPr>
            <w:tcW w:type="dxa" w:w="3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POPIA non-compliance in the handling of special personal information collected at intake (criminal history, health)</w:t>
            </w:r>
          </w:p>
        </w:tc>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2</w:t>
            </w:r>
          </w:p>
        </w:tc>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w:t>
            </w:r>
          </w:p>
        </w:tc>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10</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Document 09, Regulatory Compliance Framework; Section 26/27/57 controls</w:t>
            </w:r>
          </w:p>
        </w:tc>
      </w:tr>
      <w:tr>
        <w:tc>
          <w:tcPr>
            <w:tcW w:type="dxa" w:w="13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Legal</w:t>
            </w:r>
          </w:p>
        </w:tc>
        <w:tc>
          <w:tcPr>
            <w:tcW w:type="dxa" w:w="3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Employer partnership disputes over the Absorption Commitment Clause's non-guarantee, non-discrimination boundary</w:t>
            </w:r>
          </w:p>
        </w:tc>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w:t>
            </w:r>
          </w:p>
        </w:tc>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3</w:t>
            </w:r>
          </w:p>
        </w:tc>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6</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Clear MOU drafting (Document 05, Annex A); legal review before first employer signature</w:t>
            </w:r>
          </w:p>
        </w:tc>
      </w:tr>
      <w:tr>
        <w:tc>
          <w:tcPr>
            <w:tcW w:type="dxa" w:w="13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Technological</w:t>
            </w:r>
          </w:p>
        </w:tc>
        <w:tc>
          <w:tcPr>
            <w:tcW w:type="dxa" w:w="3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UDOC/data downtime disrupting intake, certification, or placement verification during a live cohort</w:t>
            </w:r>
          </w:p>
        </w:tc>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2</w:t>
            </w:r>
          </w:p>
        </w:tc>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4</w:t>
            </w:r>
          </w:p>
        </w:tc>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8</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Documented degraded-mode procedure (manual logging, backfilled to UDOC on restoration)</w:t>
            </w:r>
          </w:p>
        </w:tc>
      </w:tr>
      <w:tr>
        <w:tc>
          <w:tcPr>
            <w:tcW w:type="dxa" w:w="13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Technological</w:t>
            </w:r>
          </w:p>
        </w:tc>
        <w:tc>
          <w:tcPr>
            <w:tcW w:type="dxa" w:w="3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GIS/UDOC false-positive BLOCK halting a legitimate node action</w:t>
            </w:r>
          </w:p>
        </w:tc>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2</w:t>
            </w:r>
          </w:p>
        </w:tc>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3</w:t>
            </w:r>
          </w:p>
        </w:tc>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6</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Human-review escalation path (Document 06 §3); COB appeal channel</w:t>
            </w:r>
          </w:p>
        </w:tc>
      </w:tr>
      <w:tr>
        <w:tc>
          <w:tcPr>
            <w:tcW w:type="dxa" w:w="13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Constitutional</w:t>
            </w:r>
          </w:p>
        </w:tc>
        <w:tc>
          <w:tcPr>
            <w:tcW w:type="dxa" w:w="3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node quietly drifts from the Twelve Pillars under commercial or funding pressure without triggering a formal violation</w:t>
            </w:r>
          </w:p>
        </w:tc>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3</w:t>
            </w:r>
          </w:p>
        </w:tc>
        <w:tc>
          <w:tcPr>
            <w:tcW w:type="dxa" w:w="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5</w:t>
            </w:r>
          </w:p>
        </w:tc>
        <w:tc>
          <w:tcPr>
            <w:tcW w:type="dxa" w:w="5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15</w:t>
            </w:r>
          </w:p>
        </w:tc>
        <w:tc>
          <w:tcPr>
            <w:tcW w:type="dxa" w:w="3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Annual constitutional self-assessment (Document 00 §11.2); Participant Ombud channel (Document 01 §5.4)</w:t>
            </w:r>
          </w:p>
        </w:tc>
      </w:tr>
      <w:tr>
        <w:tc>
          <w:tcPr>
            <w:tcW w:type="dxa" w:w="13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Constitutional</w:t>
            </w:r>
          </w:p>
        </w:tc>
        <w:tc>
          <w:tcPr>
            <w:tcW w:type="dxa" w:w="3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Founder-authority overreach at a node level, inconsistent with Pillar VII</w:t>
            </w:r>
          </w:p>
        </w:tc>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1</w:t>
            </w:r>
          </w:p>
        </w:tc>
        <w:tc>
          <w:tcPr>
            <w:tcW w:type="dxa" w:w="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5</w:t>
            </w:r>
          </w:p>
        </w:tc>
        <w:tc>
          <w:tcPr>
            <w:tcW w:type="dxa" w:w="5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5</w:t>
            </w:r>
          </w:p>
        </w:tc>
        <w:tc>
          <w:tcPr>
            <w:tcW w:type="dxa" w:w="3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Document 01, Part Seven — Founder Constraint; COB oversight once constituted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The highest-scoring risk on this list is a slow drift, not a dramatic failure.</w:t>
            </w:r>
          </w:p>
          <w:p>
            <w:pPr>
              <w:spacing w:after="160" w:line="276"/>
              <w:jc w:val="left"/>
            </w:pPr>
            <w:r>
              <w:t xml:space="preserve">"A node quietly drifts from the Twelve Pillars under commercial or funding pressure" scores 15/25 — the highest on this table — precisely because it is the hardest failure mode to see happening in real time. It has no single triggering event, no obvious victim in the moment, and every individual step can look like a reasonable operational compromise. This is exactly why the Annual Compliance Audit and the Participant Ombud channel exist as standing structures rather than incident-triggered ones.</w:t>
            </w:r>
          </w:p>
        </w:tc>
      </w:tr>
    </w:tbl>
    <w:p>
      <w:pPr>
        <w:pStyle w:val="Heading1"/>
      </w:pPr>
      <w:r>
        <w:t xml:space="preserve">2. Mitigation Controls — Standing Infrastructure</w:t>
      </w:r>
    </w:p>
    <w:p>
      <w:pPr>
        <w:pStyle w:val="ListParagraph"/>
        <w:numPr>
          <w:ilvl w:val="0"/>
          <w:numId w:val="2"/>
        </w:numPr>
        <w:spacing w:after="100" w:line="276"/>
      </w:pPr>
      <w:r>
        <w:t xml:space="preserve">UDOC's sealed audit trail (Document 00 §12) — the baseline control underneath every risk category above; most mitigations in this framework are really applications of the same underlying control</w:t>
      </w:r>
    </w:p>
    <w:p>
      <w:pPr>
        <w:pStyle w:val="ListParagraph"/>
        <w:numPr>
          <w:ilvl w:val="0"/>
          <w:numId w:val="2"/>
        </w:numPr>
        <w:spacing w:after="100" w:line="276"/>
      </w:pPr>
      <w:r>
        <w:t xml:space="preserve">GIS's Compliance Verifier and Franchise Intelligence functions (Document 06, Sections 2 and 4) — automated pattern-detection surfaces anomalies before they become incidents wherever possible</w:t>
      </w:r>
    </w:p>
    <w:p>
      <w:pPr>
        <w:pStyle w:val="ListParagraph"/>
        <w:numPr>
          <w:ilvl w:val="0"/>
          <w:numId w:val="2"/>
        </w:numPr>
        <w:spacing w:after="100" w:line="276"/>
      </w:pPr>
      <w:r>
        <w:t xml:space="preserve">COB oversight (Document 01, Part Five) — once constituted, the binding-halt authority is the ultimate backstop for constitutional risk specifically</w:t>
      </w:r>
    </w:p>
    <w:p>
      <w:pPr>
        <w:pStyle w:val="ListParagraph"/>
        <w:numPr>
          <w:ilvl w:val="0"/>
          <w:numId w:val="2"/>
        </w:numPr>
        <w:spacing w:after="100" w:line="276"/>
      </w:pPr>
      <w:r>
        <w:t xml:space="preserve">Financial guarantees — licence-fee escrow arrangements (Document 03) reduce the network's exposure to a single node's financial failure</w:t>
      </w:r>
    </w:p>
    <w:p>
      <w:pPr>
        <w:pStyle w:val="Heading1"/>
      </w:pPr>
      <w:r>
        <w:t xml:space="preserve">3. Failure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4560"/>
        <w:gridCol w:w="2200"/>
      </w:tblGrid>
      <w:tr>
        <w:trPr>
          <w:tblHeader/>
        </w:trPr>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Stage</w:t>
            </w:r>
          </w:p>
        </w:tc>
        <w:tc>
          <w:tcPr>
            <w:tcW w:type="dxa" w:w="45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Action</w:t>
            </w:r>
          </w:p>
        </w:tc>
        <w:tc>
          <w:tcPr>
            <w:tcW w:type="dxa" w:w="2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Timeframe</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Incident triage</w:t>
            </w:r>
          </w:p>
        </w:tc>
        <w:tc>
          <w:tcPr>
            <w:tcW w:type="dxa" w:w="4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Any staff member, participant, or employer partner can report; the Programme Director or Regional GBS Authority classifies severity within 48 hours</w:t>
            </w:r>
          </w:p>
        </w:tc>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48 hours</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Provisional BLOCK (constitutional risk only)</w:t>
            </w:r>
          </w:p>
        </w:tc>
        <w:tc>
          <w:tcPr>
            <w:tcW w:type="dxa" w:w="4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GIS or the COB issues a provisional BLOCK on the affected node action, consistent with Document 00 §6.1 and Document 06 §3</w:t>
            </w:r>
          </w:p>
        </w:tc>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Immediate</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Remediation plan</w:t>
            </w:r>
          </w:p>
        </w:tc>
        <w:tc>
          <w:tcPr>
            <w:tcW w:type="dxa" w:w="4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node, with Regional/National GBS support, submits a remediation plan addressing root cause, not just symptom</w:t>
            </w:r>
          </w:p>
        </w:tc>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Within 30 days of triage</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Appeal process</w:t>
            </w:r>
          </w:p>
        </w:tc>
        <w:tc>
          <w:tcPr>
            <w:tcW w:type="dxa" w:w="4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Any node subject to a sanction may appeal to GBS Global within 30 days; COB hearing (once constituted) is final and binding</w:t>
            </w:r>
          </w:p>
        </w:tc>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30 days from sanction</w:t>
            </w:r>
          </w:p>
        </w:tc>
      </w:tr>
    </w:tbl>
    <w:p>
      <w:pPr>
        <w:pStyle w:val="Heading1"/>
      </w:pPr>
      <w:r>
        <w:t xml:space="preserve">4. Learning Loop</w:t>
      </w:r>
    </w:p>
    <w:p>
      <w:pPr>
        <w:pStyle w:val="ListParagraph"/>
        <w:numPr>
          <w:ilvl w:val="0"/>
          <w:numId w:val="2"/>
        </w:numPr>
        <w:spacing w:after="100" w:line="276"/>
      </w:pPr>
      <w:r>
        <w:t xml:space="preserve">Every incident closes with a post-incident review, documented and UDOC-logged — not a verbal debrief that leaves no trace</w:t>
      </w:r>
    </w:p>
    <w:p>
      <w:pPr>
        <w:pStyle w:val="ListParagraph"/>
        <w:numPr>
          <w:ilvl w:val="0"/>
          <w:numId w:val="2"/>
        </w:numPr>
        <w:spacing w:after="100" w:line="276"/>
      </w:pPr>
      <w:r>
        <w:t xml:space="preserve">Findings that indicate a curriculum, staffing, or operating-manual gap feed directly back into Document 02 (Pilot Operations Manual) revisions, consistent with the Stage 2 methodology-review step in Document 00, Part VII</w:t>
      </w:r>
    </w:p>
    <w:p>
      <w:pPr>
        <w:pStyle w:val="ListParagraph"/>
        <w:numPr>
          <w:ilvl w:val="0"/>
          <w:numId w:val="2"/>
        </w:numPr>
        <w:spacing w:after="100" w:line="276"/>
      </w:pPr>
      <w:r>
        <w:t xml:space="preserve">Knowledge capture: significant findings are added to the certified-facilitator training material via the Skills Passport's Platinum-tier mentor certification pathway (Document 00 §11.1), so institutional learning compounds through people, not just documents</w:t>
      </w:r>
    </w:p>
    <w:p>
      <w:pPr>
        <w:pStyle w:val="Heading1"/>
      </w:pPr>
      <w:r>
        <w:t xml:space="preserve">5. Insurance &amp; Guarantees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Line</w:t>
            </w:r>
          </w:p>
        </w:tc>
        <w:tc>
          <w:tcPr>
            <w:tcW w:type="dxa" w:w="6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Rationale</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Professional indemnity (case management, counselling)</w:t>
            </w:r>
          </w:p>
        </w:tc>
        <w:tc>
          <w:tcPr>
            <w:tcW w:type="dxa" w:w="6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Standard cover given the psychosocial support function described in Document 02</w:t>
            </w:r>
          </w:p>
        </w:tc>
      </w:tr>
      <w:tr>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Public liability (physical node/facility)</w:t>
            </w:r>
          </w:p>
        </w:tc>
        <w:tc>
          <w:tcPr>
            <w:tcW w:type="dxa" w:w="6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Standard cover for any physical training site</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Cyber/data liability</w:t>
            </w:r>
          </w:p>
        </w:tc>
        <w:tc>
          <w:tcPr>
            <w:tcW w:type="dxa" w:w="6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Given UDOC's handling of special personal information (Document 09)</w:t>
            </w:r>
          </w:p>
        </w:tc>
      </w:tr>
      <w:tr>
        <w:tc>
          <w:tcPr>
            <w:tcW w:type="dxa" w:w="3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Fidelity/crime cover</w:t>
            </w:r>
          </w:p>
        </w:tc>
        <w:tc>
          <w:tcPr>
            <w:tcW w:type="dxa" w:w="6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Directly mitigates the fraud risk item in Section 1 above</w:t>
            </w:r>
          </w:p>
        </w:tc>
      </w:tr>
      <w:tr>
        <w:tc>
          <w:tcPr>
            <w:tcW w:type="dxa" w:w="3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Licence-fee escrow</w:t>
            </w:r>
          </w:p>
        </w:tc>
        <w:tc>
          <w:tcPr>
            <w:tcW w:type="dxa" w:w="6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Not insurance in the strict sense, but functions as a financial guarantee reducing network exposure to a single node's default</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risk taxonomy, scoring methodology, and remediation ladder are fully specified and consistent with the existing company-wide Risk Register's methodology.</w:t>
            </w:r>
          </w:p>
          <w:p>
            <w:pPr>
              <w:spacing w:after="60"/>
            </w:pPr>
            <w:r>
              <w:rPr>
                <w:b/>
                <w:bCs/>
              </w:rPr>
              <w:t xml:space="preserve">Designed / production-specified, not yet built:  </w:t>
            </w:r>
            <w:r>
              <w:t xml:space="preserve">This framework has not yet been tested against a live incident, since the pilot has not yet launched — the taxonomy above is a considered anticipation of failure modes, not a record of what has actually occurred.</w:t>
            </w:r>
          </w:p>
          <w:p>
            <w:pPr>
              <w:spacing w:after="0"/>
            </w:pPr>
            <w:r>
              <w:rPr>
                <w:b/>
                <w:bCs/>
              </w:rPr>
              <w:t xml:space="preserve">Aspirational / long-horizon:  </w:t>
            </w:r>
            <w:r>
              <w:t xml:space="preserve">Cross-node pattern detection at real scale (Section 2, GIS Franchise Intelligence) depends on a multi-node network existing to compare against.</w:t>
            </w:r>
          </w:p>
        </w:tc>
      </w:tr>
    </w:tbl>
    <w:p>
      <w:pPr>
        <w:pStyle w:val="Heading1"/>
      </w:pPr>
      <w:r>
        <w:t xml:space="preserve">Annexes</w:t>
      </w:r>
    </w:p>
    <w:p>
      <w:pPr>
        <w:pStyle w:val="Heading2"/>
      </w:pPr>
      <w:r>
        <w:t xml:space="preserve">Annex A — Incident Response Checklist</w:t>
      </w:r>
    </w:p>
    <w:p>
      <w:pPr>
        <w:pStyle w:val="ListParagraph"/>
        <w:numPr>
          <w:ilvl w:val="0"/>
          <w:numId w:val="2"/>
        </w:numPr>
        <w:spacing w:after="100" w:line="276"/>
      </w:pPr>
      <w:r>
        <w:t xml:space="preserve">Classify severity and log to UDOC within 48 hours</w:t>
      </w:r>
    </w:p>
    <w:p>
      <w:pPr>
        <w:pStyle w:val="ListParagraph"/>
        <w:numPr>
          <w:ilvl w:val="0"/>
          <w:numId w:val="2"/>
        </w:numPr>
        <w:spacing w:after="100" w:line="276"/>
      </w:pPr>
      <w:r>
        <w:t xml:space="preserve">Notify Regional/National GBS Authority immediately for any constitutional-risk-category incident</w:t>
      </w:r>
    </w:p>
    <w:p>
      <w:pPr>
        <w:pStyle w:val="ListParagraph"/>
        <w:numPr>
          <w:ilvl w:val="0"/>
          <w:numId w:val="2"/>
        </w:numPr>
        <w:spacing w:after="100" w:line="276"/>
      </w:pPr>
      <w:r>
        <w:t xml:space="preserve">Issue provisional BLOCK if warranted, per Section 3</w:t>
      </w:r>
    </w:p>
    <w:p>
      <w:pPr>
        <w:pStyle w:val="ListParagraph"/>
        <w:numPr>
          <w:ilvl w:val="0"/>
          <w:numId w:val="2"/>
        </w:numPr>
        <w:spacing w:after="100" w:line="276"/>
      </w:pPr>
      <w:r>
        <w:t xml:space="preserve">Open remediation plan within 30 days</w:t>
      </w:r>
    </w:p>
    <w:p>
      <w:pPr>
        <w:pStyle w:val="ListParagraph"/>
        <w:numPr>
          <w:ilvl w:val="0"/>
          <w:numId w:val="2"/>
        </w:numPr>
        <w:spacing w:after="100" w:line="276"/>
      </w:pPr>
      <w:r>
        <w:t xml:space="preserve">Close with a documented post-incident review</w:t>
      </w:r>
    </w:p>
    <w:p>
      <w:pPr>
        <w:pStyle w:val="Heading2"/>
      </w:pPr>
      <w:r>
        <w:t xml:space="preserve">Annex B — Remediation Plan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rPr>
          <w:tblHeader/>
        </w:trPr>
        <w:tc>
          <w:tcPr>
            <w:tcW w:type="dxa" w:w="2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Field</w:t>
            </w:r>
          </w:p>
        </w:tc>
        <w:tc>
          <w:tcPr>
            <w:tcW w:type="dxa" w:w="7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Content</w:t>
            </w:r>
          </w:p>
        </w:tc>
      </w:tr>
      <w:tr>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Root cause</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Not just the triggering event — what allowed it to occur</w:t>
            </w:r>
          </w:p>
        </w:tc>
      </w:tr>
      <w:tr>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Corrective action</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Specific, owned, dated</w:t>
            </w:r>
          </w:p>
        </w:tc>
      </w:tr>
      <w:tr>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Preventive action</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What changes so this class of incident is less likely network-wide</w:t>
            </w:r>
          </w:p>
        </w:tc>
      </w:tr>
      <w:tr>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Verification method</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How GBS Global/Regional GBS confirms the remediation actually worked</w:t>
            </w:r>
          </w:p>
        </w:tc>
      </w:tr>
    </w:tbl>
    <w:p>
      <w:pPr>
        <w:pStyle w:val="Heading2"/>
      </w:pPr>
      <w:r>
        <w:t xml:space="preserve">Annex C — Appeal Submission Form (Structure)</w:t>
      </w:r>
    </w:p>
    <w:p>
      <w:pPr>
        <w:pStyle w:val="ListParagraph"/>
        <w:numPr>
          <w:ilvl w:val="0"/>
          <w:numId w:val="2"/>
        </w:numPr>
        <w:spacing w:after="100" w:line="276"/>
      </w:pPr>
      <w:r>
        <w:t xml:space="preserve">Node identifier and licence reference</w:t>
      </w:r>
    </w:p>
    <w:p>
      <w:pPr>
        <w:pStyle w:val="ListParagraph"/>
        <w:numPr>
          <w:ilvl w:val="0"/>
          <w:numId w:val="2"/>
        </w:numPr>
        <w:spacing w:after="100" w:line="276"/>
      </w:pPr>
      <w:r>
        <w:t xml:space="preserve">Sanction being appealed and date issued</w:t>
      </w:r>
    </w:p>
    <w:p>
      <w:pPr>
        <w:pStyle w:val="ListParagraph"/>
        <w:numPr>
          <w:ilvl w:val="0"/>
          <w:numId w:val="2"/>
        </w:numPr>
        <w:spacing w:after="100" w:line="276"/>
      </w:pPr>
      <w:r>
        <w:t xml:space="preserve">Grounds for appeal</w:t>
      </w:r>
    </w:p>
    <w:p>
      <w:pPr>
        <w:pStyle w:val="ListParagraph"/>
        <w:numPr>
          <w:ilvl w:val="0"/>
          <w:numId w:val="2"/>
        </w:numPr>
        <w:spacing w:after="100" w:line="276"/>
      </w:pPr>
      <w:r>
        <w:t xml:space="preserve">Supporting evidence (UDOC references where available)</w:t>
      </w:r>
    </w:p>
    <w:p>
      <w:pPr>
        <w:pStyle w:val="Heading1"/>
      </w:pPr>
      <w:r>
        <w:t xml:space="preserve">Implementation Checklist</w:t>
      </w:r>
    </w:p>
    <w:p>
      <w:pPr>
        <w:pStyle w:val="ListParagraph"/>
        <w:numPr>
          <w:ilvl w:val="0"/>
          <w:numId w:val="3"/>
        </w:numPr>
        <w:spacing w:after="100" w:line="276"/>
      </w:pPr>
      <w:r>
        <w:t xml:space="preserve">Populate the pilot's live risk register from this taxonomy before Cohort 1 intake — treat Section 1 as a starting checklist, not a finished inventory.</w:t>
      </w:r>
    </w:p>
    <w:p>
      <w:pPr>
        <w:pStyle w:val="ListParagraph"/>
        <w:numPr>
          <w:ilvl w:val="0"/>
          <w:numId w:val="3"/>
        </w:numPr>
        <w:spacing w:after="100" w:line="276"/>
      </w:pPr>
      <w:r>
        <w:t xml:space="preserve">Procure the insurance lines in Section 5 ahead of facility lease signature (Document 02, Section 1.1).</w:t>
      </w:r>
    </w:p>
    <w:p>
      <w:pPr>
        <w:pStyle w:val="ListParagraph"/>
        <w:numPr>
          <w:ilvl w:val="0"/>
          <w:numId w:val="3"/>
        </w:numPr>
        <w:spacing w:after="100" w:line="276"/>
      </w:pPr>
      <w:r>
        <w:t xml:space="preserve">Train the COB, once constituted, on this framework's incident-escalation path specifically, alongside the company-wide Risk Register.</w:t>
      </w:r>
    </w:p>
    <w:p>
      <w:pPr>
        <w:pBdr>
          <w:bottom w:val="single" w:color="C9A84C" w:sz="6"/>
        </w:pBdr>
        <w:spacing w:after="120" w:before="120"/>
      </w:pPr>
    </w:p>
    <w:p>
      <w:pPr>
        <w:spacing w:after="40" w:before="200"/>
        <w:jc w:val="center"/>
      </w:pPr>
      <w:r>
        <w:rPr>
          <w:color w:val="5B6472"/>
          <w:sz w:val="18"/>
          <w:szCs w:val="18"/>
        </w:rPr>
        <w:t xml:space="preserve">GBS-SETHS Risk &amp; Failure Framework · G.O.D.S Holdings (Pty) Ltd · IP Trust Protected · July 2026</w:t>
      </w:r>
    </w:p>
    <w:p>
      <w:pPr>
        <w:spacing w:after="40"/>
        <w:jc w:val="center"/>
      </w:pPr>
      <w:r>
        <w:rPr>
          <w:color w:val="5B6472"/>
          <w:sz w:val="16"/>
          <w:szCs w:val="16"/>
        </w:rPr>
        <w:t xml:space="preserve">All intellectual property held in the G.O.D.S. IP Trust under the Trust Property Control Act 57 of 1988</w:t>
      </w:r>
    </w:p>
    <w:p>
      <w:pPr>
        <w:spacing w:after="0"/>
        <w:jc w:val="center"/>
      </w:pPr>
      <w:r>
        <w:rPr>
          <w:color w:val="5B6472"/>
          <w:sz w:val="16"/>
          <w:szCs w:val="16"/>
        </w:rPr>
        <w:t xml:space="preserve">Founder &amp; Architect: Sashin J. Singh  ·  sashin.singh@outlook.com  ·  capstoneprojectsjs.netlify.app</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tabs>
        <w:tab w:val="right" w:pos="9026"/>
      </w:tabs>
    </w:pPr>
    <w:r>
      <w:rPr>
        <w:color w:val="5B6472"/>
        <w:sz w:val="15"/>
        <w:szCs w:val="15"/>
      </w:rPr>
      <w:t xml:space="preserve">CONFIDENTIAL · G.O.D.S Holdings (Pty) Ltd · IP Trust Protected</w:t>
    </w:r>
    <w:r>
      <w:rPr>
        <w:color w:val="5B6472"/>
        <w:sz w:val="15"/>
        <w:szCs w:val="15"/>
      </w:rPr>
      <w:t xml:space="preserve">	Page </w:t>
    </w:r>
    <w:r>
      <w:rPr>
        <w:color w:val="5B6472"/>
        <w:sz w:val="15"/>
        <w:szCs w:val="15"/>
      </w:rPr>
      <w:fldChar w:fldCharType="begin"/>
      <w:instrText xml:space="preserve">PAGE</w:instrText>
      <w:fldChar w:fldCharType="separate"/>
      <w:fldChar w:fldCharType="end"/>
    </w:r>
    <w:r>
      <w:rPr>
        <w:color w:val="5B6472"/>
        <w:sz w:val="15"/>
        <w:szCs w:val="15"/>
      </w:rPr>
      <w:t xml:space="preserve"> of </w:t>
    </w:r>
    <w:r>
      <w:rPr>
        <w:color w:val="5B6472"/>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pBdr>
      <w:tabs>
        <w:tab w:val="right" w:pos="9026"/>
      </w:tabs>
    </w:pPr>
    <w:r>
      <w:rPr>
        <w:color w:val="5B6472"/>
        <w:sz w:val="15"/>
        <w:szCs w:val="15"/>
      </w:rPr>
      <w:t xml:space="preserve">G.O.D.S HOLDINGS · GBS-SETHS</w:t>
    </w:r>
    <w:r>
      <w:rPr>
        <w:color w:val="5B6472"/>
        <w:sz w:val="15"/>
        <w:szCs w:val="15"/>
      </w:rPr>
      <w:t xml:space="preserve">	GBS-SETHS Risk &amp; Failure Framework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4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6233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84C" w:sz="8" w:space="4"/>
      </w:pBdr>
      <w:spacing w:after="200" w:before="360"/>
    </w:pPr>
    <w:rPr>
      <w:rFonts w:ascii="Arial" w:cs="Arial" w:eastAsia="Arial" w:hAnsi="Arial"/>
      <w:b/>
      <w:bCs/>
      <w:color w:val="16233A"/>
      <w:sz w:val="30"/>
      <w:szCs w:val="30"/>
    </w:rPr>
  </w:style>
  <w:style w:type="paragraph" w:styleId="Heading2">
    <w:name w:val="Heading 2"/>
    <w:basedOn w:val="Normal"/>
    <w:next w:val="Normal"/>
    <w:qFormat/>
    <w:pPr>
      <w:spacing w:after="140" w:before="280"/>
    </w:pPr>
    <w:rPr>
      <w:rFonts w:ascii="Arial" w:cs="Arial" w:eastAsia="Arial" w:hAnsi="Arial"/>
      <w:b/>
      <w:bCs/>
      <w:color w:val="8C7330"/>
      <w:sz w:val="25"/>
      <w:szCs w:val="25"/>
    </w:rPr>
  </w:style>
  <w:style w:type="paragraph" w:styleId="Heading3">
    <w:name w:val="Heading 3"/>
    <w:basedOn w:val="Normal"/>
    <w:next w:val="Normal"/>
    <w:qFormat/>
    <w:pPr>
      <w:spacing w:after="100" w:before="200"/>
    </w:pPr>
    <w:rPr>
      <w:rFonts w:ascii="Arial" w:cs="Arial" w:eastAsia="Arial" w:hAnsi="Arial"/>
      <w:b/>
      <w:bCs/>
      <w:i/>
      <w:iCs/>
      <w:color w:val="16233A"/>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2026-07-10T08:42:14.194Z</dcterms:created>
  <dcterms:modified xsi:type="dcterms:W3CDTF">2026-07-10T08:42:14.194Z</dcterms:modified>
</cp:coreProperties>
</file>

<file path=docProps/custom.xml><?xml version="1.0" encoding="utf-8"?>
<Properties xmlns="http://schemas.openxmlformats.org/officeDocument/2006/custom-properties" xmlns:vt="http://schemas.openxmlformats.org/officeDocument/2006/docPropsVTypes"/>
</file>