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09 of 11 OF 11</w:t>
      </w:r>
    </w:p>
    <w:p>
      <w:pPr>
        <w:spacing w:after="160"/>
        <w:jc w:val="center"/>
      </w:pPr>
      <w:r>
        <w:rPr>
          <w:b/>
          <w:bCs/>
          <w:color w:val="16233A"/>
          <w:sz w:val="40"/>
          <w:szCs w:val="40"/>
        </w:rPr>
        <w:t xml:space="preserve">Regulatory Compliance Framework</w:t>
      </w:r>
    </w:p>
    <w:p>
      <w:pPr>
        <w:spacing w:after="400"/>
        <w:jc w:val="center"/>
      </w:pPr>
      <w:r>
        <w:rPr>
          <w:i/>
          <w:iCs/>
          <w:color w:val="5B6472"/>
          <w:sz w:val="24"/>
          <w:szCs w:val="24"/>
        </w:rPr>
        <w:t xml:space="preserve">Cross-Jurisdictional Accreditation &amp; Legal Alignment</w:t>
      </w:r>
    </w:p>
    <w:p>
      <w:pPr>
        <w:spacing w:after="100"/>
        <w:jc w:val="center"/>
      </w:pPr>
      <w:r>
        <w:rPr>
          <w:color w:val="16233A"/>
          <w:sz w:val="20"/>
          <w:szCs w:val="20"/>
        </w:rPr>
        <w:t xml:space="preserve">COMPLIANCE FRAMEWORK · ACCREDITATION, LABOUR LAW, DATA PROTECTION, AND PROCUREMENT — SOUTH AFRICA FIRST, MULTI-JURISDICTION READY</w:t>
      </w:r>
    </w:p>
    <w:p>
      <w:pPr>
        <w:spacing w:after="400"/>
        <w:jc w:val="center"/>
      </w:pPr>
      <w:r>
        <w:rPr>
          <w:color w:val="5B6472"/>
          <w:sz w:val="18"/>
          <w:szCs w:val="18"/>
        </w:rPr>
        <w:t xml:space="preserve">Version 1.0 · July 2026 · Includes a live regulatory correction — see the flagged AI Policy note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INSTITUTIONAL — Cover Letter Required for External Distribution</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Consolidates and extends the existing POPIA Compliance Framework (b-05) into the broader accreditation/labour/procurement scope requested, and corrects the SA AI Policy status against events since April 2026</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Regulatory correction — read this before citing SA's AI policy anywhere else in the G.O.D.S. document set.</w:t>
            </w:r>
          </w:p>
          <w:p>
            <w:pPr>
              <w:spacing w:after="160" w:line="276"/>
              <w:jc w:val="left"/>
            </w:pPr>
            <w:r>
              <w:t xml:space="preserve">South Africa's Draft National AI Policy (Government Gazette No. 54477, published 10 April 2026) — referenced as an active framework and public-comment opportunity in MEMORY.md, SKILLS.md, and the live institutional platform as fetched on the date of this document — was withdrawn by the Minister of Communications and Digital Technologies on 26 April 2026, after it emerged the draft contained fabricated academic citations, apparently produced by an AI drafting tool and never checked before Cabinet approval. Two departmental officials were placed on precautionary suspension. A revised draft is now targeted for Cabinet submission around November 2026, with public comment expected to open around January 2027.</w:t>
            </w:r>
          </w:p>
          <w:p>
            <w:pPr>
              <w:spacing w:after="160" w:line="276"/>
              <w:jc w:val="left"/>
            </w:pPr>
            <w:r>
              <w:t xml:space="preserve">Practical implication for GBS-SETHS: there is currently no adopted, binding national AI-specific legislation in South Africa. POPIA remains the operative data-protection law for everything UDOC and GIS touch. Any reference to a 'formal public comment submission to DCDT before the 10 June 2026 deadline' on the live platform or elsewhere is now stale — that deadline lapsed with the withdrawn draft. This should be corrected wherever it appears externally, and this document uses the corrected framing throughout.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Every applicable regulatory requirement — accreditation, labour, data protection, procurement — that governs how GBS-SETHS may lawfully operate in each jurisdiction.</w:t>
            </w:r>
          </w:p>
          <w:p>
            <w:pPr>
              <w:spacing w:after="60"/>
            </w:pPr>
            <w:r>
              <w:rPr>
                <w:b/>
                <w:bCs/>
              </w:rPr>
              <w:t xml:space="preserve">How is it communicated?  </w:t>
            </w:r>
            <w:r>
              <w:t xml:space="preserve">To every National/Regional GBS Authority and Delivery Operator as a condition of licensing (Document 03), and to government partners as evidence of genuine compliance readiness, not just intent.</w:t>
            </w:r>
          </w:p>
          <w:p>
            <w:pPr>
              <w:spacing w:after="60"/>
            </w:pPr>
            <w:r>
              <w:rPr>
                <w:b/>
                <w:bCs/>
              </w:rPr>
              <w:t xml:space="preserve">How is it transported?  </w:t>
            </w:r>
            <w:r>
              <w:t xml:space="preserve">Through UDOC evidence packages generated automatically from the same audit trail used for constitutional compliance.</w:t>
            </w:r>
          </w:p>
          <w:p>
            <w:pPr>
              <w:spacing w:after="60"/>
            </w:pPr>
            <w:r>
              <w:rPr>
                <w:b/>
                <w:bCs/>
              </w:rPr>
              <w:t xml:space="preserve">How is it received?  </w:t>
            </w:r>
            <w:r>
              <w:t xml:space="preserve">By regulators, auditors, and government procurement officers who need to verify compliance without a bespoke ad hoc process each time.</w:t>
            </w:r>
          </w:p>
          <w:p>
            <w:pPr>
              <w:spacing w:after="60"/>
            </w:pPr>
            <w:r>
              <w:rPr>
                <w:b/>
                <w:bCs/>
              </w:rPr>
              <w:t xml:space="preserve">How is learning/compliance verified?  </w:t>
            </w:r>
            <w:r>
              <w:t xml:space="preserve">Through the annual compliance report and, for data protection specifically, through the POPIA controls detailed below.</w:t>
            </w:r>
          </w:p>
          <w:p>
            <w:pPr>
              <w:spacing w:after="60"/>
            </w:pPr>
            <w:r>
              <w:rPr>
                <w:b/>
                <w:bCs/>
              </w:rPr>
              <w:t xml:space="preserve">How is the process repeated?  </w:t>
            </w:r>
            <w:r>
              <w:t xml:space="preserve">Every jurisdiction GBS-SETHS enters (Document 00, Part VI) repeats this same mapping exercise before licensing begins there.</w:t>
            </w:r>
          </w:p>
          <w:p>
            <w:pPr>
              <w:spacing w:after="0"/>
            </w:pPr>
            <w:r>
              <w:rPr>
                <w:b/>
                <w:bCs/>
              </w:rPr>
              <w:t xml:space="preserve">How does it scale to civilisational level?  </w:t>
            </w:r>
            <w:r>
              <w:t xml:space="preserve">The regulatory mapping methodology, not any single country's answer, is what has to scale — Section 1's table is a template, deliberately structured to be re-run for Botswana, Kenya, the UAE, and every subsequent market.</w:t>
            </w:r>
          </w:p>
        </w:tc>
      </w:tr>
    </w:tbl>
    <w:p>
      <w:r>
        <w:br w:type="page"/>
      </w:r>
    </w:p>
    <w:p>
      <w:pPr>
        <w:pStyle w:val="Heading1"/>
      </w:pPr>
      <w:r>
        <w:t xml:space="preserve">1. Regulatory Mapping — South Africa (Phase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900"/>
        <w:gridCol w:w="4560"/>
      </w:tblGrid>
      <w:tr>
        <w:trPr>
          <w:tblHeader/>
        </w:trPr>
        <w:tc>
          <w:tcPr>
            <w:tcW w:type="dxa" w:w="1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Domain</w:t>
            </w:r>
          </w:p>
        </w:tc>
        <w:tc>
          <w:tcPr>
            <w:tcW w:type="dxa" w:w="2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Applicable Framework</w:t>
            </w:r>
          </w:p>
        </w:tc>
        <w:tc>
          <w:tcPr>
            <w:tcW w:type="dxa" w:w="4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GBS-SETHS Obligation</w:t>
            </w:r>
          </w:p>
        </w:tc>
      </w:tr>
      <w:tr>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Data protection</w:t>
            </w:r>
          </w:p>
        </w:tc>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Protection of Personal Information Act 4 of 2013 (POPIA)</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Full compliance programme — Section 2 below</w:t>
            </w:r>
          </w:p>
        </w:tc>
      </w:tr>
      <w:tr>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Skills accreditation</w:t>
            </w:r>
          </w:p>
        </w:tc>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SAQA / National Qualifications Framework; Sector Education and Training Authorities (SETAs)</w:t>
            </w:r>
          </w:p>
        </w:tc>
        <w:tc>
          <w:tcPr>
            <w:tcW w:type="dxa" w:w="4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Register curriculum against existing approved unit standards now (Document 00 §11); petition for GBS-SETHS-specific unit standards once outcome data exists</w:t>
            </w:r>
          </w:p>
        </w:tc>
      </w:tr>
      <w:tr>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Labour law</w:t>
            </w:r>
          </w:p>
        </w:tc>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Basic Conditions of Employment Act, Labour Relations Act, Employment Equity Act</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Applies to GBS-SETHS's own staff (Document 02 §1.2) and informs the workplace-readiness content taught to participants</w:t>
            </w:r>
          </w:p>
        </w:tc>
      </w:tr>
      <w:tr>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B-BBEE</w:t>
            </w:r>
          </w:p>
        </w:tc>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Broad-Based Black Economic Empowerment Act and Skills Development sector codes</w:t>
            </w:r>
          </w:p>
        </w:tc>
        <w:tc>
          <w:tcPr>
            <w:tcW w:type="dxa" w:w="4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Underpins the employer value proposition (Document 05); the Absorption Commitment Clause exists specifically to keep this compliant with the spirit, not just the letter, of the codes</w:t>
            </w:r>
          </w:p>
        </w:tc>
      </w:tr>
      <w:tr>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procurement</w:t>
            </w:r>
          </w:p>
        </w:tc>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Finance Management Act (national) / Municipal Finance Management Act (local); Constitution s.217</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Governs any government outcomes-based funding contract (Document 07); procurement processes must be fair, equitable, transparent, competitive, and cost-effective</w:t>
            </w:r>
          </w:p>
        </w:tc>
      </w:tr>
      <w:tr>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AI-specific regulation</w:t>
            </w:r>
          </w:p>
        </w:tc>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 adopted national AI law currently in force — see the flagged correction above</w:t>
            </w:r>
          </w:p>
        </w:tc>
        <w:tc>
          <w:tcPr>
            <w:tcW w:type="dxa" w:w="4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Monitor the revised policy process (targeted Cabinet submission ~Nov 2026); continue operating UDOC/GIS under POPIA and general law in the interim</w:t>
            </w:r>
          </w:p>
        </w:tc>
      </w:tr>
      <w:tr>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NPO / PBO status (if applicable to a Delivery Operator)</w:t>
            </w:r>
          </w:p>
        </w:tc>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Nonprofit Organisations Act 71 of 1997; Income Tax Act s.30 (PBO)</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Applies to NGO-status Delivery Operators (Layer 4), not to G.O.D.S Holdings itself</w:t>
            </w:r>
          </w:p>
        </w:tc>
      </w:tr>
    </w:tbl>
    <w:p>
      <w:pPr>
        <w:pStyle w:val="Heading1"/>
      </w:pPr>
      <w:r>
        <w:t xml:space="preserve">2. Data Protection — POPIA Compliance Controls</w:t>
      </w:r>
    </w:p>
    <w:p>
      <w:pPr>
        <w:spacing w:after="160" w:line="276"/>
        <w:jc w:val="left"/>
      </w:pPr>
      <w:r>
        <w:t xml:space="preserve">Extends the existing POPIA Compliance Framework (b-05) with the controls most relevant to a live GBS-SETHS node, rather than restating that document in full.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1600"/>
        <w:gridCol w:w="4860"/>
      </w:tblGrid>
      <w:tr>
        <w:trPr>
          <w:tblHeader/>
        </w:trPr>
        <w:tc>
          <w:tcPr>
            <w:tcW w:type="dxa" w:w="2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POPIA Requirement</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Section</w:t>
            </w:r>
          </w:p>
        </w:tc>
        <w:tc>
          <w:tcPr>
            <w:tcW w:type="dxa" w:w="4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GBS-SETHS Control</w:t>
            </w:r>
          </w:p>
        </w:tc>
      </w:tr>
      <w:tr>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Special personal information (criminal behaviour, health)</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Sections 26–27</w:t>
            </w:r>
          </w:p>
        </w:tc>
        <w:tc>
          <w:tcPr>
            <w:tcW w:type="dxa" w:w="4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Collected only where genuinely necessary at intake (Document 02 §2), stored with restricted role-based access, never used outside the stated purpose</w:t>
            </w:r>
          </w:p>
        </w:tc>
      </w:tr>
      <w:tr>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Prior authorisation for certain processing, including criminal record data</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Section 57</w:t>
            </w:r>
          </w:p>
        </w:tc>
        <w:tc>
          <w:tcPr>
            <w:tcW w:type="dxa" w:w="4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 processing of this category begins without the required prior authorisation from the Information Regulator — a hard gate, not a best-effort control</w:t>
            </w:r>
          </w:p>
        </w:tc>
      </w:tr>
      <w:tr>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Data subject rights (access, correction, deletion of general personal information)</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Sections 23–25</w:t>
            </w:r>
          </w:p>
        </w:tc>
        <w:tc>
          <w:tcPr>
            <w:tcW w:type="dxa" w:w="4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Participant-facing rights, distinct from the Skills Passport's own no-deletion rule for credential records (Document 04) — the two are not in conflict: a participant can correct or request deletion of general personal information while the credential/attestation history remains as an immutable, amendment-based record</w:t>
            </w:r>
          </w:p>
        </w:tc>
      </w:tr>
      <w:tr>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Cross-border transfer</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Section 72</w:t>
            </w:r>
          </w:p>
        </w:tc>
        <w:tc>
          <w:tcPr>
            <w:tcW w:type="dxa" w:w="4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Relevant as the franchise network expands internationally (Document 00, Part VI) — each new jurisdiction's transfer adequacy must be assessed before Skills Passport data flows there</w:t>
            </w:r>
          </w:p>
        </w:tc>
      </w:tr>
    </w:tbl>
    <w:p>
      <w:pPr>
        <w:pStyle w:val="Heading1"/>
      </w:pPr>
      <w:r>
        <w:t xml:space="preserve">3. Accreditation Pathway</w:t>
      </w:r>
    </w:p>
    <w:p>
      <w:pPr>
        <w:spacing w:after="160" w:line="276"/>
        <w:jc w:val="left"/>
      </w:pPr>
      <w:r>
        <w:t xml:space="preserve">The dual-track accreditation strategy already established at G.O.D.S. level applies directly to every certification tier in Document 00 §11.1: deliver the real GBS-SETHS methodology as the lived curriculum now, register it against existing approved SAQA unit standards as the accreditation wrapper in the interim, and petition SAQA for GBS-SETHS-specific unit-standard registration once the pilot has produced verifiable outcome data to support the application. This sequencing is deliberate — SAQA's Recognition of Prior Learning framework and unit-standard system are stable, well-established regulatory pathways, and there is no material 2026 legislative change affecting this approach.</w:t>
      </w:r>
    </w:p>
    <w:p>
      <w:pPr>
        <w:pStyle w:val="Heading1"/>
      </w:pPr>
      <w:r>
        <w:t xml:space="preserve">4. Government Engagement</w:t>
      </w:r>
    </w:p>
    <w:p>
      <w:pPr>
        <w:pStyle w:val="ListParagraph"/>
        <w:numPr>
          <w:ilvl w:val="0"/>
          <w:numId w:val="2"/>
        </w:numPr>
        <w:spacing w:after="100" w:line="276"/>
      </w:pPr>
      <w:r>
        <w:t xml:space="preserve">Model MOUs: government partnership agreements (e.g. the existing SETHS Government MOU template, e-02) are structured to survive a change of minister or administration, consistent with Constitutional Pillar III (Sovereign Respect)</w:t>
      </w:r>
    </w:p>
    <w:p>
      <w:pPr>
        <w:pStyle w:val="ListParagraph"/>
        <w:numPr>
          <w:ilvl w:val="0"/>
          <w:numId w:val="2"/>
        </w:numPr>
        <w:spacing w:after="100" w:line="276"/>
      </w:pPr>
      <w:r>
        <w:t xml:space="preserve">PPP templates: where a national or provincial government structures a blended-finance partnership — the model PIC's April 2026 paper explicitly proposed for TVET infrastructure (Document 00 §13.2) — the procurement and outcomes-contracting language follows PFMA/MFMA competitive-process requirements from the outset, not retrofitted after a relationship is already informally agreed</w:t>
      </w:r>
    </w:p>
    <w:p>
      <w:pPr>
        <w:pStyle w:val="ListParagraph"/>
        <w:numPr>
          <w:ilvl w:val="0"/>
          <w:numId w:val="2"/>
        </w:numPr>
        <w:spacing w:after="100" w:line="276"/>
      </w:pPr>
      <w:r>
        <w:t xml:space="preserve">Outcomes-based contracting language: payment terms tied to verified 90-day/12-month placement outcomes (Document 00 §13.1), with UDOC's sealed audit trail as the evidence base a government auditor can rely on independently of GBS-SETHS's own reporting</w:t>
      </w:r>
    </w:p>
    <w:p>
      <w:pPr>
        <w:pStyle w:val="Heading1"/>
      </w:pPr>
      <w:r>
        <w:t xml:space="preserve">5. Cross-Border Portability</w:t>
      </w:r>
    </w:p>
    <w:p>
      <w:pPr>
        <w:spacing w:after="160" w:line="276"/>
        <w:jc w:val="left"/>
      </w:pPr>
      <w:r>
        <w:t xml:space="preserve">As the franchise network expands (Document 00, Part VI), Skills Passport recognition depends on more than technical portability (Document 04, Section 7) — it requires each new National GBS territory's accreditation body to recognise, or agree a mutual-recognition pathway for, credentials issued elsewhere in the network. This is a Stage 4+ (Document 00, Part VII) undertaking and should not be presented as already solved.</w:t>
      </w:r>
    </w:p>
    <w:p>
      <w:pPr>
        <w:pStyle w:val="Heading1"/>
      </w:pPr>
      <w:r>
        <w:t xml:space="preserve">6. Audit &amp; Reporting</w:t>
      </w:r>
    </w:p>
    <w:p>
      <w:pPr>
        <w:pStyle w:val="ListParagraph"/>
        <w:numPr>
          <w:ilvl w:val="0"/>
          <w:numId w:val="2"/>
        </w:numPr>
        <w:spacing w:after="100" w:line="276"/>
      </w:pPr>
      <w:r>
        <w:t xml:space="preserve">UDOC evidence packages: the same sealed audit trail underlying constitutional compliance (Document 01, Part Ten) is structured to export a regulator-ready evidence package on demand, rather than requiring bespoke compilation each time one is needed</w:t>
      </w:r>
    </w:p>
    <w:p>
      <w:pPr>
        <w:pStyle w:val="ListParagraph"/>
        <w:numPr>
          <w:ilvl w:val="0"/>
          <w:numId w:val="2"/>
        </w:numPr>
        <w:spacing w:after="100" w:line="276"/>
      </w:pPr>
      <w:r>
        <w:t xml:space="preserve">Annual Compliance Report: consolidates POPIA compliance status, accreditation-pathway progress, labour-law compliance for GBS-SETHS's own staff, and B-BBEE/procurement compliance for any government-funded activity into a single document, aligned in timing with the Annual Constitutional Compliance Audit (Document 01, Part Ten)</w:t>
      </w:r>
    </w:p>
    <w:p>
      <w:pPr>
        <w:pStyle w:val="ListParagraph"/>
        <w:numPr>
          <w:ilvl w:val="0"/>
          <w:numId w:val="2"/>
        </w:numPr>
        <w:spacing w:after="100" w:line="276"/>
      </w:pPr>
      <w:r>
        <w:t xml:space="preserve">Regulatory liaison role: as the network scales past the single pilot node, a dedicated regulatory liaison function tracks jurisdiction-specific changes (such as the AI policy revision process flagged above) so that the wider document set does not go stale the way the live platform's AI-policy reference already has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POPIA compliance framework this document extends is already comprehensive and specific (b-05); the SAQA/RPL accreditation pathway is a stable, correctly understood regulatory route.</w:t>
            </w:r>
          </w:p>
          <w:p>
            <w:pPr>
              <w:spacing w:after="60"/>
            </w:pPr>
            <w:r>
              <w:rPr>
                <w:b/>
                <w:bCs/>
              </w:rPr>
              <w:t xml:space="preserve">Designed / production-specified, not yet built:  </w:t>
            </w:r>
            <w:r>
              <w:t xml:space="preserve">This document's broader accreditation, labour, and procurement mapping is newly consolidated here and has not yet been reviewed by South African legal counsel specialising in each specific domain — that review is the immediate next step, not a formality to skip.</w:t>
            </w:r>
          </w:p>
          <w:p>
            <w:pPr>
              <w:spacing w:after="0"/>
            </w:pPr>
            <w:r>
              <w:rPr>
                <w:b/>
                <w:bCs/>
              </w:rPr>
              <w:t xml:space="preserve">Aspirational / long-horizon:  </w:t>
            </w:r>
            <w:r>
              <w:t xml:space="preserve">Multi-jurisdiction regulatory mapping (Document 00, Part VI's seven regions) is a Stage 4+ undertaking; Section 1's table should be treated as the template to re-run per country, not as already covering anywhere beyond South Africa.</w:t>
            </w:r>
          </w:p>
        </w:tc>
      </w:tr>
    </w:tbl>
    <w:p>
      <w:pPr>
        <w:pStyle w:val="Heading1"/>
      </w:pPr>
      <w:r>
        <w:t xml:space="preserve">Annexes</w:t>
      </w:r>
    </w:p>
    <w:p>
      <w:pPr>
        <w:pStyle w:val="Heading2"/>
      </w:pPr>
      <w:r>
        <w:t xml:space="preserve">Annex A — Country Regulatory Checklist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0"/>
        <w:gridCol w:w="2160"/>
      </w:tblGrid>
      <w:tr>
        <w:trPr>
          <w:tblHeader/>
        </w:trPr>
        <w:tc>
          <w:tcPr>
            <w:tcW w:type="dxa" w:w="7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Item</w:t>
            </w:r>
          </w:p>
        </w:tc>
        <w:tc>
          <w:tcPr>
            <w:tcW w:type="dxa" w:w="2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Status</w:t>
            </w:r>
          </w:p>
        </w:tc>
      </w:tr>
      <w:tr>
        <w:tc>
          <w:tcPr>
            <w:tcW w:type="dxa" w:w="7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Data protection law identified and mapped</w:t>
            </w:r>
          </w:p>
        </w:tc>
        <w:tc>
          <w:tcPr>
            <w:tcW w:type="dxa" w:w="2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t>
            </w:r>
          </w:p>
        </w:tc>
      </w:tr>
      <w:tr>
        <w:tc>
          <w:tcPr>
            <w:tcW w:type="dxa" w:w="7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Accreditation body and pathway identified</w:t>
            </w:r>
          </w:p>
        </w:tc>
        <w:tc>
          <w:tcPr>
            <w:tcW w:type="dxa" w:w="2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t>
            </w:r>
          </w:p>
        </w:tc>
      </w:tr>
      <w:tr>
        <w:tc>
          <w:tcPr>
            <w:tcW w:type="dxa" w:w="7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Labour law applicable to GBS-SETHS staff reviewed</w:t>
            </w:r>
          </w:p>
        </w:tc>
        <w:tc>
          <w:tcPr>
            <w:tcW w:type="dxa" w:w="2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t>
            </w:r>
          </w:p>
        </w:tc>
      </w:tr>
      <w:tr>
        <w:tc>
          <w:tcPr>
            <w:tcW w:type="dxa" w:w="7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B-BBEE-equivalent or local transformation framework reviewed</w:t>
            </w:r>
          </w:p>
        </w:tc>
        <w:tc>
          <w:tcPr>
            <w:tcW w:type="dxa" w:w="2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t>
            </w:r>
          </w:p>
        </w:tc>
      </w:tr>
      <w:tr>
        <w:tc>
          <w:tcPr>
            <w:tcW w:type="dxa" w:w="7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procurement rules for any government funding reviewed</w:t>
            </w:r>
          </w:p>
        </w:tc>
        <w:tc>
          <w:tcPr>
            <w:tcW w:type="dxa" w:w="2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t>
            </w:r>
          </w:p>
        </w:tc>
      </w:tr>
      <w:tr>
        <w:tc>
          <w:tcPr>
            <w:tcW w:type="dxa" w:w="7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Cross-border data transfer adequacy assessed</w:t>
            </w:r>
          </w:p>
        </w:tc>
        <w:tc>
          <w:tcPr>
            <w:tcW w:type="dxa" w:w="2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t>
            </w:r>
          </w:p>
        </w:tc>
      </w:tr>
    </w:tbl>
    <w:p>
      <w:pPr>
        <w:pStyle w:val="Heading2"/>
      </w:pPr>
      <w:r>
        <w:t xml:space="preserve">Annex B — SAQA Alignment Note (Attribution Clarification)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SAQA 118707 NQF5 is Sashin J. Singh's personal qualification.</w:t>
            </w:r>
          </w:p>
          <w:p>
            <w:pPr>
              <w:spacing w:after="160" w:line="276"/>
              <w:jc w:val="left"/>
            </w:pPr>
            <w:r>
              <w:t xml:space="preserve">SAQA 118707 NQF5 (Software Development, National Certificate) is the qualification the Founder is personally completing through a learnership programme, with capstone submission approximately nine months out at the time of this document. It is not an accreditation held by S.E.T.H.S., GBS-SETHS, or any G.O.D.S. entity, and no GBS-SETHS document, certification tier, or marketing material should describe S.E.T.H.S. as "SAQA 118707 NQF5-accredited." This conflation appeared in prior materials, including the G.O.D.S. vs The World assessment, and is corrected here for the avoidance of doubt across this entire package.</w:t>
            </w:r>
          </w:p>
        </w:tc>
      </w:tr>
    </w:tbl>
    <w:p>
      <w:pPr>
        <w:pStyle w:val="Heading2"/>
      </w:pPr>
      <w:r>
        <w:t xml:space="preserve">Annex C — Public Procurement Compliance Template (Structure)</w:t>
      </w:r>
    </w:p>
    <w:p>
      <w:pPr>
        <w:pStyle w:val="ListParagraph"/>
        <w:numPr>
          <w:ilvl w:val="0"/>
          <w:numId w:val="2"/>
        </w:numPr>
        <w:spacing w:after="100" w:line="276"/>
      </w:pPr>
      <w:r>
        <w:t xml:space="preserve">Constitutional/PFMA/MFMA basis for the specific procurement route being used</w:t>
      </w:r>
    </w:p>
    <w:p>
      <w:pPr>
        <w:pStyle w:val="ListParagraph"/>
        <w:numPr>
          <w:ilvl w:val="0"/>
          <w:numId w:val="2"/>
        </w:numPr>
        <w:spacing w:after="100" w:line="276"/>
      </w:pPr>
      <w:r>
        <w:t xml:space="preserve">Fair, equitable, transparent, competitive, cost-effective process confirmation</w:t>
      </w:r>
    </w:p>
    <w:p>
      <w:pPr>
        <w:pStyle w:val="ListParagraph"/>
        <w:numPr>
          <w:ilvl w:val="0"/>
          <w:numId w:val="2"/>
        </w:numPr>
        <w:spacing w:after="100" w:line="276"/>
      </w:pPr>
      <w:r>
        <w:t xml:space="preserve">Outcomes-based payment terms and the UDOC evidence package that will substantiate them</w:t>
      </w:r>
    </w:p>
    <w:p>
      <w:pPr>
        <w:pStyle w:val="Heading1"/>
      </w:pPr>
      <w:r>
        <w:t xml:space="preserve">Implementation Checklist</w:t>
      </w:r>
    </w:p>
    <w:p>
      <w:pPr>
        <w:pStyle w:val="ListParagraph"/>
        <w:numPr>
          <w:ilvl w:val="0"/>
          <w:numId w:val="3"/>
        </w:numPr>
        <w:spacing w:after="100" w:line="276"/>
      </w:pPr>
      <w:r>
        <w:t xml:space="preserve">Correct the live institutional platform's AI Policy Gazette 54477 reference to reflect the April 2026 withdrawal, consistent with the flagged note above.</w:t>
      </w:r>
    </w:p>
    <w:p>
      <w:pPr>
        <w:pStyle w:val="ListParagraph"/>
        <w:numPr>
          <w:ilvl w:val="0"/>
          <w:numId w:val="3"/>
        </w:numPr>
        <w:spacing w:after="100" w:line="276"/>
      </w:pPr>
      <w:r>
        <w:t xml:space="preserve">Commission South African legal counsel review of Sections 1, 3, and 4 before this framework is relied on in any government or DFI conversation.</w:t>
      </w:r>
    </w:p>
    <w:p>
      <w:pPr>
        <w:pStyle w:val="ListParagraph"/>
        <w:numPr>
          <w:ilvl w:val="0"/>
          <w:numId w:val="3"/>
        </w:numPr>
        <w:spacing w:after="100" w:line="276"/>
      </w:pPr>
      <w:r>
        <w:t xml:space="preserve">Begin the SAQA unit-standard petition groundwork once pilot outcome data exists, per Section 3.</w:t>
      </w:r>
    </w:p>
    <w:p>
      <w:pPr>
        <w:pBdr>
          <w:bottom w:val="single" w:color="C9A84C" w:sz="6"/>
        </w:pBdr>
        <w:spacing w:after="120" w:before="120"/>
      </w:pPr>
    </w:p>
    <w:p>
      <w:pPr>
        <w:spacing w:after="40" w:before="200"/>
        <w:jc w:val="center"/>
      </w:pPr>
      <w:r>
        <w:rPr>
          <w:color w:val="5B6472"/>
          <w:sz w:val="18"/>
          <w:szCs w:val="18"/>
        </w:rPr>
        <w:t xml:space="preserve">GBS-SETHS Regulatory Compliance Framework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INSTITUTIONAL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Regulatory Compliance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2026-07-10T08:43:27.953Z</dcterms:created>
  <dcterms:modified xsi:type="dcterms:W3CDTF">2026-07-10T08:43:27.953Z</dcterms:modified>
</cp:coreProperties>
</file>

<file path=docProps/custom.xml><?xml version="1.0" encoding="utf-8"?>
<Properties xmlns="http://schemas.openxmlformats.org/officeDocument/2006/custom-properties" xmlns:vt="http://schemas.openxmlformats.org/officeDocument/2006/docPropsVTypes"/>
</file>