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00"/>
        <w:jc w:val="center"/>
      </w:pPr>
      <w:r>
        <w:rPr>
          <w:b/>
          <w:bCs/>
          <w:color w:val="16233A"/>
          <w:sz w:val="22"/>
          <w:szCs w:val="22"/>
        </w:rPr>
        <w:t xml:space="preserve">G . O . D . S   H O L D I N G S</w:t>
      </w:r>
    </w:p>
    <w:p>
      <w:pPr>
        <w:spacing w:after="320"/>
        <w:jc w:val="center"/>
      </w:pPr>
      <w:r>
        <w:rPr>
          <w:color w:val="5B6472"/>
          <w:sz w:val="16"/>
          <w:szCs w:val="16"/>
        </w:rPr>
        <w:t xml:space="preserve">GOOD ORDERLY DIRECTIONAL SYSTEMS  ·  GBS-SETHS INSTITUTIONAL READINESS PACKAGE</w:t>
      </w:r>
    </w:p>
    <w:p>
      <w:pPr>
        <w:spacing w:after="120"/>
        <w:jc w:val="center"/>
      </w:pPr>
      <w:r>
        <w:rPr>
          <w:b/>
          <w:bCs/>
          <w:color w:val="8C7330"/>
          <w:sz w:val="18"/>
          <w:szCs w:val="18"/>
        </w:rPr>
        <w:t xml:space="preserve">DOCUMENT 10 of 11 OF 11</w:t>
      </w:r>
    </w:p>
    <w:p>
      <w:pPr>
        <w:spacing w:after="160"/>
        <w:jc w:val="center"/>
      </w:pPr>
      <w:r>
        <w:rPr>
          <w:b/>
          <w:bCs/>
          <w:color w:val="16233A"/>
          <w:sz w:val="40"/>
          <w:szCs w:val="40"/>
        </w:rPr>
        <w:t xml:space="preserve">Founder Succession &amp; Continuity Charter</w:t>
      </w:r>
    </w:p>
    <w:p>
      <w:pPr>
        <w:spacing w:after="400"/>
        <w:jc w:val="center"/>
      </w:pPr>
      <w:r>
        <w:rPr>
          <w:i/>
          <w:iCs/>
          <w:color w:val="5B6472"/>
          <w:sz w:val="24"/>
          <w:szCs w:val="24"/>
        </w:rPr>
        <w:t xml:space="preserve">GBS-SETHS Edition — Governance for Long-Term Continuity</w:t>
      </w:r>
    </w:p>
    <w:p>
      <w:pPr>
        <w:spacing w:after="100"/>
        <w:jc w:val="center"/>
      </w:pPr>
      <w:r>
        <w:rPr>
          <w:color w:val="16233A"/>
          <w:sz w:val="20"/>
          <w:szCs w:val="20"/>
        </w:rPr>
        <w:t xml:space="preserve">GOVERNANCE INSTRUMENT · SUCCESSION SPECIFICALLY AS IT AFFECTS THE FRANCHISE NETWORK, THE COB, AND THE 250-YEAR MANDATE</w:t>
      </w:r>
    </w:p>
    <w:p>
      <w:pPr>
        <w:spacing w:after="400"/>
        <w:jc w:val="center"/>
      </w:pPr>
      <w:r>
        <w:rPr>
          <w:color w:val="5B6472"/>
          <w:sz w:val="18"/>
          <w:szCs w:val="18"/>
        </w:rPr>
        <w:t xml:space="preserve">Version 1.0 · July 2026 · Companion to, not a replacement for, the existing G.O.D.S. Succession &amp; Continuity Charter (a-14)</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60"/>
            </w:pPr>
            <w:r>
              <w:rPr>
                <w:b/>
                <w:bCs/>
              </w:rPr>
              <w:t xml:space="preserve">Architect &amp; Founder:  </w:t>
            </w:r>
            <w:r>
              <w:t xml:space="preserve">Sashin J. Singh</w:t>
            </w:r>
          </w:p>
          <w:p>
            <w:pPr>
              <w:spacing w:after="60"/>
            </w:pPr>
            <w:r>
              <w:rPr>
                <w:b/>
                <w:bCs/>
              </w:rPr>
              <w:t xml:space="preserve">Institution:  </w:t>
            </w:r>
            <w:r>
              <w:t xml:space="preserve">G.O.D.S Holdings (Pty) Ltd — Pre-Registration, Johannesburg, South Africa</w:t>
            </w:r>
          </w:p>
          <w:p>
            <w:pPr>
              <w:spacing w:after="60"/>
            </w:pPr>
            <w:r>
              <w:rPr>
                <w:b/>
                <w:bCs/>
              </w:rPr>
              <w:t xml:space="preserve">IP Custodian:  </w:t>
            </w:r>
            <w:r>
              <w:t xml:space="preserve">G.O.D.S IP Trust — Trust Property Control Act 57 of 1988</w:t>
            </w:r>
          </w:p>
          <w:p>
            <w:pPr>
              <w:spacing w:after="60"/>
            </w:pPr>
            <w:r>
              <w:rPr>
                <w:b/>
                <w:bCs/>
              </w:rPr>
              <w:t xml:space="preserve">Document Classification:  </w:t>
            </w:r>
            <w:r>
              <w:t xml:space="preserve">RESTRICTED — Governance-Sensitive; COB and Trustee Distribution Only</w:t>
            </w:r>
          </w:p>
          <w:p>
            <w:pPr>
              <w:spacing w:after="0"/>
            </w:pPr>
            <w:r>
              <w:rPr>
                <w:b/>
                <w:bCs/>
              </w:rPr>
              <w:t xml:space="preserve">Package:  </w:t>
            </w:r>
            <w:r>
              <w:t xml:space="preserve">GBS-SETHS Institutional Readiness Package — consolidating GBS-SETHS Framework v1.0/v2.0 with 10 companion registration-grade instruments</w:t>
            </w:r>
          </w:p>
        </w:tc>
      </w:tr>
    </w:tbl>
    <w:p>
      <w:pPr>
        <w:spacing w:after="3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0"/>
            </w:pPr>
            <w:r>
              <w:rPr>
                <w:b/>
                <w:bCs/>
              </w:rPr>
              <w:t xml:space="preserve">Authorship declaration.  </w:t>
            </w:r>
            <w:r>
              <w:t xml:space="preserve">This document translates a decade of Sashin J. Singh's original institutional architecture — conceived 2016 (Seth's Empire, Johannesburg), continuously refined through personal, academic, and lived development, and previously formalised in GBS-SETHS v1.0/v2.0, the G.O.D.S. data room, and the live institutional platform — into a registration-grade instrument. AI production tools were used to draft, structure, cross-reference, and format this document from that existing body of work and from SJS's direct specification of its required structure and content. The architecture, the pillars, the methodology, the terminology, and the decade of lived commitment are SJS's own. AI did not originate the institutional design; it produced the document.</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1600"/>
        <w:gridCol w:w="2360"/>
        <w:gridCol w:w="4000"/>
      </w:tblGrid>
      <w:tr>
        <w:trPr>
          <w:tblHeader/>
        </w:trPr>
        <w:tc>
          <w:tcPr>
            <w:tcW w:type="dxa" w:w="1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Version</w:t>
            </w:r>
          </w:p>
        </w:tc>
        <w:tc>
          <w:tcPr>
            <w:tcW w:type="dxa" w:w="1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Date</w:t>
            </w:r>
          </w:p>
        </w:tc>
        <w:tc>
          <w:tcPr>
            <w:tcW w:type="dxa" w:w="23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Author</w:t>
            </w:r>
          </w:p>
        </w:tc>
        <w:tc>
          <w:tcPr>
            <w:tcW w:type="dxa" w:w="40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Change Summary</w:t>
            </w:r>
          </w:p>
        </w:tc>
      </w:tr>
      <w:tr>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1.0</w:t>
            </w:r>
          </w:p>
        </w:tc>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July 2026</w:t>
            </w:r>
          </w:p>
        </w:tc>
        <w:tc>
          <w:tcPr>
            <w:tcW w:type="dxa" w:w="23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SJS + AI documentation assistance</w:t>
            </w:r>
          </w:p>
        </w:tc>
        <w:tc>
          <w:tcPr>
            <w:tcW w:type="dxa" w:w="4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First issue — a GBS-SETHS-specific companion translating the existing company-wide Succession &amp; Continuity Charter (a-14) into its franchise-network, COB, and 250-year-mandate implications specifically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This document does not replace the existing Succession &amp; Continuity Charter.</w:t>
            </w:r>
          </w:p>
          <w:p>
            <w:pPr>
              <w:spacing w:after="160" w:line="276"/>
              <w:jc w:val="left"/>
            </w:pPr>
            <w:r>
              <w:t xml:space="preserve">G.O.D.S. Holdings already has a complete, company-wide Founder Succession &amp; Continuity Charter (a-14), covering the Founder role, succession triggers, the nomination and ratification process, interim governance, and IP Trust custodianship in full legal detail. That document remains the master instrument. This companion exists because SJS's brief for this package specifically asked for a GBS-SETHS-aligned version — so this document restates the core mechanics only where necessary for a GBS-SETHS reader to understand them, and focuses its original content on what a-14 does not cover in detail: what happens, specifically, to the franchise network, the COB's day-to-day function, and pilot/node operations during a succession event.</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Systemic trace — the seven GBS questions this document answers</w:t>
            </w:r>
          </w:p>
          <w:p>
            <w:pPr>
              <w:spacing w:after="60"/>
            </w:pPr>
            <w:r>
              <w:rPr>
                <w:b/>
                <w:bCs/>
              </w:rPr>
              <w:t xml:space="preserve">What information exists?  </w:t>
            </w:r>
            <w:r>
              <w:t xml:space="preserve">The Founder's reserved powers, the succession-trigger definitions, and the IP Trust custodianship mechanics already specified in a-14.</w:t>
            </w:r>
          </w:p>
          <w:p>
            <w:pPr>
              <w:spacing w:after="60"/>
            </w:pPr>
            <w:r>
              <w:rPr>
                <w:b/>
                <w:bCs/>
              </w:rPr>
              <w:t xml:space="preserve">How is it communicated?  </w:t>
            </w:r>
            <w:r>
              <w:t xml:space="preserve">To the COB, IP Trust Trustees, and — at the level of "the institution continues regardless" — to every National GBS Authority and Delivery Operator as a standing reassurance, not just a legal document nobody reads until a crisis.</w:t>
            </w:r>
          </w:p>
          <w:p>
            <w:pPr>
              <w:spacing w:after="60"/>
            </w:pPr>
            <w:r>
              <w:rPr>
                <w:b/>
                <w:bCs/>
              </w:rPr>
              <w:t xml:space="preserve">How is it transported?  </w:t>
            </w:r>
            <w:r>
              <w:t xml:space="preserve">Through the Founder Archive (Annex B) and the interim-governance activation protocol below.</w:t>
            </w:r>
          </w:p>
          <w:p>
            <w:pPr>
              <w:spacing w:after="60"/>
            </w:pPr>
            <w:r>
              <w:rPr>
                <w:b/>
                <w:bCs/>
              </w:rPr>
              <w:t xml:space="preserve">How is it received?  </w:t>
            </w:r>
            <w:r>
              <w:t xml:space="preserve">By the nomination committee, the COB, and — where a licensee's confidence depends on it — by franchise partners assessing whether to enter a long-term relationship with an institution built around one person's decade of work.</w:t>
            </w:r>
          </w:p>
          <w:p>
            <w:pPr>
              <w:spacing w:after="60"/>
            </w:pPr>
            <w:r>
              <w:rPr>
                <w:b/>
                <w:bCs/>
              </w:rPr>
              <w:t xml:space="preserve">How is learning/compliance verified?  </w:t>
            </w:r>
            <w:r>
              <w:t xml:space="preserve">Through the tabletop succession exercise recommended in the Implementation Checklist and a-14's own ratification process.</w:t>
            </w:r>
          </w:p>
          <w:p>
            <w:pPr>
              <w:spacing w:after="60"/>
            </w:pPr>
            <w:r>
              <w:rPr>
                <w:b/>
                <w:bCs/>
              </w:rPr>
              <w:t xml:space="preserve">How is the process repeated?  </w:t>
            </w:r>
            <w:r>
              <w:t xml:space="preserve">This is, by design, a document meant to be rehearsed rather than only read — tabletop exercises are how a 250-year institution tests a plan it hopes never to use for real for a very long time.</w:t>
            </w:r>
          </w:p>
          <w:p>
            <w:pPr>
              <w:spacing w:after="0"/>
            </w:pPr>
            <w:r>
              <w:rPr>
                <w:b/>
                <w:bCs/>
              </w:rPr>
              <w:t xml:space="preserve">How does it scale to civilisational level?  </w:t>
            </w:r>
            <w:r>
              <w:t xml:space="preserve">The entire premise of the 250-year mandate (Document 00, Part VIII) depends on the institution surviving founder transitions — this document is where that abstract commitment becomes a specific, actionable plan for the GBS-SETHS division.</w:t>
            </w:r>
          </w:p>
        </w:tc>
      </w:tr>
    </w:tbl>
    <w:p>
      <w:r>
        <w:br w:type="page"/>
      </w:r>
    </w:p>
    <w:p>
      <w:pPr>
        <w:pStyle w:val="Heading1"/>
      </w:pPr>
      <w:r>
        <w:t xml:space="preserve">1. Founder Role Definition</w:t>
      </w:r>
    </w:p>
    <w:p>
      <w:pPr>
        <w:spacing w:after="160" w:line="276"/>
        <w:jc w:val="left"/>
      </w:pPr>
      <w:r>
        <w:t xml:space="preserve">Sashin J. Singh holds the role of Chief Systems Architect and Executive Chairman, with reserved powers and constraints defined in full in a-14 and restated at the constitutional level in Document 01, Part Seven. For GBS-SETHS specifically, the Founder's reserved responsibilities include: final authority over Twelve Pillar interpretation pending COB constitution, approval of the first National GBS licence (Document 03) in each new territory, and appointment of the initial Programme Director for the South Africa pilot (Document 02). Delegation of any of these is possible and, as the network matures past Stage 1 (Document 00, Part VII), expected — but delegation is a Founder decision to make, not a default that occurs silently through inaction.</w:t>
      </w:r>
    </w:p>
    <w:p>
      <w:pPr>
        <w:pStyle w:val="Heading1"/>
      </w:pPr>
      <w:r>
        <w:t xml:space="preserve">2. Succession Triggers</w:t>
      </w:r>
    </w:p>
    <w:p>
      <w:pPr>
        <w:spacing w:after="160" w:line="276"/>
        <w:jc w:val="left"/>
      </w:pPr>
      <w:r>
        <w:t xml:space="preserve">Consistent with a-14: incapacity (medical, confirmed by appropriate process), resignation, death, or prolonged absence (a defined period without the Founder exercising reserved authority, without prior delegation having been arranged). For GBS-SETHS specifically, a fifth practical trigger is added — sustained inability to fulfil the Founder's GBS-SETHS-specific reserved responsibilities in Section 1 above, even where the Founder remains otherwise active elsewhere in G.O.D.S. This is a narrower, GBS-SETHS-scoped supplement to a-14's triggers, not a replacement for them.</w:t>
      </w:r>
    </w:p>
    <w:p>
      <w:pPr>
        <w:pStyle w:val="Heading1"/>
      </w:pPr>
      <w:r>
        <w:t xml:space="preserve">3. Succession Process</w:t>
      </w:r>
    </w:p>
    <w:p>
      <w:pPr>
        <w:spacing w:after="160" w:line="276"/>
        <w:jc w:val="left"/>
      </w:pPr>
      <w:r>
        <w:t xml:space="preserve">The nomination committee, COB oversight, and ratification sequence is as defined in a-14. What this document adds is the GBS-SETHS-specific consultation step: before ratification, the National GBS Authorities then in good standing (once any exist beyond the pilot) are consulted on the proposed successor's suitability to hold the franchise network's constitutional standard — not a veto, but a formal voice, consistent with Constitutional Pillar VI (Transparency).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600"/>
        <w:gridCol w:w="4560"/>
      </w:tblGrid>
      <w:tr>
        <w:trPr>
          <w:tblHeader/>
        </w:trPr>
        <w:tc>
          <w:tcPr>
            <w:tcW w:type="dxa" w:w="22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Step</w:t>
            </w:r>
          </w:p>
        </w:tc>
        <w:tc>
          <w:tcPr>
            <w:tcW w:type="dxa" w:w="2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Actor</w:t>
            </w:r>
          </w:p>
        </w:tc>
        <w:tc>
          <w:tcPr>
            <w:tcW w:type="dxa" w:w="45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GBS-SETHS-Specific Addition</w:t>
            </w:r>
          </w:p>
        </w:tc>
      </w:tr>
      <w:tr>
        <w:tc>
          <w:tcPr>
            <w:tcW w:type="dxa" w:w="2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Trigger confirmed</w:t>
            </w:r>
          </w:p>
        </w:tc>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COB</w:t>
            </w:r>
          </w:p>
        </w:tc>
        <w:tc>
          <w:tcPr>
            <w:tcW w:type="dxa" w:w="4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None beyond a-14</w:t>
            </w:r>
          </w:p>
        </w:tc>
      </w:tr>
      <w:tr>
        <w:tc>
          <w:tcPr>
            <w:tcW w:type="dxa" w:w="2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Nomination committee convened</w:t>
            </w:r>
          </w:p>
        </w:tc>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COB + IP Trust Trustees</w:t>
            </w:r>
          </w:p>
        </w:tc>
        <w:tc>
          <w:tcPr>
            <w:tcW w:type="dxa" w:w="45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None beyond a-14</w:t>
            </w:r>
          </w:p>
        </w:tc>
      </w:tr>
      <w:tr>
        <w:tc>
          <w:tcPr>
            <w:tcW w:type="dxa" w:w="2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Candidate(s) assessed</w:t>
            </w:r>
          </w:p>
        </w:tc>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Nomination committee</w:t>
            </w:r>
          </w:p>
        </w:tc>
        <w:tc>
          <w:tcPr>
            <w:tcW w:type="dxa" w:w="4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Assessed specifically against the Twelve Pillars and the Five Foundational Pillars, not generic leadership criteria</w:t>
            </w:r>
          </w:p>
        </w:tc>
      </w:tr>
      <w:tr>
        <w:tc>
          <w:tcPr>
            <w:tcW w:type="dxa" w:w="2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National GBS consultation</w:t>
            </w:r>
          </w:p>
        </w:tc>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COB</w:t>
            </w:r>
          </w:p>
        </w:tc>
        <w:tc>
          <w:tcPr>
            <w:tcW w:type="dxa" w:w="45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New in this document — formal, non-binding consultation with existing National GBS Authorities</w:t>
            </w:r>
          </w:p>
        </w:tc>
      </w:tr>
      <w:tr>
        <w:tc>
          <w:tcPr>
            <w:tcW w:type="dxa" w:w="2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Ratification</w:t>
            </w:r>
          </w:p>
        </w:tc>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IP Trust Trustees, per a-14's voting threshold</w:t>
            </w:r>
          </w:p>
        </w:tc>
        <w:tc>
          <w:tcPr>
            <w:tcW w:type="dxa" w:w="4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None beyond a-14</w:t>
            </w:r>
          </w:p>
        </w:tc>
      </w:tr>
    </w:tbl>
    <w:p>
      <w:pPr>
        <w:pStyle w:val="Heading1"/>
      </w:pPr>
      <w:r>
        <w:t xml:space="preserve">4. Interim Governance</w:t>
      </w:r>
    </w:p>
    <w:p>
      <w:pPr>
        <w:spacing w:after="160" w:line="276"/>
        <w:jc w:val="left"/>
      </w:pPr>
      <w:r>
        <w:t xml:space="preserve">During any succession process, a-14's temporary executive committee assumes company-wide interim authority. Specifically for GBS-SETHS, continuity of the following is treated as the priority order during any interim period: (1) UDOC and GIS controls remain live and fail-closed exactly as specified in Document 00 §3 and Document 06 §3 — an interim governance period is precisely the scenario the fail-closed design exists for; (2) any pilot cohort in progress continues uninterrupted under the existing Programme Director, who does not report differently during an interim period; (3) no new National GBS licence is issued during an interim period without full COB sign-off, even if the Founder had been about to approve one under the Section 1 reserved-power framing.</w:t>
      </w:r>
    </w:p>
    <w:p>
      <w:pPr>
        <w:pStyle w:val="Heading1"/>
      </w:pPr>
      <w:r>
        <w:t xml:space="preserve">5. IP &amp; Custodianship</w:t>
      </w:r>
    </w:p>
    <w:p>
      <w:pPr>
        <w:spacing w:after="160" w:line="276"/>
        <w:jc w:val="left"/>
      </w:pPr>
      <w:r>
        <w:t xml:space="preserve">The G.O.D.S IP Trust structure, trustee responsibilities, and access controls are as defined in a-14 and Document 01, Part Nine. The GBS-SETHS-specific point worth stating plainly: the Trust's perpetual, non-Founder-alienable ownership of the methodology is precisely what allows a franchise licensee (Document 03) to enter a long-term agreement with confidence that the institution they are licensing from will still exist, on the same terms, regardless of what happens to any individual — including the Founder.</w:t>
      </w:r>
    </w:p>
    <w:p>
      <w:pPr>
        <w:pStyle w:val="Heading1"/>
      </w:pPr>
      <w:r>
        <w:t xml:space="preserve">6. Continuity Planning</w:t>
      </w:r>
    </w:p>
    <w:p>
      <w:pPr>
        <w:pStyle w:val="Heading2"/>
      </w:pPr>
      <w:r>
        <w:t xml:space="preserve">6.1  Knowledge Transfer</w:t>
      </w:r>
    </w:p>
    <w:p>
      <w:pPr>
        <w:spacing w:after="160" w:line="276"/>
        <w:jc w:val="left"/>
      </w:pPr>
      <w:r>
        <w:t xml:space="preserve">Given the working pattern already established — the Founder produces clean, detailed written deliverables more reliably than real-time verbal explanation — the entire GBS-SETHS document set (this package, Document 00, and the wider data room) functions as the primary knowledge-transfer artefact by design, not as a byproduct of it. A successor does not need to reconstruct the institution's logic from meetings and memory; it is already written down, cross-referenced, and version-controlled.</w:t>
      </w:r>
    </w:p>
    <w:p>
      <w:pPr>
        <w:pStyle w:val="Heading2"/>
      </w:pPr>
      <w:r>
        <w:t xml:space="preserve">6.2  Founder Archive</w:t>
      </w:r>
    </w:p>
    <w:p>
      <w:pPr>
        <w:spacing w:after="160" w:line="276"/>
        <w:jc w:val="left"/>
      </w:pPr>
      <w:r>
        <w:t xml:space="preserve">Maintained per a-14; for GBS-SETHS specifically, the archive should include the complete version history of Document 00 (v1.0 → v2.0 → v3.0) as a record of how the institution's own thinking evolved, not just the current state — a future architect benefits from seeing what changed and why, not only from the final answer.</w:t>
      </w:r>
    </w:p>
    <w:p>
      <w:pPr>
        <w:pStyle w:val="Heading2"/>
      </w:pPr>
      <w:r>
        <w:t xml:space="preserve">6.3  Institutional Memory Protocols</w:t>
      </w:r>
    </w:p>
    <w:p>
      <w:pPr>
        <w:spacing w:after="160" w:line="276"/>
        <w:jc w:val="left"/>
      </w:pPr>
      <w:r>
        <w:t xml:space="preserve">The MEMORY.md / SKILLS.md continuity protocol already in active use for AI-assisted document production doubles, at a much smaller scale, as a model for the same discipline applied to human institutional memory: capture context as it is generated, version it, and make it retrievable by someone who was not in the room when it happened.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Honesty tier — what is proven, what is designed, what is aspirational</w:t>
            </w:r>
          </w:p>
          <w:p>
            <w:pPr>
              <w:spacing w:after="60"/>
            </w:pPr>
            <w:r>
              <w:rPr>
                <w:b/>
                <w:bCs/>
              </w:rPr>
              <w:t xml:space="preserve">Proven / live:  </w:t>
            </w:r>
            <w:r>
              <w:t xml:space="preserve">a-14's succession triggers, nomination process, interim governance, and IP Trust mechanics are already fully specified and legally considered at the company-wide level.</w:t>
            </w:r>
          </w:p>
          <w:p>
            <w:pPr>
              <w:spacing w:after="60"/>
            </w:pPr>
            <w:r>
              <w:rPr>
                <w:b/>
                <w:bCs/>
              </w:rPr>
              <w:t xml:space="preserve">Designed / production-specified, not yet built:  </w:t>
            </w:r>
            <w:r>
              <w:t xml:space="preserve">This document's GBS-SETHS-specific additions (Sections 2's fifth trigger, Section 3's National GBS consultation step, Section 4's priority ordering) are newly proposed here and should be reviewed against a-14 for consistency by SJS and, eventually, the COB, before being treated as binding.</w:t>
            </w:r>
          </w:p>
          <w:p>
            <w:pPr>
              <w:spacing w:after="0"/>
            </w:pPr>
            <w:r>
              <w:rPr>
                <w:b/>
                <w:bCs/>
              </w:rPr>
              <w:t xml:space="preserve">Aspirational / long-horizon:  </w:t>
            </w:r>
            <w:r>
              <w:t xml:space="preserve">The National GBS consultation step in Section 3 is aspirational until a second National GBS Authority actually exists — until then, it has no one to consult.</w:t>
            </w:r>
          </w:p>
        </w:tc>
      </w:tr>
    </w:tbl>
    <w:p>
      <w:pPr>
        <w:pStyle w:val="Heading1"/>
      </w:pPr>
      <w:r>
        <w:t xml:space="preserve">Annexes</w:t>
      </w:r>
    </w:p>
    <w:p>
      <w:pPr>
        <w:pStyle w:val="Heading2"/>
      </w:pPr>
      <w:r>
        <w:t xml:space="preserve">Annex A — Succession Timeline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560"/>
        <w:gridCol w:w="3600"/>
      </w:tblGrid>
      <w:tr>
        <w:trPr>
          <w:tblHeader/>
        </w:trPr>
        <w:tc>
          <w:tcPr>
            <w:tcW w:type="dxa" w:w="55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Phase</w:t>
            </w:r>
          </w:p>
        </w:tc>
        <w:tc>
          <w:tcPr>
            <w:tcW w:type="dxa" w:w="3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Target Timeframe</w:t>
            </w:r>
          </w:p>
        </w:tc>
      </w:tr>
      <w:tr>
        <w:tc>
          <w:tcPr>
            <w:tcW w:type="dxa" w:w="5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Trigger confirmed → nomination committee convened</w:t>
            </w:r>
          </w:p>
        </w:tc>
        <w:tc>
          <w:tcPr>
            <w:tcW w:type="dxa" w:w="3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Within 14 days</w:t>
            </w:r>
          </w:p>
        </w:tc>
      </w:tr>
      <w:tr>
        <w:tc>
          <w:tcPr>
            <w:tcW w:type="dxa" w:w="55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Candidate assessment → National GBS consultation</w:t>
            </w:r>
          </w:p>
        </w:tc>
        <w:tc>
          <w:tcPr>
            <w:tcW w:type="dxa" w:w="3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Within 60 days</w:t>
            </w:r>
          </w:p>
        </w:tc>
      </w:tr>
      <w:tr>
        <w:tc>
          <w:tcPr>
            <w:tcW w:type="dxa" w:w="5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Ratification</w:t>
            </w:r>
          </w:p>
        </w:tc>
        <w:tc>
          <w:tcPr>
            <w:tcW w:type="dxa" w:w="3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Per a-14's Trustee voting process</w:t>
            </w:r>
          </w:p>
        </w:tc>
      </w:tr>
      <w:tr>
        <w:tc>
          <w:tcPr>
            <w:tcW w:type="dxa" w:w="55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Handover complete, Founder Archive transferred</w:t>
            </w:r>
          </w:p>
        </w:tc>
        <w:tc>
          <w:tcPr>
            <w:tcW w:type="dxa" w:w="3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Within 90 days of ratification</w:t>
            </w:r>
          </w:p>
        </w:tc>
      </w:tr>
    </w:tbl>
    <w:p>
      <w:pPr>
        <w:pStyle w:val="Heading2"/>
      </w:pPr>
      <w:r>
        <w:t xml:space="preserve">Annex B — Founder Archive Index (Structure)</w:t>
      </w:r>
    </w:p>
    <w:p>
      <w:pPr>
        <w:pStyle w:val="ListParagraph"/>
        <w:numPr>
          <w:ilvl w:val="0"/>
          <w:numId w:val="2"/>
        </w:numPr>
        <w:spacing w:after="100" w:line="276"/>
      </w:pPr>
      <w:r>
        <w:t xml:space="preserve">Complete version history: Document 00 v1.0 / v2.0 / v3.0, and every document in this package</w:t>
      </w:r>
    </w:p>
    <w:p>
      <w:pPr>
        <w:pStyle w:val="ListParagraph"/>
        <w:numPr>
          <w:ilvl w:val="0"/>
          <w:numId w:val="2"/>
        </w:numPr>
        <w:spacing w:after="100" w:line="276"/>
      </w:pPr>
      <w:r>
        <w:t xml:space="preserve">The Founder's Doctrine and original 2016 conceptual material</w:t>
      </w:r>
    </w:p>
    <w:p>
      <w:pPr>
        <w:pStyle w:val="ListParagraph"/>
        <w:numPr>
          <w:ilvl w:val="0"/>
          <w:numId w:val="2"/>
        </w:numPr>
        <w:spacing w:after="100" w:line="276"/>
      </w:pPr>
      <w:r>
        <w:t xml:space="preserve">This package's own tracker (GBS_SETHS_11DOC_TRACKER.md-equivalent record) as evidence of working method, not just output</w:t>
      </w:r>
    </w:p>
    <w:p>
      <w:pPr>
        <w:pStyle w:val="Heading2"/>
      </w:pPr>
      <w:r>
        <w:t xml:space="preserve">Annex C — Trustee Charter for the IP Trust</w:t>
      </w:r>
    </w:p>
    <w:p>
      <w:pPr>
        <w:spacing w:after="160" w:line="276"/>
        <w:jc w:val="left"/>
      </w:pPr>
      <w:r>
        <w:t xml:space="preserve">As defined in a-14 and the Constitutional Governance Charter; not duplicated here to avoid two documents claiming to be the authoritative Trustee Charter.</w:t>
      </w:r>
    </w:p>
    <w:p>
      <w:pPr>
        <w:pStyle w:val="Heading1"/>
      </w:pPr>
      <w:r>
        <w:t xml:space="preserve">Implementation Checklist</w:t>
      </w:r>
    </w:p>
    <w:p>
      <w:pPr>
        <w:pStyle w:val="ListParagraph"/>
        <w:numPr>
          <w:ilvl w:val="0"/>
          <w:numId w:val="3"/>
        </w:numPr>
        <w:spacing w:after="100" w:line="276"/>
      </w:pPr>
      <w:r>
        <w:t xml:space="preserve">Reconcile this document's proposed additions (Sections 2, 3, 4) against a-14 with SJS directly, and either fold them into a-14 formally or confirm this remains a standalone GBS-SETHS companion.</w:t>
      </w:r>
    </w:p>
    <w:p>
      <w:pPr>
        <w:pStyle w:val="ListParagraph"/>
        <w:numPr>
          <w:ilvl w:val="0"/>
          <w:numId w:val="3"/>
        </w:numPr>
        <w:spacing w:after="100" w:line="276"/>
      </w:pPr>
      <w:r>
        <w:t xml:space="preserve">Begin the Founder Archive now, while the working method (this exact document-production process) is active and easy to capture — not retroactively.</w:t>
      </w:r>
    </w:p>
    <w:p>
      <w:pPr>
        <w:pStyle w:val="ListParagraph"/>
        <w:numPr>
          <w:ilvl w:val="0"/>
          <w:numId w:val="3"/>
        </w:numPr>
        <w:spacing w:after="100" w:line="276"/>
      </w:pPr>
      <w:r>
        <w:t xml:space="preserve">Run a tabletop succession exercise once the COB is constituted (Document 01, Part Five).</w:t>
      </w:r>
    </w:p>
    <w:p>
      <w:pPr>
        <w:pBdr>
          <w:bottom w:val="single" w:color="C9A84C" w:sz="6"/>
        </w:pBdr>
        <w:spacing w:after="120" w:before="120"/>
      </w:pPr>
    </w:p>
    <w:p>
      <w:pPr>
        <w:spacing w:after="40" w:before="200"/>
        <w:jc w:val="center"/>
      </w:pPr>
      <w:r>
        <w:rPr>
          <w:color w:val="5B6472"/>
          <w:sz w:val="18"/>
          <w:szCs w:val="18"/>
        </w:rPr>
        <w:t xml:space="preserve">GBS-SETHS Founder Succession &amp; Continuity Charter · G.O.D.S Holdings (Pty) Ltd · IP Trust Protected · July 2026</w:t>
      </w:r>
    </w:p>
    <w:p>
      <w:pPr>
        <w:spacing w:after="40"/>
        <w:jc w:val="center"/>
      </w:pPr>
      <w:r>
        <w:rPr>
          <w:color w:val="5B6472"/>
          <w:sz w:val="16"/>
          <w:szCs w:val="16"/>
        </w:rPr>
        <w:t xml:space="preserve">All intellectual property held in the G.O.D.S. IP Trust under the Trust Property Control Act 57 of 1988</w:t>
      </w:r>
    </w:p>
    <w:p>
      <w:pPr>
        <w:spacing w:after="0"/>
        <w:jc w:val="center"/>
      </w:pPr>
      <w:r>
        <w:rPr>
          <w:color w:val="5B6472"/>
          <w:sz w:val="16"/>
          <w:szCs w:val="16"/>
        </w:rPr>
        <w:t xml:space="preserve">Founder &amp; Architect: Sashin J. Singh  ·  sashin.singh@outlook.com  ·  capstoneprojectsjs.netlify.app</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4"/>
      </w:pBdr>
      <w:tabs>
        <w:tab w:val="right" w:pos="9026"/>
      </w:tabs>
    </w:pPr>
    <w:r>
      <w:rPr>
        <w:color w:val="5B6472"/>
        <w:sz w:val="15"/>
        <w:szCs w:val="15"/>
      </w:rPr>
      <w:t xml:space="preserve">RESTRICTED · G.O.D.S Holdings (Pty) Ltd · IP Trust Protected</w:t>
    </w:r>
    <w:r>
      <w:rPr>
        <w:color w:val="5B6472"/>
        <w:sz w:val="15"/>
        <w:szCs w:val="15"/>
      </w:rPr>
      <w:t xml:space="preserve">	Page </w:t>
    </w:r>
    <w:r>
      <w:rPr>
        <w:color w:val="5B6472"/>
        <w:sz w:val="15"/>
        <w:szCs w:val="15"/>
      </w:rPr>
      <w:fldChar w:fldCharType="begin"/>
      <w:instrText xml:space="preserve">PAGE</w:instrText>
      <w:fldChar w:fldCharType="separate"/>
      <w:fldChar w:fldCharType="end"/>
    </w:r>
    <w:r>
      <w:rPr>
        <w:color w:val="5B6472"/>
        <w:sz w:val="15"/>
        <w:szCs w:val="15"/>
      </w:rPr>
      <w:t xml:space="preserve"> of </w:t>
    </w:r>
    <w:r>
      <w:rPr>
        <w:color w:val="5B6472"/>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4"/>
      </w:pBdr>
      <w:tabs>
        <w:tab w:val="right" w:pos="9026"/>
      </w:tabs>
    </w:pPr>
    <w:r>
      <w:rPr>
        <w:color w:val="5B6472"/>
        <w:sz w:val="15"/>
        <w:szCs w:val="15"/>
      </w:rPr>
      <w:t xml:space="preserve">G.O.D.S HOLDINGS · GBS-SETHS</w:t>
    </w:r>
    <w:r>
      <w:rPr>
        <w:color w:val="5B6472"/>
        <w:sz w:val="15"/>
        <w:szCs w:val="15"/>
      </w:rPr>
      <w:t xml:space="preserve">	GBS-SETHS Founder Succession &amp; Continuity Charter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lvl w:ilvl="1" w15:tentative="1">
      <w:start w:val="1"/>
      <w:numFmt w:val="bullet"/>
      <w:lvlText w:val="◦"/>
      <w:lvlJc w:val="left"/>
      <w:pPr>
        <w:ind w:left="840" w:hanging="260"/>
      </w:pPr>
    </w:lvl>
  </w:abstractNum>
  <w:abstractNum w:abstractNumId="3" w15:restartNumberingAfterBreak="0">
    <w:multiLevelType w:val="hybridMultilevel"/>
    <w:lvl w:ilvl="0" w15:tentative="1">
      <w:start w:val="1"/>
      <w:numFmt w:val="decimal"/>
      <w:lvlText w:val="%1."/>
      <w:lvlJc w:val="left"/>
      <w:pPr>
        <w:ind w:left="420" w:hanging="2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6233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C9A84C" w:sz="8" w:space="4"/>
      </w:pBdr>
      <w:spacing w:after="200" w:before="360"/>
    </w:pPr>
    <w:rPr>
      <w:rFonts w:ascii="Arial" w:cs="Arial" w:eastAsia="Arial" w:hAnsi="Arial"/>
      <w:b/>
      <w:bCs/>
      <w:color w:val="16233A"/>
      <w:sz w:val="30"/>
      <w:szCs w:val="30"/>
    </w:rPr>
  </w:style>
  <w:style w:type="paragraph" w:styleId="Heading2">
    <w:name w:val="Heading 2"/>
    <w:basedOn w:val="Normal"/>
    <w:next w:val="Normal"/>
    <w:qFormat/>
    <w:pPr>
      <w:spacing w:after="140" w:before="280"/>
    </w:pPr>
    <w:rPr>
      <w:rFonts w:ascii="Arial" w:cs="Arial" w:eastAsia="Arial" w:hAnsi="Arial"/>
      <w:b/>
      <w:bCs/>
      <w:color w:val="8C7330"/>
      <w:sz w:val="25"/>
      <w:szCs w:val="25"/>
    </w:rPr>
  </w:style>
  <w:style w:type="paragraph" w:styleId="Heading3">
    <w:name w:val="Heading 3"/>
    <w:basedOn w:val="Normal"/>
    <w:next w:val="Normal"/>
    <w:qFormat/>
    <w:pPr>
      <w:spacing w:after="100" w:before="200"/>
    </w:pPr>
    <w:rPr>
      <w:rFonts w:ascii="Arial" w:cs="Arial" w:eastAsia="Arial" w:hAnsi="Arial"/>
      <w:b/>
      <w:bCs/>
      <w:i/>
      <w:iCs/>
      <w:color w:val="16233A"/>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2026-07-10T08:44:36.089Z</dcterms:created>
  <dcterms:modified xsi:type="dcterms:W3CDTF">2026-07-10T08:44:36.089Z</dcterms:modified>
</cp:coreProperties>
</file>

<file path=docProps/custom.xml><?xml version="1.0" encoding="utf-8"?>
<Properties xmlns="http://schemas.openxmlformats.org/officeDocument/2006/custom-properties" xmlns:vt="http://schemas.openxmlformats.org/officeDocument/2006/docPropsVTypes"/>
</file>