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MASTER REFERENCE OF 11</w:t>
      </w:r>
    </w:p>
    <w:p>
      <w:pPr>
        <w:spacing w:after="160"/>
        <w:jc w:val="center"/>
      </w:pPr>
      <w:r>
        <w:rPr>
          <w:b/>
          <w:bCs/>
          <w:color w:val="16233A"/>
          <w:sz w:val="40"/>
          <w:szCs w:val="40"/>
        </w:rPr>
        <w:t xml:space="preserve">The G.O.D.S. Canon</w:t>
      </w:r>
    </w:p>
    <w:p>
      <w:pPr>
        <w:spacing w:after="400"/>
        <w:jc w:val="center"/>
      </w:pPr>
      <w:r>
        <w:rPr>
          <w:i/>
          <w:iCs/>
          <w:color w:val="5B6472"/>
          <w:sz w:val="24"/>
          <w:szCs w:val="24"/>
        </w:rPr>
        <w:t xml:space="preserve">The Authoritative Naming, Definition, and Architecture Reference for the Entire G.O.D.S. Holdings Platform</w:t>
      </w:r>
    </w:p>
    <w:p>
      <w:pPr>
        <w:spacing w:after="100"/>
        <w:jc w:val="center"/>
      </w:pPr>
      <w:r>
        <w:rPr>
          <w:color w:val="16233A"/>
          <w:sz w:val="20"/>
          <w:szCs w:val="20"/>
        </w:rPr>
        <w:t xml:space="preserve">INSTITUTIONAL CANON · ONE DEFINITION PER TERM · RESOLVES CROSS-DOCUMENT NAMING CONFLICTS</w:t>
      </w:r>
    </w:p>
    <w:p>
      <w:pPr>
        <w:spacing w:after="400"/>
        <w:jc w:val="center"/>
      </w:pPr>
      <w:r>
        <w:rPr>
          <w:color w:val="5B6472"/>
          <w:sz w:val="18"/>
          <w:szCs w:val="18"/>
        </w:rPr>
        <w:t xml:space="preserve">Version 2.0 · July 2026 · Also referenced as the GBS Institutional Reference Standard (GIRS) — see Preface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INSTITUTIONAL — Master Reference; Supersedes Informal Usage Across the Document Set</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p>
      <w:pPr>
        <w:pStyle w:val="Heading1"/>
      </w:pPr>
      <w:r>
        <w:t xml:space="preserve">Preface — What This Canon Is</w:t>
      </w:r>
    </w:p>
    <w:p>
      <w:pPr>
        <w:spacing w:after="160" w:line="276"/>
        <w:jc w:val="left"/>
      </w:pPr>
      <w:r>
        <w:t xml:space="preserve">A canon, in the sense this document uses the word, is a body of terms, definitions, and relationships accepted as authoritative within an institution — the reference every other document defers to when a name, an acronym, or a concept needs a single, settled meaning. This is that document for G.O.D.S. Holdings. It does not introduce new architecture. It names and defines what already exists across the GBS-SETHS Framework, the eleven-document Institutional Readiness Package, the constitutional and technical whitepapers, the live platform codebase, and a decade of the founder's own development — and, where those sources have drifted into more than one answer for the same term, it resolves the drift openly, on the record, rather than picking a winner silently.</w:t>
      </w:r>
    </w:p>
    <w:p>
      <w:pPr>
        <w:spacing w:after="160" w:line="276"/>
        <w:jc w:val="left"/>
      </w:pPr>
      <w:r>
        <w:t xml:space="preserve">This canon was requested directly, following a separate conversation (preserved as My_GBS_canon.docx) in which the idea of a 40–60 page institutional dictionary was first proposed — one definition per term, covering everything from G.O.D.S. and GBS down to individual technical components, so that anyone encountering the ecosystem for the first time, or anyone who has been inside it for years, is working from the same vocabulary. That earlier conversation also suggested an alternative, more standards-body name for this document: the GBS Institutional Reference Standard, or GIRS.</w:t>
      </w:r>
    </w:p>
    <w:p>
      <w:pPr>
        <w:spacing w:after="160" w:line="276"/>
        <w:jc w:val="left"/>
      </w:pPr>
      <w:r>
        <w:t xml:space="preserve">A second, independent review of this document's first version raised the same point more pointedly: by the time this canon covers philosophy, governance, methodology, franchise architecture, certification, a document map, and an acronym index, it has outgrown what most organisations mean by "canon" and reads more like an institutional standard. That's a fair description of the content. It is kept titled Canon in this version anyway, for a specific reason rather than by default: "canon" signals a body of accepted, referenced authority — the word an institution uses for the text everything else defers to — which is exactly the function this document performs, regardless of how broad its table of contents has grown. GIRS remains the accurate alternative for contexts (ISO-style documentation, formal standards submissions) where that framing serves better, and nothing about keeping "Canon" as the primary title prevents using GIRS in those contexts.</w:t>
      </w:r>
    </w:p>
    <w:p>
      <w:pPr>
        <w:pStyle w:val="Heading2"/>
      </w:pPr>
      <w:r>
        <w:t xml:space="preserve">How Entries Are Structured</w:t>
      </w:r>
    </w:p>
    <w:p>
      <w:pPr>
        <w:spacing w:after="160" w:line="276"/>
        <w:jc w:val="left"/>
      </w:pPr>
      <w:r>
        <w:t xml:space="preserve">Every major entry in this canon follows the same shape, so the document can be scanned as a reference rather than read start to end: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Field</w:t>
            </w:r>
          </w:p>
        </w:tc>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It Captures</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Definition</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single, canonical sentence — what you would say if someone asked you to explain the term in one breath</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Full Name / Expansion</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complete, unabbreviated form, where the term is an acronym</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Position in the Architecture</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Where the term sits relative to everything else — what it depends on, what depends on it</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Purpose</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Why it exists — the problem it is the answer to</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What It Is Not</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specific misreadings this canon exists to prevent</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Key Components</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sub-parts a reader needs to recognise the term when they meet it elsewhere</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Governance</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How the term is constitutionally bound, where relevant</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Status</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Proven/live, designed, or aspirational — the same honesty-tier discipline used throughout the wider document set</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Canonical Source</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document(s) this entry was drawn from, for traceability</w:t>
            </w:r>
          </w:p>
        </w:tc>
      </w:tr>
    </w:tbl>
    <w:p>
      <w:pPr>
        <w:pStyle w:val="Heading2"/>
      </w:pPr>
      <w:r>
        <w:t xml:space="preserve">Canonicalization Method — How Conflicts Were Resolved</w:t>
      </w:r>
    </w:p>
    <w:p>
      <w:pPr>
        <w:spacing w:after="160" w:line="276"/>
        <w:jc w:val="left"/>
      </w:pPr>
      <w:r>
        <w:t xml:space="preserve">Across a document set this large, produced over a decade and multiple recent drafting sessions, some terms accumulated more than one answer. A canon's job is to pick one — but picking silently would repeat the exact problem this document exists to fix. So every resolution in this canon follows the same method, applied consistently:</w:t>
      </w:r>
    </w:p>
    <w:p>
      <w:pPr>
        <w:pStyle w:val="ListParagraph"/>
        <w:numPr>
          <w:ilvl w:val="0"/>
          <w:numId w:val="2"/>
        </w:numPr>
        <w:spacing w:after="100" w:line="276"/>
      </w:pPr>
      <w:r>
        <w:t xml:space="preserve">State every variant found, with its source.</w:t>
      </w:r>
    </w:p>
    <w:p>
      <w:pPr>
        <w:pStyle w:val="ListParagraph"/>
        <w:numPr>
          <w:ilvl w:val="0"/>
          <w:numId w:val="2"/>
        </w:numPr>
        <w:spacing w:after="100" w:line="276"/>
      </w:pPr>
      <w:r>
        <w:t xml:space="preserve">Prefer the most recent, most internally-consistent, and most technically verifiable source — in that order.</w:t>
      </w:r>
    </w:p>
    <w:p>
      <w:pPr>
        <w:pStyle w:val="ListParagraph"/>
        <w:numPr>
          <w:ilvl w:val="0"/>
          <w:numId w:val="2"/>
        </w:numPr>
        <w:spacing w:after="100" w:line="276"/>
      </w:pPr>
      <w:r>
        <w:t xml:space="preserve">Where no variant clearly wins on those grounds, say so explicitly and mark the entry as pending the founder's direct confirmation, rather than guessing.</w:t>
      </w:r>
    </w:p>
    <w:p>
      <w:pPr>
        <w:pStyle w:val="ListParagraph"/>
        <w:numPr>
          <w:ilvl w:val="0"/>
          <w:numId w:val="2"/>
        </w:numPr>
        <w:spacing w:after="100" w:line="276"/>
      </w:pPr>
      <w:r>
        <w:t xml:space="preserve">Record every resolution in Part VII, Canonicalization Notes, so the reasoning is auditable and reversible.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This canon does not delete the historical record — it settles the present one.</w:t>
            </w:r>
          </w:p>
          <w:p>
            <w:pPr>
              <w:spacing w:after="160" w:line="276"/>
              <w:jc w:val="left"/>
            </w:pPr>
            <w:r>
              <w:t xml:space="preserve">Older documents that use a superseded term are not wrong for their moment; they are superseded. Nothing in this canon should be read as erasing the founder's earlier drafting decisions, only as stating which one now governs.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 synthesised from the GBS-SETHS Framework (v1.0/v2.0), the eleven-document Institutional Readiness Package, the constitutional and technical whitepaper corpus, and the live platform codebase</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2.0</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SJS + AI documentation assistance, incorporating external review</w:t>
            </w:r>
          </w:p>
        </w:tc>
        <w:tc>
          <w:tcPr>
            <w:tcW w:type="dxa" w:w="4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Added: a "Why GBS Exists" statement (Entry 2), a Founder entry and the Four-Phase Execution Sequence (Entries 4-5), the Required Governance Architecture checklist (Entry 8), Continental Deployment/250-Year Roadmap/Document Classification/Government relations/the Document Map (Entries 26-30), the UDOC API interface and EVA's regulatory-alignment table (Entry 33-34), a Table of Contents and Quick Reference acronym card, a rendered Relationship Diagram and a new-synthesis Lifecycle Diagram. Corrected: 14 stale internal cross-references left over from three earlier renumbering passes, and the Twelve Pillars entry to record the Pillar VII/IX discrepancy against the Unified Constitutional Doctrine (Entry 9).</w:t>
            </w:r>
          </w:p>
        </w:tc>
      </w:tr>
    </w:tbl>
    <w:p>
      <w:r>
        <w:br w:type="page"/>
      </w:r>
    </w:p>
    <w:p>
      <w:pPr>
        <w:pStyle w:val="Heading1"/>
      </w:pPr>
      <w:r>
        <w:t xml:space="preserve">Table of Contents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Part</w:t>
            </w:r>
          </w:p>
        </w:tc>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Entries</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 — Root Architecture</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 G.O.D.S. · 2. GBS · 3. The G.O.D.S./GBS Relationship · 4. The Founder · 5. The Four-Phase Execution Sequence</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 — The Constitutional Layer</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6. Human Primacy · 7. AI, AGI, and Singularity · 8. Required Governance Architecture · 9. The Twelve Pillars · 10. The COB · 11. The IP Trust</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 — The Four Divisions</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12. S.E.T.H.S. · 13. T.S. Industries · 14. UDOC · 15. M.A.D.I.B.A.</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 — The GBS Methodology Layer</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16. The Seven Universal Pillars · 17. The Five Foundational Pillars · 18. The Five Methodology Pillars · 19. CET/CTE · 20. The Skills Passport · 21. Certification Tiers · 22. The Four Cohorts · 23. The Self-Affirmation Contract</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 — The Governance &amp; Franchise Layer</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24. The Five-Layer Franchise Architecture · 25. The Absorption Commitment Clause · 26. Continental Deployment · 27. The 250-Year Roadmap · 28. Document Classification &amp; Brand · 29. Government &amp; DFI Relations · 30. The Document Map · 31. The GBS Lifecycle · 32. Fail-Closed Governance</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 — The Technology &amp; Governance-Engine Layer</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33. The UDOC/EVA API · 34. EVA · 35. GIS · 36. The 14-Stage FSM · 37. StayChain™ · 38. The FPGA Layer · 39. MFCM/AEEF/IGA · 40. HQ-OS</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VII — Canonicalization Notes</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naming and definitional conflict this canon resolved, with reasoning, in one table</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VIII — Master Alphabetical Glossary</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supporting term not given a full entry, A–Z</w:t>
            </w:r>
          </w:p>
        </w:tc>
      </w:tr>
    </w:tbl>
    <w:p>
      <w:r>
        <w:br w:type="page"/>
      </w:r>
    </w:p>
    <w:p>
      <w:pPr>
        <w:spacing w:after="60" w:before="200"/>
      </w:pPr>
      <w:r>
        <w:rPr>
          <w:b/>
          <w:bCs/>
          <w:color w:val="8C7330"/>
          <w:sz w:val="22"/>
          <w:szCs w:val="22"/>
        </w:rPr>
        <w:t xml:space="preserve">PART I</w:t>
      </w:r>
    </w:p>
    <w:p>
      <w:pPr>
        <w:spacing w:after="300"/>
      </w:pPr>
      <w:r>
        <w:rPr>
          <w:b/>
          <w:bCs/>
          <w:color w:val="16233A"/>
          <w:sz w:val="26"/>
          <w:szCs w:val="26"/>
        </w:rPr>
        <w:t xml:space="preserve">ROOT ARCHITECTURE — G.O.D.S. AND GBS</w:t>
      </w:r>
    </w:p>
    <w:p>
      <w:pPr>
        <w:pStyle w:val="Heading1"/>
      </w:pPr>
      <w:r>
        <w:t xml:space="preserve">1. G.O.D.S.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G.O.D.S. is the parent institution — a 250-year civilisational infrastructure project comprising four interdependent divisions (S.E.T.H.S., T.S. Industries, UDOC, M.A.D.I.B.A.) that together form a closed, compounding loop: trained human capital produces infrastructure, infrastructure produces governance-auditable outcomes, outcomes attract capital, and capital funds the next cycle of human capital development.</w:t>
            </w:r>
          </w:p>
          <w:p>
            <w:pPr>
              <w:spacing w:after="160" w:line="276"/>
              <w:jc w:val="left"/>
            </w:pPr>
            <w:r>
              <w:rPr>
                <w:b/>
                <w:bCs/>
              </w:rPr>
              <w:t xml:space="preserve">Full Name. </w:t>
            </w:r>
            <w:r>
              <w:t xml:space="preserve">Good Orderly Directional Systems.</w:t>
            </w:r>
          </w:p>
          <w:p>
            <w:pPr>
              <w:spacing w:after="160" w:line="276"/>
              <w:jc w:val="left"/>
            </w:pPr>
            <w:r>
              <w:rPr>
                <w:b/>
                <w:bCs/>
              </w:rPr>
              <w:t xml:space="preserve">Position in the Architecture. </w:t>
            </w:r>
            <w:r>
              <w:t xml:space="preserve">The root. Every division, every technology layer, and — as of July 2026 — the GBS constitutional layer, sits inside G.O.D.S. It is held by G.O.D.S Holdings (Pty) Ltd, which in turn holds a perpetual exclusive licence to the underlying IP from the G.O.D.S IP Trust.</w:t>
            </w:r>
          </w:p>
        </w:tc>
      </w:tr>
    </w:tbl>
    <w:p>
      <w:pPr>
        <w:spacing w:after="160" w:line="276"/>
        <w:jc w:val="left"/>
      </w:pPr>
      <w:r>
        <w:rPr>
          <w:b/>
          <w:bCs/>
        </w:rPr>
        <w:t xml:space="preserve">Purpose. </w:t>
      </w:r>
      <w:r>
        <w:t xml:space="preserve">G.O.D.S. exists because, in the founder's own framing, the failure it responds to is structural: the world's most powerful tools — capital, technology, infrastructure capacity — are being deployed without the governance systems required to control them, the human capital systems required to benefit from them, or the sovereign infrastructure required to keep their benefits inside the jurisdictions that need them. G.O.D.S. is a single, sequenced answer to all three simultaneously, not a portfolio of unrelated ventures.</w:t>
      </w:r>
    </w:p>
    <w:p>
      <w:pPr>
        <w:spacing w:after="160" w:line="276"/>
        <w:jc w:val="left"/>
      </w:pPr>
      <w:r>
        <w:rPr>
          <w:b/>
          <w:bCs/>
        </w:rPr>
        <w:t xml:space="preserve">What It Is Not. </w:t>
      </w:r>
      <w:r>
        <w:t xml:space="preserve">Not a technology company. Not a single product. Not a holding company in the passive-investment sense — G.O.D.S Holdings is a constitutionally governed operating parent with binding pillar obligations, not a shell.</w:t>
      </w:r>
    </w:p>
    <w:p>
      <w:pPr>
        <w:pStyle w:val="Heading3"/>
      </w:pPr>
      <w:r>
        <w:t xml:space="preserve">Key Components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Entity</w:t>
            </w:r>
          </w:p>
        </w:tc>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Role</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IP Trust</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Perpetual owner of all IP and Class A governance shares. Cannot be wound up while any G.O.D.S. entity is operational.</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G.O.D.S Holdings (Pty) Ltd</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 parent. Holds a perpetual exclusive licence from the Trust. Governs all divisions.</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TS Holdings (Pty) Ltd</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Commercial engine layer, per the architectural blueprint pending final legal drafting — parent of the four division entities.</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Four Divisions</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S.E.T.H.S. (Pty) Ltd, T.S. Industries (Pty) Ltd, UDOC Technologies (Pty) Ltd, M.A.D.I.B.A Capital (Pty) Ltd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constitutional architecture (Trust/Holdings separation, Class A/B/C/D share structure, Twelve Pillars) is fully specified and internally consistent across the Constitutional Governance Charter, the Oversight Board Charter, and this canon.</w:t>
            </w:r>
          </w:p>
          <w:p>
            <w:pPr>
              <w:spacing w:after="60"/>
            </w:pPr>
            <w:r>
              <w:rPr>
                <w:b/>
                <w:bCs/>
              </w:rPr>
              <w:t xml:space="preserve">Designed / production-specified, not yet built:  </w:t>
            </w:r>
            <w:r>
              <w:t xml:space="preserve">The Memorandum of Incorporation, the Trust deed, and the specific G.O.D.S TS Holdings entity name are architecturally specified but not yet professionally drafted, executed, or filed with CIPC.</w:t>
            </w:r>
          </w:p>
          <w:p>
            <w:pPr>
              <w:spacing w:after="0"/>
            </w:pPr>
            <w:r>
              <w:rPr>
                <w:b/>
                <w:bCs/>
              </w:rPr>
              <w:t xml:space="preserve">Aspirational / long-horizon:  </w:t>
            </w:r>
            <w:r>
              <w:t xml:space="preserve">The full ten-level system operating at global, multi-national scale (Document 00, Part I §1.2) is the 250-year horizon this canon's other entries describe piece by piece.</w:t>
            </w:r>
          </w:p>
        </w:tc>
      </w:tr>
    </w:tbl>
    <w:p>
      <w:pPr>
        <w:spacing w:after="160" w:line="276"/>
        <w:jc w:val="left"/>
      </w:pPr>
      <w:r>
        <w:rPr>
          <w:i/>
          <w:iCs/>
        </w:rPr>
        <w:t xml:space="preserve">Canonical source: </w:t>
      </w:r>
      <w:r>
        <w:t xml:space="preserve">a-02 Constitutional Governance Charter; GBS-SETHS Consolidated Super Framework, Document 00, Part I.</w:t>
      </w:r>
    </w:p>
    <w:p>
      <w:pPr>
        <w:pStyle w:val="Heading1"/>
      </w:pPr>
      <w:r>
        <w:t xml:space="preserve">2. GBS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GBS is the constitutional doctrine and franchise-governance layer that sits above G.O.D.S.'s four divisions — the globally deployable standard that lets the same human-development methodology be licensed, replicated, and constitutionally enforced across any country, culture, or regulatory environment without diluting its non-negotiable core.</w:t>
            </w:r>
          </w:p>
          <w:p>
            <w:pPr>
              <w:spacing w:after="160" w:line="276"/>
              <w:jc w:val="left"/>
            </w:pPr>
            <w:r>
              <w:rPr>
                <w:b/>
                <w:bCs/>
              </w:rPr>
              <w:t xml:space="preserve">Full Name. </w:t>
            </w:r>
            <w:r>
              <w:t xml:space="preserve">Global Belief System.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A history note, stated plainly rather than assumed.</w:t>
            </w:r>
          </w:p>
          <w:p>
            <w:pPr>
              <w:spacing w:after="160" w:line="276"/>
              <w:jc w:val="left"/>
            </w:pPr>
            <w:r>
              <w:t xml:space="preserve">GBS does not appear anywhere in the broader G.O.D.S. constitutional and technical corpus produced through March 2026 — not in the Unified Constitutional Doctrine, not in the manifesto, not in the Systems Architecture Whitepaper. It appears for the first time in the GBS-SETHS Framework (v1.0/v2.0, July 2026). This is not a gap or an inconsistency to paper over: GBS is the newer, unifying philosophical and franchise layer the founder introduced specifically to let the existing four-division architecture scale as a licensable standard, and to give every domain (education, communication, transportation, human capital, sustainability) a shared vocabulary. Older documents that describe these domains separately are not wrong — they predate the unifying frame. This canon is itself part of that unification.</w:t>
            </w:r>
          </w:p>
        </w:tc>
      </w:tr>
    </w:tbl>
    <w:p>
      <w:pPr>
        <w:spacing w:after="160" w:line="276"/>
        <w:jc w:val="left"/>
      </w:pPr>
      <w:r>
        <w:rPr>
          <w:b/>
          <w:bCs/>
        </w:rPr>
        <w:t xml:space="preserve">Position in the Architecture. </w:t>
      </w:r>
      <w:r>
        <w:t xml:space="preserve">Above the four divisions, below the G.O.D.S constitutional root. GBS is what makes G.O.D.S. franchisable: it is the 80% constitutional core that never moves, paired with the 20% localisation allowance that lets a licensed node adapt language, curriculum emphasis, and regulatory wrapper to its own jurisdiction.</w:t>
      </w:r>
    </w:p>
    <w:p>
      <w:pPr>
        <w:spacing w:after="160" w:line="276"/>
        <w:jc w:val="left"/>
      </w:pPr>
      <w:r>
        <w:rPr>
          <w:b/>
          <w:bCs/>
        </w:rPr>
        <w:t xml:space="preserve">Purpose. </w:t>
      </w:r>
      <w:r>
        <w:t xml:space="preserve">To let one proven methodology — built and proven first in South Africa — become a global standard without becoming a diluted one. GBS is the mechanism by which a Johannesburg pilot can, in principle, become a twenty-node international network operating under one constitutional standard.</w:t>
      </w:r>
    </w:p>
    <w:p>
      <w:pPr>
        <w:spacing w:after="160" w:line="276"/>
        <w:jc w:val="left"/>
      </w:pPr>
      <w:r>
        <w:rPr>
          <w:b/>
          <w:bCs/>
        </w:rPr>
        <w:t xml:space="preserve">What It Is Not. </w:t>
      </w:r>
      <w:r>
        <w:t xml:space="preserve">Not a religion, ideology, or political movement, despite the word "Belief" in its name. Not a rebrand of G.O.D.S. — G.O.D.S. is the institution; GBS is the doctrine and franchise-governance layer that institution operates under.</w:t>
      </w:r>
    </w:p>
    <w:p>
      <w:pPr>
        <w:pStyle w:val="Heading3"/>
      </w:pPr>
      <w:r>
        <w:t xml:space="preserve">Why GBS Exists — In Terms of the World, Not the Company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Most institutions that work on human development specialise: an education programme improves schools, a workforce agency improves placement rates, a rehabilitation service improves reintegration outcomes, a digital-transformation consultancy improves government IT. Each does its own job well and stops at its own boundary. What none of them do on their own is coordinate — make sure the person leaving the rehabilitation programme is the same person the workforce agency is prepared for, who the education system already equipped, whose outcome data a government or investor can actually verify.</w:t>
            </w:r>
          </w:p>
          <w:p>
            <w:pPr>
              <w:spacing w:after="160" w:line="276"/>
              <w:jc w:val="left"/>
            </w:pPr>
            <w:r>
              <w:t xml:space="preserve">GBS exists to be that coordinating layer — a constitutional standard that lets separately-specialised systems (education, employment, rehabilitation, digital governance, capital deployment) operate as one accountable pipeline for a single person's life, without requiring any one country, government, or culture to give up control of how it delivers each piece locally. That is what the 80/20 rule (Entry 24) is actually for: the 20% lets every jurisdiction keep its own way of doing things; the 80% guarantees the pieces still fit together when they hand a person from one system to the next.</w:t>
            </w:r>
          </w:p>
        </w:tc>
      </w:tr>
    </w:tbl>
    <w:p>
      <w:pPr>
        <w:pStyle w:val="Heading3"/>
      </w:pPr>
      <w:r>
        <w:t xml:space="preserve">Key Components</w:t>
      </w:r>
    </w:p>
    <w:p>
      <w:pPr>
        <w:pStyle w:val="ListParagraph"/>
        <w:numPr>
          <w:ilvl w:val="0"/>
          <w:numId w:val="3"/>
        </w:numPr>
        <w:spacing w:after="100" w:line="276"/>
      </w:pPr>
      <w:r>
        <w:t xml:space="preserve">The Seven GBS Universal Pillars (Part IV, Entry 16)</w:t>
      </w:r>
    </w:p>
    <w:p>
      <w:pPr>
        <w:pStyle w:val="ListParagraph"/>
        <w:numPr>
          <w:ilvl w:val="0"/>
          <w:numId w:val="3"/>
        </w:numPr>
        <w:spacing w:after="100" w:line="276"/>
      </w:pPr>
      <w:r>
        <w:t xml:space="preserve">The Five-Layer Franchise Architecture (Part V, Entry 24)</w:t>
      </w:r>
    </w:p>
    <w:p>
      <w:pPr>
        <w:pStyle w:val="ListParagraph"/>
        <w:numPr>
          <w:ilvl w:val="0"/>
          <w:numId w:val="3"/>
        </w:numPr>
        <w:spacing w:after="100" w:line="276"/>
      </w:pPr>
      <w:r>
        <w:t xml:space="preserve">The GBS Global Council (the international standards body Layer 1 constitutes into, once a second National GBS licence exists)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Seven Universal Pillars, the franchise layer definitions, and the 20%/80% localisation rule are fully specified and consistent across the GBS-SETHS Framework and the eleven-document package.</w:t>
            </w:r>
          </w:p>
          <w:p>
            <w:pPr>
              <w:spacing w:after="60"/>
            </w:pPr>
            <w:r>
              <w:rPr>
                <w:b/>
                <w:bCs/>
              </w:rPr>
              <w:t xml:space="preserve">Designed / production-specified, not yet built:  </w:t>
            </w:r>
            <w:r>
              <w:t xml:space="preserve">The GBS Global Council has no independent existence yet — its functions are exercised directly by G.O.D.S Holdings and the COB until a second National GBS licence is issued.</w:t>
            </w:r>
          </w:p>
          <w:p>
            <w:pPr>
              <w:spacing w:after="0"/>
            </w:pPr>
            <w:r>
              <w:rPr>
                <w:b/>
                <w:bCs/>
              </w:rPr>
              <w:t xml:space="preserve">Aspirational / long-horizon:  </w:t>
            </w:r>
            <w:r>
              <w:t xml:space="preserve">A mature, multi-region GBS franchise network is the Document 00 Part VI/VII horizon — years, not months, away from the single South Africa pilot.</w:t>
            </w:r>
          </w:p>
        </w:tc>
      </w:tr>
    </w:tbl>
    <w:p>
      <w:pPr>
        <w:spacing w:after="160" w:line="276"/>
        <w:jc w:val="left"/>
      </w:pPr>
      <w:r>
        <w:rPr>
          <w:i/>
          <w:iCs/>
        </w:rPr>
        <w:t xml:space="preserve">Canonical source: </w:t>
      </w:r>
      <w:r>
        <w:t xml:space="preserve">GBS-SETHS Consolidated Super Framework, Document 00, Parts I–II; My_GBS_canon.docx (the conversation that proposed this document).</w:t>
      </w:r>
    </w:p>
    <w:p>
      <w:r>
        <w:br w:type="page"/>
      </w:r>
    </w:p>
    <w:p>
      <w:pPr>
        <w:pStyle w:val="Heading1"/>
      </w:pPr>
      <w:r>
        <w:t xml:space="preserve">3. The Relationship Between G.O.D.S. and GBS — Stated Plainly</w:t>
      </w:r>
    </w:p>
    <w:p>
      <w:pPr>
        <w:spacing w:after="160" w:line="276"/>
        <w:jc w:val="left"/>
      </w:pPr>
      <w:r>
        <w:t xml:space="preserve">Because these two names are easy to conflate, and because this canon exists partly to stop that conflation, the relationship is stated here in the simplest terms this document uses anywhere: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i/>
                <w:iCs/>
              </w:rPr>
              <w:t xml:space="preserve">G.O.D.S. is the institution. GBS is the doctrine the institution's franchise operates under. You join G.O.D.S. by being one of its four divisions. You license GBS by becoming a franchise node. A S.E.T.H.S. employee works for G.O.D.S. A newly certified delivery operator in a second country operates under a GBS licence, not a G.O.D.S. employment relationship.</w:t>
            </w:r>
          </w:p>
        </w:tc>
      </w:tr>
    </w:tbl>
    <w:p>
      <w:pPr>
        <w:spacing w:after="60" w:before="160"/>
        <w:jc w:val="center"/>
      </w:pPr>
      <w:r>
        <w:drawing>
          <wp:inline distT="0" distB="0" distL="0" distR="0">
            <wp:extent cx="4572000" cy="17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1714500"/>
                    </a:xfrm>
                    <a:prstGeom prst="rect">
                      <a:avLst/>
                    </a:prstGeom>
                  </pic:spPr>
                </pic:pic>
              </a:graphicData>
            </a:graphic>
          </wp:inline>
        </w:drawing>
      </w:r>
    </w:p>
    <w:p>
      <w:pPr>
        <w:spacing w:after="200"/>
        <w:jc w:val="center"/>
      </w:pPr>
      <w:r>
        <w:rPr>
          <w:i/>
          <w:iCs/>
          <w:color w:val="5B6472"/>
          <w:sz w:val="16"/>
          <w:szCs w:val="16"/>
        </w:rPr>
        <w:t xml:space="preserve">Solid arrows: ownership and doctrine flow down from G.O.D.S. Holdings through GBS to the five operating layers. Dashed arrows: internal sub-components. Dotted arrow: GIS draws on EVA's scoring, it does not replace it.</w:t>
      </w:r>
    </w:p>
    <w:p>
      <w:pPr>
        <w:pStyle w:val="Heading1"/>
      </w:pPr>
      <w:r>
        <w:t xml:space="preserve">4. The Founder — Sashin J. Singh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Sashin J. Singh is the founder and Chief Systems Architect of G.O.D.S Holdings — the originator of the four-division architecture, the GBS doctrine, and every constitutional and technical instrument this canon references, developed over a decade and continuously refined since.</w:t>
            </w:r>
          </w:p>
        </w:tc>
      </w:tr>
    </w:tbl>
    <w:p>
      <w:pPr>
        <w:spacing w:after="160" w:line="276"/>
        <w:jc w:val="left"/>
      </w:pPr>
      <w:r>
        <w:rPr>
          <w:b/>
          <w:bCs/>
        </w:rPr>
        <w:t xml:space="preserve">Position in the Architecture. </w:t>
      </w:r>
      <w:r>
        <w:t xml:space="preserve">Executive Chairman of G.O.D.S Holdings, holding Class A governance shares through the G.O.D.S IP Trust — subject to, not above, the Founder Constraint pillar (Entry 9) and the Constitutional Oversight Board's authority.</w:t>
      </w:r>
    </w:p>
    <w:p>
      <w:pPr>
        <w:pStyle w:val="Heading3"/>
      </w:pPr>
      <w:r>
        <w:t xml:space="preserve">Origin</w:t>
      </w:r>
    </w:p>
    <w:p>
      <w:pPr>
        <w:spacing w:after="160" w:line="276"/>
        <w:jc w:val="left"/>
      </w:pPr>
      <w:r>
        <w:t xml:space="preserve">The institution's origin runs through three phases documented consistently across the founder's own materials: a 2016 self-help work written as personal recovery documentation; Seth's Empire (2017–2022) — named for the founder's son, Seth — a recruiting-and-surety arrangement placing recovering addicts and parolees with client companies; and the 2022–2026 period in which the founder's own analysis — that workforce-reintegration failure is a symptom of four systems failing simultaneously (welfare that doesn't invest, justice that doesn't prepare, education that has written people off, labour markets without a pathway) — produced the four-division closed loop this canon describes throughout.</w:t>
      </w:r>
    </w:p>
    <w:p>
      <w:pPr>
        <w:spacing w:after="160" w:line="276"/>
        <w:jc w:val="left"/>
      </w:pPr>
      <w:r>
        <w:rPr>
          <w:b/>
          <w:bCs/>
        </w:rPr>
        <w:t xml:space="preserve">Authorship. </w:t>
      </w:r>
      <w:r>
        <w:t xml:space="preserve">Every institutional document in the G.O.D.S. corpus, including this canon, carries the same authorship position: the architecture, the pillars, the methodology, the terminology, and the decade of lived commitment belong to the founder. AI production tools have assisted with drafting, structuring, cross-referencing, and formatting from the founder's own material and direct specification — they have not originated the institutional design.</w:t>
      </w:r>
    </w:p>
    <w:p>
      <w:pPr>
        <w:spacing w:after="160" w:line="276"/>
        <w:jc w:val="left"/>
      </w:pPr>
      <w:r>
        <w:rPr>
          <w:i/>
          <w:iCs/>
        </w:rPr>
        <w:t xml:space="preserve">Canonical source: </w:t>
      </w:r>
      <w:r>
        <w:t xml:space="preserve">a-15, Founder's Invocation; the authorship declaration repeated across the eleven-document Institutional Readiness Package.</w:t>
      </w:r>
    </w:p>
    <w:p>
      <w:pPr>
        <w:pStyle w:val="Heading1"/>
      </w:pPr>
      <w:r>
        <w:t xml:space="preserve">5. The Four-Phase Execution Sequence</w:t>
      </w:r>
    </w:p>
    <w:p>
      <w:pPr>
        <w:spacing w:after="160" w:line="276"/>
        <w:jc w:val="left"/>
      </w:pPr>
      <w:r>
        <w:t xml:space="preserve">The structural expression of Pillar V (Governance First / Governance Before Scale): each division activates only once the one before it has produced evidence, not on a fixed calendar independent of proof.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2000"/>
        <w:gridCol w:w="6160"/>
      </w:tblGrid>
      <w:tr>
        <w:trPr>
          <w:tblHeader/>
        </w:trPr>
        <w:tc>
          <w:tcPr>
            <w:tcW w:type="dxa" w:w="1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Phase</w:t>
            </w:r>
          </w:p>
        </w:tc>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Timeline</w:t>
            </w:r>
          </w:p>
        </w:tc>
        <w:tc>
          <w:tcPr>
            <w:tcW w:type="dxa" w:w="6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Activation</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Months 1–18</w:t>
            </w:r>
          </w:p>
        </w:tc>
        <w:tc>
          <w:tcPr>
            <w:tcW w:type="dxa" w:w="6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S.E.T.H.S. Pilot — Gauteng, South Africa</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Months 18–36</w:t>
            </w:r>
          </w:p>
        </w:tc>
        <w:tc>
          <w:tcPr>
            <w:tcW w:type="dxa" w:w="6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Industries Infrastructure Activation</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Months 36–60</w:t>
            </w:r>
          </w:p>
        </w:tc>
        <w:tc>
          <w:tcPr>
            <w:tcW w:type="dxa" w:w="6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 Government Deployment</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Months 60+</w:t>
            </w:r>
          </w:p>
        </w:tc>
        <w:tc>
          <w:tcPr>
            <w:tcW w:type="dxa" w:w="6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M.A.D.I.B.A. Capital Platform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This is a governance principle, not only a timeline.</w:t>
            </w:r>
          </w:p>
          <w:p>
            <w:pPr>
              <w:spacing w:after="160" w:line="276"/>
              <w:jc w:val="left"/>
            </w:pPr>
            <w:r>
              <w:rPr>
                <w:i/>
                <w:iCs/>
              </w:rPr>
              <w:t xml:space="preserve">"S.E.T.H.S. before T.S., T.S. before UDOC, UDOC before M.A.D.I.B.A. This is not merely operational sequencing. It is the structural enforcement of Pillar V. Proof before scale. Governance before deployment."</w:t>
            </w:r>
            <w:r>
              <w:t xml:space="preserve">  — a-15, Article XI, Pillar V</w:t>
            </w:r>
          </w:p>
        </w:tc>
      </w:tr>
    </w:tbl>
    <w:p>
      <w:pPr>
        <w:spacing w:after="160" w:line="276"/>
        <w:jc w:val="left"/>
      </w:pPr>
      <w:r>
        <w:rPr>
          <w:i/>
          <w:iCs/>
        </w:rPr>
        <w:t xml:space="preserve">Canonical source: </w:t>
      </w:r>
      <w:r>
        <w:t xml:space="preserve">a-15, Part Six, Article XII.</w:t>
      </w:r>
    </w:p>
    <w:p>
      <w:r>
        <w:br w:type="page"/>
      </w:r>
    </w:p>
    <w:p>
      <w:pPr>
        <w:spacing w:after="60" w:before="200"/>
      </w:pPr>
      <w:r>
        <w:rPr>
          <w:b/>
          <w:bCs/>
          <w:color w:val="8C7330"/>
          <w:sz w:val="22"/>
          <w:szCs w:val="22"/>
        </w:rPr>
        <w:t xml:space="preserve">PART II</w:t>
      </w:r>
    </w:p>
    <w:p>
      <w:pPr>
        <w:spacing w:after="300"/>
      </w:pPr>
      <w:r>
        <w:rPr>
          <w:b/>
          <w:bCs/>
          <w:color w:val="16233A"/>
          <w:sz w:val="26"/>
          <w:szCs w:val="26"/>
        </w:rPr>
        <w:t xml:space="preserve">THE CONSTITUTIONAL LAYER</w:t>
      </w:r>
    </w:p>
    <w:p>
      <w:pPr>
        <w:pStyle w:val="Heading1"/>
      </w:pPr>
      <w:r>
        <w:t xml:space="preserve">6. The Doctrine of Human Primacy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permanent constitutional principle that human beings, acting through legitimate moral, legal, constitutional, and institutional structures, remain the highest authority over every artificial system G.O.D.S. designs, deploys, or permits to operate — regardless of that system's capability, efficiency, or scale.</w:t>
            </w:r>
          </w:p>
        </w:tc>
      </w:tr>
    </w:tbl>
    <w:p>
      <w:pPr>
        <w:spacing w:after="160" w:line="276"/>
        <w:jc w:val="left"/>
      </w:pPr>
      <w:r>
        <w:rPr>
          <w:b/>
          <w:bCs/>
        </w:rPr>
        <w:t xml:space="preserve">Position in the Architecture. </w:t>
      </w:r>
      <w:r>
        <w:t xml:space="preserve">The foundation everything else in this Part rests on. Constitutional Pillar VIII (Human Primacy in AI) is this doctrine's specific expression within the Twelve Pillars; the doctrine itself is the wider constitutional position from which that Pillar, and the fail-closed design of UDOC/GIS, both derive.</w:t>
      </w:r>
    </w:p>
    <w:p>
      <w:pPr>
        <w:spacing w:after="160" w:line="276"/>
        <w:jc w:val="left"/>
      </w:pPr>
      <w:r>
        <w:rPr>
          <w:b/>
          <w:bCs/>
        </w:rPr>
        <w:t xml:space="preserve">Purpose. </w:t>
      </w:r>
      <w:r>
        <w:t xml:space="preserve">To establish, permanently and without a sunset clause, that rising AI capability requires rising governance — not a one-time compliance exercise, but a standing constraint that scales with whatever the technology becomes. "As capability rises, governance must rise faster" is the doctrine's own framing of this.</w:t>
      </w:r>
    </w:p>
    <w:p>
      <w:pPr>
        <w:spacing w:after="160" w:line="276"/>
        <w:jc w:val="left"/>
      </w:pPr>
      <w:r>
        <w:rPr>
          <w:b/>
          <w:bCs/>
        </w:rPr>
        <w:t xml:space="preserve">What It Is Not. </w:t>
      </w:r>
      <w:r>
        <w:t xml:space="preserve">Not a temporary arrangement pending AI's maturation. Not a statement that AI is dangerous and should not be used — the doctrine explicitly treats AI as a legitimate instrument for extending human capacity. It opposes capability without governance, not capability itself.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This doctrine is fully articulated, internally consistent, and applied specifically to every AI system in the G.O.D.S. ecosystem (fail-closed defaults in UDOC, EVA, and GIS).</w:t>
            </w:r>
          </w:p>
          <w:p>
            <w:pPr>
              <w:spacing w:after="60"/>
            </w:pPr>
            <w:r>
              <w:rPr>
                <w:b/>
                <w:bCs/>
              </w:rPr>
              <w:t xml:space="preserve">Designed / production-specified, not yet built:  </w:t>
            </w:r>
            <w:r>
              <w:t xml:space="preserve">N/A — this is a constitutional position, not a build status.</w:t>
            </w:r>
          </w:p>
          <w:p>
            <w:pPr>
              <w:spacing w:after="0"/>
            </w:pPr>
            <w:r>
              <w:rPr>
                <w:b/>
                <w:bCs/>
              </w:rPr>
              <w:t xml:space="preserve">Aspirational / long-horizon:  </w:t>
            </w:r>
            <w:r>
              <w:t xml:space="preserve">N/A.</w:t>
            </w:r>
          </w:p>
        </w:tc>
      </w:tr>
    </w:tbl>
    <w:p>
      <w:pPr>
        <w:spacing w:after="160" w:line="276"/>
        <w:jc w:val="left"/>
      </w:pPr>
      <w:r>
        <w:rPr>
          <w:i/>
          <w:iCs/>
        </w:rPr>
        <w:t xml:space="preserve">Canonical source: </w:t>
      </w:r>
      <w:r>
        <w:t xml:space="preserve">a-15, Unified Constitutional Doctrine on Human Primacy, AI Governance, and Sovereign Control, Parts Two–Three.</w:t>
      </w:r>
    </w:p>
    <w:p>
      <w:pPr>
        <w:pStyle w:val="Heading1"/>
      </w:pPr>
      <w:r>
        <w:t xml:space="preserve">7. AI, AGI, and Singularity</w:t>
      </w:r>
    </w:p>
    <w:p>
      <w:pPr>
        <w:spacing w:after="160" w:line="276"/>
        <w:jc w:val="left"/>
      </w:pPr>
      <w:r>
        <w:t xml:space="preserve">G.O.D.S. treats the precise separation of these three terms as a governance necessity, not a philosophical nicety — conflating them, in the doctrine's own words, is "institutionally destabilising," because it produces either false panic or false complacency depending on which way the confusion runs.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160"/>
      </w:tblGrid>
      <w:tr>
        <w:trPr>
          <w:tblHeader/>
        </w:trPr>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Term</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Canonical Definition</w:t>
            </w:r>
          </w:p>
        </w:tc>
        <w:tc>
          <w:tcPr>
            <w:tcW w:type="dxa" w:w="3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The Boundary That Matters</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Artificial Intelligence (AI)</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Any engineered non-biological system capable of performing tasks associated with intelligence — pattern recognition, prediction, language generation, optimisation, recommendation, classification, decision support.</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AI is a tool architecture. It does not possess agency, rights, or legitimacy. It possesses capability — and capability without governance is a hazard, not an achievement.</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Artificial General Intelligence (AGI)</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pursuit of full-spectrum general intelligence in artificial form, expressed at system speed, directed toward the elevation of human capacity rather than the replacement of humanity.</w:t>
            </w:r>
          </w:p>
        </w:tc>
        <w:tc>
          <w:tcPr>
            <w:tcW w:type="dxa" w:w="3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AGI is not life. AGI is not singularity. AGI is not an autonomous governing actor. It is the most powerful tool yet conceived — and therefore subject to the most rigorous governance yet established.</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Singularity</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threshold beyond ordinary advanced-AI capability or machine autonomy — not synonymous with AGI, and not something current AI systems, however capable, have reached or are near.</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AGI is the precursor condition to any credible discussion of singularity, never the reverse. Treating current AI capability as "approaching singularity" is, in this doctrine's own terms, imprecise in a way that degrades public understanding and weakens governance.</w:t>
            </w:r>
          </w:p>
        </w:tc>
      </w:tr>
    </w:tbl>
    <w:p>
      <w:pPr>
        <w:pStyle w:val="Heading3"/>
      </w:pPr>
      <w:r>
        <w:t xml:space="preserve">On Legitimacy — Why the Distinction Is a Governance Requirement, Not Just a Definition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i/>
                <w:iCs/>
              </w:rPr>
              <w:t xml:space="preserve">"AGI shall not be feared merely because it is powerful. Fear that emerges from poor definitions, sensationalism, or speculative mythology is not a sound basis for governance. The true danger lies in intelligence systems developed or deployed without meaningful control, constitutional boundaries, audit infrastructure, human command authority, interruption mechanisms, ethical constraints, or accountable institutional stewardship."</w:t>
            </w:r>
            <w:r>
              <w:t xml:space="preserve">  — a-15, Part Four, Article X §2</w:t>
            </w:r>
          </w:p>
          <w:p>
            <w:pPr>
              <w:spacing w:after="160" w:line="276"/>
              <w:jc w:val="left"/>
            </w:pPr>
            <w:r>
              <w:rPr>
                <w:i/>
                <w:iCs/>
              </w:rPr>
              <w:t xml:space="preserve">"The public is not reassured because a system is intelligent. The public is reassured because the system is visibly bounded by human authority."</w:t>
            </w:r>
            <w:r>
              <w:t xml:space="preserve">  — a-15, Part Four, Article X §3</w:t>
            </w:r>
          </w:p>
        </w:tc>
      </w:tr>
    </w:tbl>
    <w:p>
      <w:pPr>
        <w:spacing w:after="160" w:line="276"/>
        <w:jc w:val="left"/>
      </w:pPr>
      <w:r>
        <w:t xml:space="preserve">The doctrine treats the singularity threshold specifically — as distinct from AGI capability generally — as a permanent zone of maximum constitutional caution, requiring supermajority oversight, multi-disciplinary ethical review, and global governance consultation before any approach toward it is sanctioned. This is a standing constitutional position, not a milestone G.O.D.S. is working toward.</w:t>
      </w:r>
    </w:p>
    <w:p>
      <w:pPr>
        <w:spacing w:after="160" w:line="276"/>
        <w:jc w:val="left"/>
      </w:pPr>
      <w:r>
        <w:rPr>
          <w:i/>
          <w:iCs/>
        </w:rPr>
        <w:t xml:space="preserve">Canonical source: </w:t>
      </w:r>
      <w:r>
        <w:t xml:space="preserve">a-15, Part Two, Articles III–IV; Part Four, Article X (incorporating the AGI vs Singularity Position Paper).</w:t>
      </w:r>
    </w:p>
    <w:p>
      <w:pPr>
        <w:pStyle w:val="Heading1"/>
      </w:pPr>
      <w:r>
        <w:t xml:space="preserve">8. Required Governance Architecture — The Ten Elements</w:t>
      </w:r>
    </w:p>
    <w:p>
      <w:pPr>
        <w:spacing w:after="160" w:line="276"/>
        <w:jc w:val="left"/>
      </w:pPr>
      <w:r>
        <w:t xml:space="preserve">Article VI of the Unified Constitutional Doctrine specifies the minimum governance architecture any institution deploying advanced AI must maintain. This is the constitutional-level checklist UDOC's technical architecture (Part VI) is built to satisfy — not a UDOC-specific requirement, but a general one UDOC happens to be designed against.</w:t>
      </w:r>
    </w:p>
    <w:p>
      <w:pPr>
        <w:pStyle w:val="ListParagraph"/>
        <w:numPr>
          <w:ilvl w:val="0"/>
          <w:numId w:val="2"/>
        </w:numPr>
        <w:spacing w:after="100" w:line="276"/>
      </w:pPr>
      <w:r>
        <w:t xml:space="preserve">Clearly assigned human responsibility for all system outputs and decisions</w:t>
      </w:r>
    </w:p>
    <w:p>
      <w:pPr>
        <w:pStyle w:val="ListParagraph"/>
        <w:numPr>
          <w:ilvl w:val="0"/>
          <w:numId w:val="2"/>
        </w:numPr>
        <w:spacing w:after="100" w:line="276"/>
      </w:pPr>
      <w:r>
        <w:t xml:space="preserve">Documented authority structures with defined escalation and override pathways</w:t>
      </w:r>
    </w:p>
    <w:p>
      <w:pPr>
        <w:pStyle w:val="ListParagraph"/>
        <w:numPr>
          <w:ilvl w:val="0"/>
          <w:numId w:val="2"/>
        </w:numPr>
        <w:spacing w:after="100" w:line="276"/>
      </w:pPr>
      <w:r>
        <w:t xml:space="preserve">Review and escalation mechanisms accessible to affected parties</w:t>
      </w:r>
    </w:p>
    <w:p>
      <w:pPr>
        <w:pStyle w:val="ListParagraph"/>
        <w:numPr>
          <w:ilvl w:val="0"/>
          <w:numId w:val="2"/>
        </w:numPr>
        <w:spacing w:after="100" w:line="276"/>
      </w:pPr>
      <w:r>
        <w:t xml:space="preserve">Cryptographically secured audit logging with tamper-evidence architecture</w:t>
      </w:r>
    </w:p>
    <w:p>
      <w:pPr>
        <w:pStyle w:val="ListParagraph"/>
        <w:numPr>
          <w:ilvl w:val="0"/>
          <w:numId w:val="2"/>
        </w:numPr>
        <w:spacing w:after="100" w:line="276"/>
      </w:pPr>
      <w:r>
        <w:t xml:space="preserve">Role-based access control with least-privilege enforcement</w:t>
      </w:r>
    </w:p>
    <w:p>
      <w:pPr>
        <w:pStyle w:val="ListParagraph"/>
        <w:numPr>
          <w:ilvl w:val="0"/>
          <w:numId w:val="2"/>
        </w:numPr>
        <w:spacing w:after="100" w:line="276"/>
      </w:pPr>
      <w:r>
        <w:t xml:space="preserve">Incident response procedures with human activation requirements</w:t>
      </w:r>
    </w:p>
    <w:p>
      <w:pPr>
        <w:pStyle w:val="ListParagraph"/>
        <w:numPr>
          <w:ilvl w:val="0"/>
          <w:numId w:val="2"/>
        </w:numPr>
        <w:spacing w:after="100" w:line="276"/>
      </w:pPr>
      <w:r>
        <w:t xml:space="preserve">Periodic independent oversight review at constitutional board level</w:t>
      </w:r>
    </w:p>
    <w:p>
      <w:pPr>
        <w:pStyle w:val="ListParagraph"/>
        <w:numPr>
          <w:ilvl w:val="0"/>
          <w:numId w:val="2"/>
        </w:numPr>
        <w:spacing w:after="100" w:line="276"/>
      </w:pPr>
      <w:r>
        <w:t xml:space="preserve">Legally valid accountability mechanisms with named institutional responsibility</w:t>
      </w:r>
    </w:p>
    <w:p>
      <w:pPr>
        <w:spacing w:after="160" w:line="276"/>
        <w:jc w:val="left"/>
      </w:pPr>
      <w:r>
        <w:rPr>
          <w:i/>
          <w:iCs/>
        </w:rPr>
        <w:t xml:space="preserve">Canonical source: </w:t>
      </w:r>
      <w:r>
        <w:t xml:space="preserve">a-15, Part Three, Article VI §2.</w:t>
      </w:r>
    </w:p>
    <w:p>
      <w:pPr>
        <w:pStyle w:val="Heading1"/>
      </w:pPr>
      <w:r>
        <w:t xml:space="preserve">9. The Twelve G.O.D.S. Constitutional Pillars</w:t>
      </w:r>
    </w:p>
    <w:p>
      <w:pPr>
        <w:spacing w:after="160" w:line="276"/>
        <w:jc w:val="left"/>
      </w:pPr>
      <w:r>
        <w:t xml:space="preserve">The non-negotiable governance principles binding every entity, franchise node, and technology layer in the ecosystem. Reproduced here in canonical form; full operational interpretation is in the Institutional Constitution.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A substantive discrepancy at Pillars VII and IX — not just naming, the actual scope of two pillars differs across sources.</w:t>
            </w:r>
          </w:p>
          <w:p>
            <w:pPr>
              <w:spacing w:after="160" w:line="276"/>
              <w:jc w:val="left"/>
            </w:pPr>
            <w:r>
              <w:rPr>
                <w:b/>
                <w:bCs/>
              </w:rPr>
              <w:t xml:space="preserve">What the later sources say (adopted below): </w:t>
            </w:r>
            <w:r>
              <w:t xml:space="preserve">Pillar VII is "Founder Constraint" — a specific mechanism limiting the founder's own power (no unilateral Class A share acquisition, no Constitution amendment, no COB dissolution, no override of a halt). Pillar IX is "Reintegration" — specific constitutional protection for the justice-involved and substance-recovery cohort as a primary, not incidental, S.E.T.H.S. population. Both appear this way in the Constitutional Governance Charter, the Oversight Board Charter, and the GBS-SETHS Framework v2.0 (all either dated later than, or consistent with the later, July 2026 material).</w:t>
            </w:r>
          </w:p>
          <w:p>
            <w:pPr>
              <w:spacing w:after="160" w:line="276"/>
              <w:jc w:val="left"/>
            </w:pPr>
            <w:r>
              <w:rPr>
                <w:b/>
                <w:bCs/>
              </w:rPr>
              <w:t xml:space="preserve">What the Unified Constitutional Doctrine (a-15, March 2026) says instead: </w:t>
            </w:r>
            <w:r>
              <w:t xml:space="preserve">Pillar VII is the broader "Anti-Capture" (no single investor, government, or entity may acquire controlling influence — not founder-specific). Pillar IX is the broader "Equity of Access" (system benefits must reach the most marginalised populations first — not reintegration-specific).</w:t>
            </w:r>
          </w:p>
          <w:p>
            <w:pPr>
              <w:spacing w:after="160" w:line="276"/>
              <w:jc w:val="left"/>
            </w:pPr>
            <w:r>
              <w:rPr>
                <w:b/>
                <w:bCs/>
              </w:rPr>
              <w:t xml:space="preserve">Resolution: </w:t>
            </w:r>
            <w:r>
              <w:t xml:space="preserve">the narrower, later, more mechanically specific versions (Founder Constraint, Reintegration) are adopted as canonical, on the reasoning that they read as a refinement of the broader March-2026 principles once the founder-specific share/COB mechanics and the S.E.T.H.S. cohort protections were worked out in more legal and operational detail — not a contradiction of them. Anti-Capture and Equity of Access are not wrong; they are the earlier, broader statement of what Founder Constraint and Reintegration later became more specific about. Recorded fully in Part VII.</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1900"/>
        <w:gridCol w:w="6260"/>
      </w:tblGrid>
      <w:tr>
        <w:trPr>
          <w:tblHeader/>
        </w:trPr>
        <w:tc>
          <w:tcPr>
            <w:tcW w:type="dxa" w:w="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t>
            </w:r>
          </w:p>
        </w:tc>
        <w:tc>
          <w:tcPr>
            <w:tcW w:type="dxa" w:w="1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6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One-Line Definition</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Dignity</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economic or operational pressure justifies compromising it.</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Contribution First</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individual possesses productive potential; the obligation is to find and develop it.</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Sovereign Respect</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Politically neutral — works with governments, is not captured by them.</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Ethical Profitability</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Returns must be earned in ways that reinforce, not undermine, the mission.</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Governance First</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material decision proceeds without constitutional governance review — the phased S.E.T.H.S.→T.S.→UDOC→M.A.D.I.B.A. sequencing is this pillar's structural enforcement, not just an operating convenience.</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Transparency</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Decisions, flows, and outcome data are documented in verifiable form.</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VII</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Constraint</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founder cannot amend the Constitution, dissolve the COB, or override a halt. (Earlier/broader statement: Anti-Capture.)</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VIII</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 Primacy in AI</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may support human case management and decision-making; it may never replace it.</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IX</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Reintegration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justice-involved and substance-recovery population is a primary cohort, not an edge case. (Earlier/broader statement: Equity of Access.)</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X</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Long-Horizon Discipline</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250-year mandate demands generational calibration, not quarterly pressure — a minimum 50-year evaluation horizon at floor.</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XI</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Anti-Corruption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node may manipulate outcome data or extract credit without genuine development intent.</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XII</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Evidence-Driven</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claim is graded proven, designed, or aspirational — never silently inflated.</w:t>
            </w:r>
          </w:p>
        </w:tc>
      </w:tr>
    </w:tbl>
    <w:p>
      <w:pPr>
        <w:spacing w:after="160" w:line="276"/>
        <w:jc w:val="left"/>
      </w:pPr>
      <w:r>
        <w:rPr>
          <w:i/>
          <w:iCs/>
        </w:rPr>
        <w:t xml:space="preserve">Canonical source: </w:t>
      </w:r>
      <w:r>
        <w:t xml:space="preserve">Institutional Constitution (Document 01), Part Three; GBS-SETHS Consolidated Super Framework, Document 00, Part I §2; cross-checked against a-15, Part Five, Article XI.</w:t>
      </w:r>
    </w:p>
    <w:p>
      <w:pPr>
        <w:pStyle w:val="Heading1"/>
      </w:pPr>
      <w:r>
        <w:t xml:space="preserve">10. The Constitutional Oversight Board (COB)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supreme constitutional-compliance authority for G.O.D.S. — a five-seat (expandable to nine) independent board with binding halt authority over any entity or decision that violates the Twelve Pillars, and unanimous authority to remove the founder from operational authority.</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rPr>
          <w:tblHeader/>
        </w:trPr>
        <w:tc>
          <w:tcPr>
            <w:tcW w:type="dxa" w:w="5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Decision Type</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Threshold</w:t>
            </w:r>
          </w:p>
        </w:tc>
      </w:tr>
      <w:tr>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Routine compliance findings</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Simple majority (3 of 5)</w:t>
            </w:r>
          </w:p>
        </w:tc>
      </w:tr>
      <w:tr>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Binding Halt Order</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Simple majority (3 of 5) — immediate effect</w:t>
            </w:r>
          </w:p>
        </w:tc>
      </w:tr>
      <w:tr>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removal from operational authority</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Unanimous (5 of 5)</w:t>
            </w:r>
          </w:p>
        </w:tc>
      </w:tr>
      <w:tr>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 Charter amendment</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75% (4 of 5)</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Current status.</w:t>
            </w:r>
          </w:p>
          <w:p>
            <w:pPr>
              <w:spacing w:after="160" w:line="276"/>
              <w:jc w:val="left"/>
            </w:pPr>
            <w:r>
              <w:t xml:space="preserve">All five seats are, as of this canon's issue, vacant and in recruitment — stated plainly, consistent with Pillar VI.</w:t>
            </w:r>
          </w:p>
        </w:tc>
      </w:tr>
    </w:tbl>
    <w:p>
      <w:pPr>
        <w:spacing w:after="160" w:line="276"/>
        <w:jc w:val="left"/>
      </w:pPr>
      <w:r>
        <w:rPr>
          <w:i/>
          <w:iCs/>
        </w:rPr>
        <w:t xml:space="preserve">Canonical source: </w:t>
      </w:r>
      <w:r>
        <w:t xml:space="preserve">a-13, Oversight Board Charter; Institutional Constitution (Document 01), Part Five.</w:t>
      </w:r>
    </w:p>
    <w:p>
      <w:pPr>
        <w:pStyle w:val="Heading1"/>
      </w:pPr>
      <w:r>
        <w:t xml:space="preserve">11. The G.O.D.S. IP Trust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perpetual legal custodian of all G.O.D.S. intellectual property and Class A governance shares, established under the Trust Property Control Act 57 of 1988, structurally incapable of being wound up while any G.O.D.S. entity remains operational.</w:t>
            </w:r>
          </w:p>
          <w:p>
            <w:pPr>
              <w:spacing w:after="160" w:line="276"/>
              <w:jc w:val="left"/>
            </w:pPr>
            <w:r>
              <w:rPr>
                <w:b/>
                <w:bCs/>
              </w:rPr>
              <w:t xml:space="preserve">Purpose. </w:t>
            </w:r>
            <w:r>
              <w:t xml:space="preserve">To guarantee that the institution's methodology, brand, and governance authority survive any individual — including the founder — by design rather than by goodwill.</w:t>
            </w:r>
          </w:p>
        </w:tc>
      </w:tr>
    </w:tbl>
    <w:p>
      <w:pPr>
        <w:spacing w:after="160" w:line="276"/>
        <w:jc w:val="left"/>
      </w:pPr>
      <w:r>
        <w:rPr>
          <w:i/>
          <w:iCs/>
        </w:rPr>
        <w:t xml:space="preserve">Canonical source: </w:t>
      </w:r>
      <w:r>
        <w:t xml:space="preserve">a-02, Constitutional Governance Charter; a-14, Succession &amp; Continuity Charter; Founder Succession &amp; Continuity Charter (Document 10).</w:t>
      </w:r>
    </w:p>
    <w:p>
      <w:r>
        <w:br w:type="page"/>
      </w:r>
    </w:p>
    <w:p>
      <w:pPr>
        <w:spacing w:after="60" w:before="200"/>
      </w:pPr>
      <w:r>
        <w:rPr>
          <w:b/>
          <w:bCs/>
          <w:color w:val="8C7330"/>
          <w:sz w:val="22"/>
          <w:szCs w:val="22"/>
        </w:rPr>
        <w:t xml:space="preserve">PART III</w:t>
      </w:r>
    </w:p>
    <w:p>
      <w:pPr>
        <w:spacing w:after="300"/>
      </w:pPr>
      <w:r>
        <w:rPr>
          <w:b/>
          <w:bCs/>
          <w:color w:val="16233A"/>
          <w:sz w:val="26"/>
          <w:szCs w:val="26"/>
        </w:rPr>
        <w:t xml:space="preserve">THE FOUR DIVISIONS</w:t>
      </w:r>
    </w:p>
    <w:p>
      <w:pPr>
        <w:pStyle w:val="Heading1"/>
      </w:pPr>
      <w:r>
        <w:t xml:space="preserve">12. S.E.T.H.S.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Acronym canonicalization — three variants found, one adopted here, reasoning shown in full.</w:t>
            </w:r>
          </w:p>
          <w:p>
            <w:pPr>
              <w:spacing w:after="160" w:line="276"/>
              <w:jc w:val="left"/>
            </w:pPr>
            <w:r>
              <w:rPr>
                <w:b/>
                <w:bCs/>
              </w:rPr>
              <w:t xml:space="preserve">The variants: </w:t>
            </w:r>
            <w:r>
              <w:t xml:space="preserve">(a) "Systematically Engineered Transfer of Human Systems" — GBS-SETHS v1.0 and v2.0, July 2026, both internally consistent; (b) "Systematically Engineered To Hinder Speculators" — the Constitutional Governance Charter / MOI Blueprint, and the live institutional platform; (c) "Skills, Employment, Training, Human Systems" — the S.E.T.H.S. Complete Programme Specification, March 2026.</w:t>
            </w:r>
          </w:p>
          <w:p>
            <w:pPr>
              <w:spacing w:after="160" w:line="276"/>
              <w:jc w:val="left"/>
            </w:pPr>
            <w:r>
              <w:rPr>
                <w:b/>
                <w:bCs/>
              </w:rPr>
              <w:t xml:space="preserve">The method applied (per the Preface): </w:t>
            </w:r>
            <w:r>
              <w:t xml:space="preserve">most recent, most internally consistent, most technically load-bearing, in that order. GBS-SETHS v1.0 and v2.0 are the most recent of the three sources and independently converge on the same expansion. That expansion is also structurally load-bearing rather than coincidental: "Transfer" is the third verb of the CET (Communicate-Educate-Transfer) loop that is the methodology's own operating logic — the name and the mechanism describe the same thing. "To Hinder Speculators" has no equivalent structural connection to the documented mission, and "Skills, Employment, Training, Human Systems" is a plain-language description rather than a load-bearing acronym expansion.</w:t>
            </w:r>
          </w:p>
          <w:p>
            <w:pPr>
              <w:spacing w:after="160" w:line="276"/>
              <w:jc w:val="left"/>
            </w:pPr>
            <w:r>
              <w:rPr>
                <w:b/>
                <w:bCs/>
              </w:rPr>
              <w:t xml:space="preserve">Canonical decision: </w:t>
            </w:r>
            <w:r>
              <w:t xml:space="preserve">"Systematically Engineered Transfer of Human Systems" is adopted in this canon. This is shown, not asserted — the Constitutional Governance Charter (a legal-form document) and the live platform both still use the second variant and will need updating to match, which is a founder-level decision, not one this canon makes unilaterally. Treat this entry as the recommended resolution pending that direct confirmation.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S.E.T.H.S. is G.O.D.S.'s human acceleration engine — a constitutionally governed, lifelong system that moves individuals from exclusion, displacement, or stagnation toward productive economic participation, using the CET/CTE knowledge-transfer methodology.</w:t>
            </w:r>
          </w:p>
        </w:tc>
      </w:tr>
    </w:tbl>
    <w:p>
      <w:pPr>
        <w:spacing w:after="160" w:line="276"/>
        <w:jc w:val="left"/>
      </w:pPr>
      <w:r>
        <w:rPr>
          <w:b/>
          <w:bCs/>
        </w:rPr>
        <w:t xml:space="preserve">Position in the Architecture. </w:t>
      </w:r>
      <w:r>
        <w:t xml:space="preserve">The first division in the compounding loop: S.E.T.H.S. produces credentialed workforce and government contract revenue, which T.S. Industries employs, which UDOC governs and makes auditable, which M.A.D.I.B.A. converts into institutional capital, which funds the next S.E.T.H.S. cohort.</w:t>
      </w:r>
    </w:p>
    <w:p>
      <w:pPr>
        <w:spacing w:after="160" w:line="276"/>
        <w:jc w:val="left"/>
      </w:pPr>
      <w:r>
        <w:rPr>
          <w:b/>
          <w:bCs/>
        </w:rPr>
        <w:t xml:space="preserve">Purpose. </w:t>
      </w:r>
      <w:r>
        <w:t xml:space="preserve">To answer AI-driven and structural workforce displacement with a system that does not just train people once, but re-engages them for life — including, and originally centred on, the justice-involved and substance-recovery population the founder's own lived experience began with.</w:t>
      </w:r>
    </w:p>
    <w:p>
      <w:pPr>
        <w:spacing w:after="160" w:line="276"/>
        <w:jc w:val="left"/>
      </w:pPr>
      <w:r>
        <w:rPr>
          <w:b/>
          <w:bCs/>
        </w:rPr>
        <w:t xml:space="preserve">What It Is Not. </w:t>
      </w:r>
      <w:r>
        <w:t xml:space="preserve">Not a training programme with a rehabilitation add-on. Reintegration (Cohort 1) is a primary, constitutionally protected cohort (Pillar IX), not the whole identity — the other three cohorts (AI Displacement, Workforce Evolution, Future Workforce) are equally served.</w:t>
      </w:r>
    </w:p>
    <w:p>
      <w:pPr>
        <w:pStyle w:val="Heading3"/>
      </w:pPr>
      <w:r>
        <w:t xml:space="preserve">Origin</w:t>
      </w:r>
    </w:p>
    <w:p>
      <w:pPr>
        <w:spacing w:after="160" w:line="276"/>
        <w:jc w:val="left"/>
      </w:pPr>
      <w:r>
        <w:t xml:space="preserve">S.E.T.H.S. began in 2016 as Seth's Empire — named for the founder's son, Seth — a recruiting-and-surety arrangement placing recovering addicts and parolees with client companies, using IoT-based monitoring, with Seth's Empire itself employing anyone for whom no client placement existed. The reintegration mission is original; the four-cohort, AI-adaptation-focused identity is the 2026 evolution documented in the GBS-SETHS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CET/CTE methodology, the four-cohort framework, and the certification-tier system are fully specified and consistent across Document 00 and Document 02.</w:t>
            </w:r>
          </w:p>
          <w:p>
            <w:pPr>
              <w:spacing w:after="60"/>
            </w:pPr>
            <w:r>
              <w:rPr>
                <w:b/>
                <w:bCs/>
              </w:rPr>
              <w:t xml:space="preserve">Designed / production-specified, not yet built:  </w:t>
            </w:r>
            <w:r>
              <w:t xml:space="preserve">Live pilot operation (Document 00, Part VII, Stage 1) is the immediate next step once seed capital closes — the methodology is designed, not yet running against a real cohort.</w:t>
            </w:r>
          </w:p>
          <w:p>
            <w:pPr>
              <w:spacing w:after="0"/>
            </w:pPr>
            <w:r>
              <w:rPr>
                <w:b/>
                <w:bCs/>
              </w:rPr>
              <w:t xml:space="preserve">Aspirational / long-horizon:  </w:t>
            </w:r>
            <w:r>
              <w:t xml:space="preserve">A twenty-node, multi-country S.E.T.H.S. operating at the scale described in Document 00's 250-Year Roadmap.</w:t>
            </w:r>
          </w:p>
        </w:tc>
      </w:tr>
    </w:tbl>
    <w:p>
      <w:pPr>
        <w:spacing w:after="160" w:line="276"/>
        <w:jc w:val="left"/>
      </w:pPr>
      <w:r>
        <w:rPr>
          <w:i/>
          <w:iCs/>
        </w:rPr>
        <w:t xml:space="preserve">Canonical source: </w:t>
      </w:r>
      <w:r>
        <w:t xml:space="preserve">GBS-SETHS Consolidated Super Framework, Document 00, Part III; e-01, S.E.T.H.S. Complete Programme Specification.</w:t>
      </w:r>
    </w:p>
    <w:p>
      <w:pPr>
        <w:pStyle w:val="Heading1"/>
      </w:pPr>
      <w:r>
        <w:t xml:space="preserve">13. T.S. Industries — The Technological Sector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production and infrastructure division of G.O.D.S. — a multi-sector industrial conglomerate that builds the physical infrastructure South Africa's structural challenges require, staffed primarily by S.E.T.H.S. graduates.</w:t>
            </w:r>
          </w:p>
          <w:p>
            <w:pPr>
              <w:spacing w:after="160" w:line="276"/>
              <w:jc w:val="left"/>
            </w:pPr>
            <w:r>
              <w:rPr>
                <w:b/>
                <w:bCs/>
              </w:rPr>
              <w:t xml:space="preserve">Full Name. </w:t>
            </w:r>
            <w:r>
              <w:t xml:space="preserve">The Technological Sector — chosen deliberately to signal operation at the intersection of technology and physical production, closest to what is sometimes called deep tech infrastructure, rather than as either a pure technology company or a conventional construction firm.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Naming note.</w:t>
            </w:r>
          </w:p>
          <w:p>
            <w:pPr>
              <w:spacing w:after="160" w:line="276"/>
              <w:jc w:val="left"/>
            </w:pPr>
            <w:r>
              <w:t xml:space="preserve">An earlier working name, "Transition Systems," appears in some March-2026-era documents. "The Technological Sector" is the current, explained, and live-site-confirmed name — treat "Transition Systems" as superseded.</w:t>
            </w:r>
          </w:p>
        </w:tc>
      </w:tr>
    </w:tbl>
    <w:p>
      <w:pPr>
        <w:spacing w:after="160" w:line="276"/>
        <w:jc w:val="left"/>
      </w:pPr>
      <w:r>
        <w:rPr>
          <w:b/>
          <w:bCs/>
        </w:rPr>
        <w:t xml:space="preserve">Position in the Architecture. </w:t>
      </w:r>
      <w:r>
        <w:t xml:space="preserve">Second in the compounding loop. T.S. serves two functions simultaneously: the primary employment destination for S.E.T.H.S. graduates, and the generator of the infrastructure track record that makes M.A.D.I.B.A.'s capital-raising credible.</w:t>
      </w:r>
    </w:p>
    <w:p>
      <w:pPr>
        <w:pStyle w:val="Heading3"/>
      </w:pPr>
      <w:r>
        <w:t xml:space="preserve">The Seven Sector Subsidiaries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560"/>
      </w:tblGrid>
      <w:tr>
        <w:trPr>
          <w:tblHeader/>
        </w:trPr>
        <w:tc>
          <w:tcPr>
            <w:tcW w:type="dxa" w:w="3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Subsidiary</w:t>
            </w:r>
          </w:p>
        </w:tc>
        <w:tc>
          <w:tcPr>
            <w:tcW w:type="dxa" w:w="5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Focus</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Energy (Pty) Ltd</w:t>
            </w:r>
          </w:p>
        </w:tc>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Renewable energy generation and grid infrastructure</w:t>
            </w:r>
          </w:p>
        </w:tc>
      </w:tr>
      <w:tr>
        <w:tc>
          <w:tcPr>
            <w:tcW w:type="dxa" w:w="3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Construction &amp; Housing (Pty) Ltd</w:t>
            </w:r>
          </w:p>
        </w:tc>
        <w:tc>
          <w:tcPr>
            <w:tcW w:type="dxa" w:w="5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Affordable housing and general construction</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AgriTech (Pty) Ltd</w:t>
            </w:r>
          </w:p>
        </w:tc>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Agricultural technology and food-systems infrastructure</w:t>
            </w:r>
          </w:p>
        </w:tc>
      </w:tr>
      <w:tr>
        <w:tc>
          <w:tcPr>
            <w:tcW w:type="dxa" w:w="3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Water Systems (Pty) Ltd</w:t>
            </w:r>
          </w:p>
        </w:tc>
        <w:tc>
          <w:tcPr>
            <w:tcW w:type="dxa" w:w="5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Water infrastructure and scarcity solutions</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Digital Infrastructure (Pty) Ltd</w:t>
            </w:r>
          </w:p>
        </w:tc>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and connectivity infrastructure</w:t>
            </w:r>
          </w:p>
        </w:tc>
      </w:tr>
      <w:tr>
        <w:tc>
          <w:tcPr>
            <w:tcW w:type="dxa" w:w="3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Manufacturing (Pty) Ltd</w:t>
            </w:r>
          </w:p>
        </w:tc>
        <w:tc>
          <w:tcPr>
            <w:tcW w:type="dxa" w:w="5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Production and industrial manufacturing</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Logistics (Pty) Ltd</w:t>
            </w:r>
          </w:p>
        </w:tc>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Distribution and logistics infrastructure</w:t>
            </w:r>
          </w:p>
        </w:tc>
      </w:tr>
    </w:tbl>
    <w:p>
      <w:pPr>
        <w:spacing w:after="160" w:line="276"/>
        <w:jc w:val="left"/>
      </w:pPr>
      <w:r>
        <w:rPr>
          <w:b/>
          <w:bCs/>
        </w:rPr>
        <w:t xml:space="preserve">Key Mechanism — SPVs. </w:t>
      </w:r>
      <w:r>
        <w:t xml:space="preserve">Projects above R50 million in capital requirement are executed through Special Purpose Vehicles — separate legal entities co-owned by T.S. Industries, M.A.D.I.B.A.'s Infrastructure Fund, and any project-specific government or private co-investors. This structure is standard practice in South African infrastructure development and a requirement for REIPP programme participation.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seven-subsidiary structure and the SPV co-ownership model are fully specified and consistent across the T.S. Infrastructure Blueprint and the eleven-document package.</w:t>
            </w:r>
          </w:p>
          <w:p>
            <w:pPr>
              <w:spacing w:after="60"/>
            </w:pPr>
            <w:r>
              <w:rPr>
                <w:b/>
                <w:bCs/>
              </w:rPr>
              <w:t xml:space="preserve">Designed / production-specified, not yet built:  </w:t>
            </w:r>
            <w:r>
              <w:t xml:space="preserve">No SPV is yet operational — T.S.'s first project going live is one of M.A.D.I.B.A.'s four named Series A trigger conditions, not yet met.</w:t>
            </w:r>
          </w:p>
          <w:p>
            <w:pPr>
              <w:spacing w:after="0"/>
            </w:pPr>
            <w:r>
              <w:rPr>
                <w:b/>
                <w:bCs/>
              </w:rPr>
              <w:t xml:space="preserve">Aspirational / long-horizon:  </w:t>
            </w:r>
            <w:r>
              <w:t xml:space="preserve">A T.S. Industries operating across all seven subsidiaries simultaneously, at the scale the 25-year financial model assumes.</w:t>
            </w:r>
          </w:p>
        </w:tc>
      </w:tr>
    </w:tbl>
    <w:p>
      <w:pPr>
        <w:spacing w:after="160" w:line="276"/>
        <w:jc w:val="left"/>
      </w:pPr>
      <w:r>
        <w:rPr>
          <w:i/>
          <w:iCs/>
        </w:rPr>
        <w:t xml:space="preserve">Canonical source: </w:t>
      </w:r>
      <w:r>
        <w:t xml:space="preserve">e-07, T.S. Infrastructure Blueprint.</w:t>
      </w:r>
    </w:p>
    <w:p>
      <w:pPr>
        <w:pStyle w:val="Heading1"/>
      </w:pPr>
      <w:r>
        <w:t xml:space="preserve">14. UDOC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UDOC is G.O.D.S.'s governance-technology division — a sovereign, hardware-enforceable AI governance platform that intercepts, evaluates, and audits every consequential AI decision within its jurisdiction before that decision executes.</w:t>
            </w:r>
          </w:p>
          <w:p>
            <w:pPr>
              <w:spacing w:after="160" w:line="276"/>
              <w:jc w:val="left"/>
            </w:pPr>
            <w:r>
              <w:rPr>
                <w:b/>
                <w:bCs/>
              </w:rPr>
              <w:t xml:space="preserve">Full Name. </w:t>
            </w:r>
            <w:r>
              <w:t xml:space="preserve">Unified Digital Oversight &amp; Coordination.</w:t>
            </w:r>
          </w:p>
        </w:tc>
      </w:tr>
    </w:tbl>
    <w:p>
      <w:pPr>
        <w:spacing w:after="160" w:line="276"/>
        <w:jc w:val="left"/>
      </w:pPr>
      <w:r>
        <w:rPr>
          <w:b/>
          <w:bCs/>
        </w:rPr>
        <w:t xml:space="preserve">Position in the Architecture. </w:t>
      </w:r>
      <w:r>
        <w:t xml:space="preserve">The governance layer running underneath every other division — S.E.T.H.S., T.S. Industries, and M.A.D.I.B.A. all produce data that UDOC renders auditable, and UDOC is also G.O.D.S.'s primary external commercial product (sovereign AI governance sold to enterprises and governments).</w:t>
      </w:r>
    </w:p>
    <w:p>
      <w:pPr>
        <w:spacing w:after="160" w:line="276"/>
        <w:jc w:val="left"/>
      </w:pPr>
      <w:r>
        <w:rPr>
          <w:b/>
          <w:bCs/>
        </w:rPr>
        <w:t xml:space="preserve">Purpose. </w:t>
      </w:r>
      <w:r>
        <w:t xml:space="preserve">To operationalise the Doctrine of Human Primacy at the architecture level — making governance a technically enforced property of the system, not a contractual promise or a policy document that AI deployment can quietly outrun.</w:t>
      </w:r>
    </w:p>
    <w:p>
      <w:pPr>
        <w:spacing w:after="160" w:line="276"/>
        <w:jc w:val="left"/>
      </w:pPr>
      <w:r>
        <w:rPr>
          <w:b/>
          <w:bCs/>
        </w:rPr>
        <w:t xml:space="preserve">What It Is Not. </w:t>
      </w:r>
      <w:r>
        <w:t xml:space="preserve">Not a compliance dashboard or an after-the-fact audit tool. UDOC's design premise is that governance happens before or during the AI decision, not as a report generated afterward.</w:t>
      </w:r>
    </w:p>
    <w:p>
      <w:pPr>
        <w:pStyle w:val="Heading3"/>
      </w:pPr>
      <w:r>
        <w:t xml:space="preserve">Key Components</w:t>
      </w:r>
    </w:p>
    <w:p>
      <w:pPr>
        <w:pStyle w:val="ListParagraph"/>
        <w:numPr>
          <w:ilvl w:val="0"/>
          <w:numId w:val="3"/>
        </w:numPr>
        <w:spacing w:after="100" w:line="276"/>
      </w:pPr>
      <w:r>
        <w:t xml:space="preserve">EVA — the six-dimension evaluation engine that scores every AI decision event (Part VI, Entry 34)</w:t>
      </w:r>
    </w:p>
    <w:p>
      <w:pPr>
        <w:pStyle w:val="ListParagraph"/>
        <w:numPr>
          <w:ilvl w:val="0"/>
          <w:numId w:val="3"/>
        </w:numPr>
        <w:spacing w:after="100" w:line="276"/>
      </w:pPr>
      <w:r>
        <w:t xml:space="preserve">The 14-Stage Deterministic Sovereign FSM — the decision pipeline every evaluation passes through (Part VI, Entry 36)</w:t>
      </w:r>
    </w:p>
    <w:p>
      <w:pPr>
        <w:pStyle w:val="ListParagraph"/>
        <w:numPr>
          <w:ilvl w:val="0"/>
          <w:numId w:val="3"/>
        </w:numPr>
        <w:spacing w:after="100" w:line="276"/>
      </w:pPr>
      <w:r>
        <w:t xml:space="preserve">StayChain™ — the immutable, cryptographically signed audit trail (Part VI, Entry 37)</w:t>
      </w:r>
    </w:p>
    <w:p>
      <w:pPr>
        <w:pStyle w:val="ListParagraph"/>
        <w:numPr>
          <w:ilvl w:val="0"/>
          <w:numId w:val="3"/>
        </w:numPr>
        <w:spacing w:after="100" w:line="276"/>
      </w:pPr>
      <w:r>
        <w:t xml:space="preserve">The FPGA Enforcement Layer — the hardware-level kill-switch architecture (Part VI, Entry 38)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UDOC's capstone-level backend is deployed and operational, demonstrating the governance-gate architecture end to end; the constitutional and cryptographic design (EVA, StayChain, the FSM) is fully specified and patent-drafted.</w:t>
            </w:r>
          </w:p>
          <w:p>
            <w:pPr>
              <w:spacing w:after="60"/>
            </w:pPr>
            <w:r>
              <w:rPr>
                <w:b/>
                <w:bCs/>
              </w:rPr>
              <w:t xml:space="preserve">Designed / production-specified, not yet built:  </w:t>
            </w:r>
            <w:r>
              <w:t xml:space="preserve">The full hardware-enforced stack (FPGA kill-switches, HSM key custody, quantum-layer components) is specified to patent-claim depth but not yet manufactured or deployed; no commercial clients are currently engaged.</w:t>
            </w:r>
          </w:p>
          <w:p>
            <w:pPr>
              <w:spacing w:after="0"/>
            </w:pPr>
            <w:r>
              <w:rPr>
                <w:b/>
                <w:bCs/>
              </w:rPr>
              <w:t xml:space="preserve">Aspirational / long-horizon:  </w:t>
            </w:r>
            <w:r>
              <w:t xml:space="preserve">UDOC operating as national governance infrastructure for South Africa or SADC governments, and the post-quantum cryptographic migration (Phase 2+), are multi-year targets tied to Series A and government contract triggers.</w:t>
            </w:r>
          </w:p>
        </w:tc>
      </w:tr>
    </w:tbl>
    <w:p>
      <w:pPr>
        <w:spacing w:after="160" w:line="276"/>
        <w:jc w:val="left"/>
      </w:pPr>
      <w:r>
        <w:rPr>
          <w:i/>
          <w:iCs/>
        </w:rPr>
        <w:t xml:space="preserve">Canonical source: </w:t>
      </w:r>
      <w:r>
        <w:t xml:space="preserve">e-10, EVA Whitepaper; e-15, UDOC Full Technical Whitepaper; e-19, UDOC Pitch Deck v9.3; GBS-SETHS Consolidated Super Framework, Document 00, Part IV.</w:t>
      </w:r>
    </w:p>
    <w:p>
      <w:pPr>
        <w:pStyle w:val="Heading1"/>
      </w:pPr>
      <w:r>
        <w:t xml:space="preserve">15. M.A.D.I.B.A.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M.A.D.I.B.A. is G.O.D.S.'s capital architecture and sovereign-interface division — the mechanism that translates S.E.T.H.S., T.S. Industries, and UDOC's audited operational proof into institutional capital, then recycles that capital back into the loop.</w:t>
            </w:r>
          </w:p>
          <w:p>
            <w:pPr>
              <w:spacing w:after="160" w:line="276"/>
              <w:jc w:val="left"/>
            </w:pPr>
            <w:r>
              <w:rPr>
                <w:b/>
                <w:bCs/>
              </w:rPr>
              <w:t xml:space="preserve">Full Name. </w:t>
            </w:r>
            <w:r>
              <w:t xml:space="preserve">My African Dream Is Being Achieved.</w:t>
            </w:r>
          </w:p>
        </w:tc>
      </w:tr>
    </w:tbl>
    <w:p>
      <w:pPr>
        <w:spacing w:after="160" w:line="276"/>
        <w:jc w:val="left"/>
      </w:pPr>
      <w:r>
        <w:rPr>
          <w:b/>
          <w:bCs/>
        </w:rPr>
        <w:t xml:space="preserve">Position in the Architecture. </w:t>
      </w:r>
      <w:r>
        <w:t xml:space="preserve">The fourth and capital-closing stage of the loop. M.A.D.I.B.A. activates only after proof exists elsewhere in the system — it does not raise capital on vision, it raises capital on documented track record, which the founder's own materials describe as a structurally stronger fundraising position than any pure development-finance model.</w:t>
      </w:r>
    </w:p>
    <w:p>
      <w:pPr>
        <w:pStyle w:val="Heading3"/>
      </w:pPr>
      <w:r>
        <w:t xml:space="preserve">The Three-Vehicle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160"/>
        <w:gridCol w:w="240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Vehicle</w:t>
            </w:r>
          </w:p>
        </w:tc>
        <w:tc>
          <w:tcPr>
            <w:tcW w:type="dxa" w:w="4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Structure</w:t>
            </w:r>
          </w:p>
        </w:tc>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Purpose</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 The G.O.D.S Infrastructure Fund</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Closed-end private equity/infrastructure fund. Target R2 billion (Stage One) scaling to R10 billion (Stage Two). South Africa-domiciled partnership, M.A.D.I.B.A. as General Partner.</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Pools institutional capital for deployment into T.S. Industries infrastructure projects across South Africa and SADC.</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 Project SPVs</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Separate legal entities per project above R50 million, co-owned by T.S. Industries, the Infrastructure Fund, and project-specific government or private co-investors.</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Bankable, ring-fenced structures for individual large infrastructure projects.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 Sovereign Advisory Services</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Fee-based professional services (R2M–R20M per mandate, plus annual retainers) — does not require fund capital.</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transition, infrastructure finance, workforce transition, and SPV-structuring advisory to SADC governments and DFIs.</w:t>
            </w:r>
          </w:p>
        </w:tc>
      </w:tr>
    </w:tbl>
    <w:p>
      <w:pPr>
        <w:spacing w:after="160" w:line="276"/>
        <w:jc w:val="left"/>
      </w:pPr>
      <w:r>
        <w:rPr>
          <w:b/>
          <w:bCs/>
        </w:rPr>
        <w:t xml:space="preserve">The Sovereign Credibility Stack. </w:t>
      </w:r>
      <w:r>
        <w:t xml:space="preserve">M.A.D.I.B.A.'s distinctive, hard-to-replicate capability is the combination of UDOC's independently auditable governance data, S.E.T.H.S.'s documented workforce outcomes, the G.O.D.S. constitutional framework's structural constraints, and T.S. Industries' physically completed projects — together, a credibility stack a conventional fund manager cannot assemble, because a conventional fund arrives with a pitch deck and M.A.D.I.B.A. arrives with a functioning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three-vehicle structure and the sovereign credibility stack logic are fully specified and consistent in the M.A.D.I.B.A. Capital Strategy document.</w:t>
            </w:r>
          </w:p>
          <w:p>
            <w:pPr>
              <w:spacing w:after="60"/>
            </w:pPr>
            <w:r>
              <w:rPr>
                <w:b/>
                <w:bCs/>
              </w:rPr>
              <w:t xml:space="preserve">Designed / production-specified, not yet built:  </w:t>
            </w:r>
            <w:r>
              <w:t xml:space="preserve">None of the three vehicles has closed a raise or deployed capital — M.A.D.I.B.A. is designed to activate once S.E.T.H.S./T.S./UDOC proof exists, which is itself pending seed capital and pilot operation.</w:t>
            </w:r>
          </w:p>
          <w:p>
            <w:pPr>
              <w:spacing w:after="0"/>
            </w:pPr>
            <w:r>
              <w:rPr>
                <w:b/>
                <w:bCs/>
              </w:rPr>
              <w:t xml:space="preserve">Aspirational / long-horizon:  </w:t>
            </w:r>
            <w:r>
              <w:t xml:space="preserve">The Stage Two R10 billion Infrastructure Fund close, and M.A.D.I.B.A.'s positioning as a peer-level sovereign counterparty across multiple African governments, per the named priority-partner list (South Africa, Rwanda, Ghana, Kenya, Nigeria, AfDB).</w:t>
            </w:r>
          </w:p>
        </w:tc>
      </w:tr>
    </w:tbl>
    <w:p>
      <w:pPr>
        <w:spacing w:after="160" w:line="276"/>
        <w:jc w:val="left"/>
      </w:pPr>
      <w:r>
        <w:rPr>
          <w:i/>
          <w:iCs/>
        </w:rPr>
        <w:t xml:space="preserve">Canonical source: </w:t>
      </w:r>
      <w:r>
        <w:t xml:space="preserve">c-07, M.A.D.I.B.A. Capital Strategy; GBS-SETHS Consolidated Super Framework, Document 00, Part V.</w:t>
      </w:r>
    </w:p>
    <w:p>
      <w:pPr>
        <w:spacing w:after="60" w:before="200"/>
      </w:pPr>
      <w:r>
        <w:rPr>
          <w:b/>
          <w:bCs/>
          <w:color w:val="8C7330"/>
          <w:sz w:val="22"/>
          <w:szCs w:val="22"/>
        </w:rPr>
        <w:t xml:space="preserve">PART IV</w:t>
      </w:r>
    </w:p>
    <w:p>
      <w:pPr>
        <w:spacing w:after="300"/>
      </w:pPr>
      <w:r>
        <w:rPr>
          <w:b/>
          <w:bCs/>
          <w:color w:val="16233A"/>
          <w:sz w:val="26"/>
          <w:szCs w:val="26"/>
        </w:rPr>
        <w:t xml:space="preserve">THE GBS METHODOLOGY LAYER</w:t>
      </w:r>
    </w:p>
    <w:p>
      <w:pPr>
        <w:pStyle w:val="Heading1"/>
      </w:pPr>
      <w:r>
        <w:t xml:space="preserve">16. The Seven GBS Universal Pillars</w:t>
      </w:r>
    </w:p>
    <w:p>
      <w:pPr>
        <w:spacing w:after="160" w:line="276"/>
        <w:jc w:val="left"/>
      </w:pPr>
      <w:r>
        <w:t xml:space="preserve">GBS's civilisational-level values — distinct from the Twelve Constitutional Pillars (which govern G.O.D.S. as an institution) and the Five S.E.T.H.S. Foundational Pillars (which govern S.E.T.H.S. specifically).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1900"/>
        <w:gridCol w:w="6360"/>
      </w:tblGrid>
      <w:tr>
        <w:trPr>
          <w:tblHeader/>
        </w:trPr>
        <w:tc>
          <w:tcPr>
            <w:tcW w:type="dxa" w:w="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t>
            </w:r>
          </w:p>
        </w:tc>
        <w:tc>
          <w:tcPr>
            <w:tcW w:type="dxa" w:w="1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6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Definition</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Value</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individual possesses productive potential that can be developed and transferred into contribution, regardless of prior circumstances.</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Continuous Education</w:t>
            </w:r>
          </w:p>
        </w:tc>
        <w:tc>
          <w:tcPr>
            <w:tcW w:type="dxa" w:w="6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Learning never ends; a qualification is a milestone, not a destination.</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Capability Transfer</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Knowledge that stays with one person has not yet fulfilled its function.</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Economic Participation</w:t>
            </w:r>
          </w:p>
        </w:tc>
        <w:tc>
          <w:tcPr>
            <w:tcW w:type="dxa" w:w="6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Exclusion from formal economic participation is a systemic design flaw, not a personal failure.</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Technological Adaptation</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Technology, including AI, is a tool for human acceleration, not a replacement for human value.</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6</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Sustainability</w:t>
            </w:r>
          </w:p>
        </w:tc>
        <w:tc>
          <w:tcPr>
            <w:tcW w:type="dxa" w:w="6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Systems that consume more than they regenerate cannot serve a 250-year mandate.</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7</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Generational Continuity</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measure of a human-development system is what the grandchildren of its first cohort inherit.</w:t>
            </w:r>
          </w:p>
        </w:tc>
      </w:tr>
    </w:tbl>
    <w:p>
      <w:pPr>
        <w:pStyle w:val="Heading1"/>
      </w:pPr>
      <w:r>
        <w:t xml:space="preserve">17. The Five S.E.T.H.S. Foundational Pillars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6860"/>
      </w:tblGrid>
      <w:tr>
        <w:trPr>
          <w:tblHeader/>
        </w:trPr>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68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Definition</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Honesty</w:t>
            </w:r>
          </w:p>
        </w:tc>
        <w:tc>
          <w:tcPr>
            <w:tcW w:type="dxa" w:w="6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non-negotiable foundation — honesty with self, employer, case manager, and system.</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Tolerance</w:t>
            </w:r>
          </w:p>
        </w:tc>
        <w:tc>
          <w:tcPr>
            <w:tcW w:type="dxa" w:w="6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participant's belief system, background, and starting point is a beginning, never a disqualifier.</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Belief Systems</w:t>
            </w:r>
          </w:p>
        </w:tc>
        <w:tc>
          <w:tcPr>
            <w:tcW w:type="dxa" w:w="6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general belief system built on what connects humanity, not what divides it — no religious affiliation, respects all.</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Equality</w:t>
            </w:r>
          </w:p>
        </w:tc>
        <w:tc>
          <w:tcPr>
            <w:tcW w:type="dxa" w:w="6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Structured equality in process produces measurable equality in outcome.</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Pride</w:t>
            </w:r>
          </w:p>
        </w:tc>
        <w:tc>
          <w:tcPr>
            <w:tcW w:type="dxa" w:w="6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state in which a graduate becomes a mentor — the system's self-replication engine.</w:t>
            </w:r>
          </w:p>
        </w:tc>
      </w:tr>
    </w:tbl>
    <w:p>
      <w:pPr>
        <w:pStyle w:val="Heading1"/>
      </w:pPr>
      <w:r>
        <w:t xml:space="preserve">18. The Five GBS-SETHS Methodology Pillars</w:t>
      </w:r>
    </w:p>
    <w:p>
      <w:pPr>
        <w:spacing w:after="160" w:line="276"/>
        <w:jc w:val="left"/>
      </w:pPr>
      <w:r>
        <w:t xml:space="preserve">Together spelling C-E-T-H-S — the operational delivery dimensions, distinct from (though related to) the CET/CTE loop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2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6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Domain</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 — Communication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Language, expression, advocacy, AI literacy</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 — Education</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Technical skills, certification, career pathways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 — Transportation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Physical, digital, and opportunity access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 — Human Capital</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Identity, professionalism, entrepreneurship, finance</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 — Sustainability</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Alumni, mentorship, re-entry, lifelong learning</w:t>
            </w:r>
          </w:p>
        </w:tc>
      </w:tr>
    </w:tbl>
    <w:p>
      <w:pPr>
        <w:pStyle w:val="Heading1"/>
      </w:pPr>
      <w:r>
        <w:t xml:space="preserve">19. CET/CTE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core knowledge-transfer methodology underlying S.E.T.H.S. — a continuous loop in which a facilitator Communicates knowledge, Educates it into capability, and Transfers it into employment (CET), after which the graduate Carries that capability into the world, Transfers it to the next learner, and Evolves it through real-world application (CTE), repeating indefinitely.</w:t>
            </w:r>
          </w:p>
        </w:tc>
      </w:tr>
    </w:tbl>
    <w:p>
      <w:pPr>
        <w:spacing w:after="160" w:line="276"/>
        <w:jc w:val="left"/>
      </w:pPr>
      <w:r>
        <w:rPr>
          <w:b/>
          <w:bCs/>
        </w:rPr>
        <w:t xml:space="preserve">Origin. </w:t>
      </w:r>
      <w:r>
        <w:t xml:space="preserve">First articulated in the founder's own published memoir, under the title "The Theory of Exposure," and operationalised as a nine-stage participant journey: Stabilisation, CET-Communicate, CET-Educate, CET-Transfer, Assessment, Deployment, Employment, Mentorship, and Phase 6 ("the door never closes") — a permanent, no-time-limit re-entry guarantee for any alumnus, at any point in their life.</w:t>
      </w:r>
    </w:p>
    <w:p>
      <w:pPr>
        <w:spacing w:after="160" w:line="276"/>
        <w:jc w:val="left"/>
      </w:pPr>
      <w:r>
        <w:rPr>
          <w:i/>
          <w:iCs/>
        </w:rPr>
        <w:t xml:space="preserve">Canonical source: </w:t>
      </w:r>
      <w:r>
        <w:t xml:space="preserve">GBS-SETHS Consolidated Super Framework, Document 00, Part III §9; Pilot Operations Manual (Document 02).</w:t>
      </w:r>
    </w:p>
    <w:p>
      <w:pPr>
        <w:pStyle w:val="Heading1"/>
      </w:pPr>
      <w:r>
        <w:t xml:space="preserve">20. The Skills Passport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A UDOC-issued, GIS-verified, lifetime, participant-owned credential record — every qualification, certification, and AI Readiness Score a participant earns, verifiable by any employer or institution without exposing the underlying assessment data.</w:t>
            </w:r>
          </w:p>
        </w:tc>
      </w:tr>
    </w:tbl>
    <w:p>
      <w:pPr>
        <w:pStyle w:val="ListParagraph"/>
        <w:numPr>
          <w:ilvl w:val="0"/>
          <w:numId w:val="3"/>
        </w:numPr>
        <w:spacing w:after="100" w:line="276"/>
      </w:pPr>
      <w:r>
        <w:t xml:space="preserve">Owned by the participant, never by the issuing node, employer, or National GBS Authority</w:t>
      </w:r>
    </w:p>
    <w:p>
      <w:pPr>
        <w:pStyle w:val="ListParagraph"/>
        <w:numPr>
          <w:ilvl w:val="0"/>
          <w:numId w:val="3"/>
        </w:numPr>
        <w:spacing w:after="100" w:line="276"/>
      </w:pPr>
      <w:r>
        <w:t xml:space="preserve">No credential is ever deleted — corrections happen via an amendment record, the history stays visible</w:t>
      </w:r>
    </w:p>
    <w:p>
      <w:pPr>
        <w:pStyle w:val="ListParagraph"/>
        <w:numPr>
          <w:ilvl w:val="0"/>
          <w:numId w:val="3"/>
        </w:numPr>
        <w:spacing w:after="100" w:line="276"/>
      </w:pPr>
      <w:r>
        <w:t xml:space="preserve">Portable across every node in the GBS franchise network, present and future</w:t>
      </w:r>
    </w:p>
    <w:p>
      <w:pPr>
        <w:spacing w:after="160" w:line="276"/>
        <w:jc w:val="left"/>
      </w:pPr>
      <w:r>
        <w:rPr>
          <w:i/>
          <w:iCs/>
        </w:rPr>
        <w:t xml:space="preserve">Canonical source: </w:t>
      </w:r>
      <w:r>
        <w:t xml:space="preserve">Skills Passport Technical Standard (Document 04).</w:t>
      </w:r>
    </w:p>
    <w:p>
      <w:pPr>
        <w:pStyle w:val="Heading1"/>
      </w:pPr>
      <w:r>
        <w:t xml:space="preserve">21. Certification Tiers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060"/>
      </w:tblGrid>
      <w:tr>
        <w:trPr>
          <w:tblHeader/>
        </w:trPr>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Tier</w:t>
            </w:r>
          </w:p>
        </w:tc>
        <w:tc>
          <w:tcPr>
            <w:tcW w:type="dxa" w:w="7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Trigger</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Bronze</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Completion of Phases 1–2 — core transferable and digital-literacy skills</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Silver</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Employer-readiness assessment passed</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Gold</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90-day verified employment outcome — the primary credential</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Platinum</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Completion of the alumni peer-mentor pathway</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Specialist</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Stream-specific trade certification (Construction, Digital, Agriculture, Community Health)</w:t>
            </w:r>
          </w:p>
        </w:tc>
      </w:tr>
    </w:tbl>
    <w:p>
      <w:pPr>
        <w:pStyle w:val="Heading1"/>
      </w:pPr>
      <w:r>
        <w:t xml:space="preserve">22. The Four Target Cohorts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06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Cohort</w:t>
            </w:r>
          </w:p>
        </w:tc>
        <w:tc>
          <w:tcPr>
            <w:tcW w:type="dxa" w:w="6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Population</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 — Reintegration (original)</w:t>
            </w:r>
          </w:p>
        </w:tc>
        <w:tc>
          <w:tcPr>
            <w:tcW w:type="dxa" w:w="6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Justice-system leavers, substance recovery, long-term marginalisation</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 — AI Displacement</w:t>
            </w:r>
          </w:p>
        </w:tc>
        <w:tc>
          <w:tcPr>
            <w:tcW w:type="dxa" w:w="6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Workers displaced by automation and AI</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 — Workforce Evolution</w:t>
            </w:r>
          </w:p>
        </w:tc>
        <w:tc>
          <w:tcPr>
            <w:tcW w:type="dxa" w:w="6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Employed workers needing AI-adaptation skills</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 — Future Workforce</w:t>
            </w:r>
          </w:p>
        </w:tc>
        <w:tc>
          <w:tcPr>
            <w:tcW w:type="dxa" w:w="6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Students and graduates entering a labour market their training didn't anticipate</w:t>
            </w:r>
          </w:p>
        </w:tc>
      </w:tr>
    </w:tbl>
    <w:p>
      <w:pPr>
        <w:pStyle w:val="Heading1"/>
      </w:pPr>
      <w:r>
        <w:t xml:space="preserve">23. The Self-Affirmation Contract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A personal commitment every participant makes to themselves at intake, witnessed by a case manager — not a document of obligation, and never used as leverage. Three questions: What do you want to change about your life? Why now? What does the person you are becoming look like?</w:t>
            </w:r>
          </w:p>
        </w:tc>
      </w:tr>
    </w:tbl>
    <w:p>
      <w:pPr>
        <w:spacing w:after="60" w:before="200"/>
      </w:pPr>
      <w:r>
        <w:rPr>
          <w:b/>
          <w:bCs/>
          <w:color w:val="8C7330"/>
          <w:sz w:val="22"/>
          <w:szCs w:val="22"/>
        </w:rPr>
        <w:t xml:space="preserve">PART V</w:t>
      </w:r>
    </w:p>
    <w:p>
      <w:pPr>
        <w:spacing w:after="300"/>
      </w:pPr>
      <w:r>
        <w:rPr>
          <w:b/>
          <w:bCs/>
          <w:color w:val="16233A"/>
          <w:sz w:val="26"/>
          <w:szCs w:val="26"/>
        </w:rPr>
        <w:t xml:space="preserve">THE GOVERNANCE &amp; FRANCHISE LAYER</w:t>
      </w:r>
    </w:p>
    <w:p>
      <w:pPr>
        <w:pStyle w:val="Heading1"/>
      </w:pPr>
      <w:r>
        <w:t xml:space="preserve">24. The Five-Layer Franchise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3200"/>
        <w:gridCol w:w="5060"/>
      </w:tblGrid>
      <w:tr>
        <w:trPr>
          <w:tblHeader/>
        </w:trPr>
        <w:tc>
          <w:tcPr>
            <w:tcW w:type="dxa" w:w="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Layer</w:t>
            </w:r>
          </w:p>
        </w:tc>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Entity</w:t>
            </w:r>
          </w:p>
        </w:tc>
        <w:tc>
          <w:tcPr>
            <w:tcW w:type="dxa" w:w="5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Role</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Global (G.O.D.S Holdings)</w:t>
            </w:r>
          </w:p>
        </w:tc>
        <w:tc>
          <w:tcPr>
            <w:tcW w:type="dxa" w:w="5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IP owner, constitutional authority, methodology custodian</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GBS Authority</w:t>
            </w:r>
          </w:p>
        </w:tc>
        <w:tc>
          <w:tcPr>
            <w:tcW w:type="dxa" w:w="5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Country-level licensed operator</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Regional GBS Authority</w:t>
            </w:r>
          </w:p>
        </w:tc>
        <w:tc>
          <w:tcPr>
            <w:tcW w:type="dxa" w:w="5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Province/metro operational entity, sub-licensed from Layer 2</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S.E.T.H.S. Delivery Operators</w:t>
            </w:r>
          </w:p>
        </w:tc>
        <w:tc>
          <w:tcPr>
            <w:tcW w:type="dxa" w:w="5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Accredited training providers licensed to deliver, not own, the methodology</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Certified Employer Ecosystems</w:t>
            </w:r>
          </w:p>
        </w:tc>
        <w:tc>
          <w:tcPr>
            <w:tcW w:type="dxa" w:w="5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 partners bound by the Absorption Commitment Clause — not licence holders</w:t>
            </w:r>
          </w:p>
        </w:tc>
      </w:tr>
    </w:tbl>
    <w:p>
      <w:pPr>
        <w:spacing w:after="160" w:line="276"/>
        <w:jc w:val="left"/>
      </w:pPr>
      <w:r>
        <w:rPr>
          <w:b/>
          <w:bCs/>
        </w:rPr>
        <w:t xml:space="preserve">The 20/80 rule. </w:t>
      </w:r>
      <w:r>
        <w:t xml:space="preserve">80% of the standard — the Foundational Pillars, CET/CTE, UDOC governance, the Phase 6 guarantee — never moves. 20% — language, local accreditation, cultural adaptation — is licensed to adapt per territory.</w:t>
      </w:r>
    </w:p>
    <w:p>
      <w:pPr>
        <w:spacing w:after="160" w:line="276"/>
        <w:jc w:val="left"/>
      </w:pPr>
      <w:r>
        <w:rPr>
          <w:i/>
          <w:iCs/>
        </w:rPr>
        <w:t xml:space="preserve">Canonical source: </w:t>
      </w:r>
      <w:r>
        <w:t xml:space="preserve">Franchise Licensing Handbook (Document 03).</w:t>
      </w:r>
    </w:p>
    <w:p>
      <w:pPr>
        <w:pStyle w:val="Heading1"/>
      </w:pPr>
      <w:r>
        <w:t xml:space="preserve">25. The Absorption Commitment Clause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Non-negotiable in every employer partnership agreement.</w:t>
            </w:r>
          </w:p>
          <w:p>
            <w:pPr>
              <w:spacing w:after="160" w:line="276"/>
              <w:jc w:val="left"/>
            </w:pPr>
            <w:r>
              <w:t xml:space="preserve">An employer participating as a B-BBEE skills-development host commits to a documented interview and a written decision letter within 30 days of a participant's programme completion. It does not guarantee employment — it guarantees the participant is formally, verifiably considered, closing the learnership-credit-extraction gap the founder's own lived experience with the Terraco/Progression learnership model identified.</w:t>
            </w:r>
          </w:p>
        </w:tc>
      </w:tr>
    </w:tbl>
    <w:p>
      <w:pPr>
        <w:spacing w:after="160" w:line="276"/>
        <w:jc w:val="left"/>
      </w:pPr>
      <w:r>
        <w:rPr>
          <w:i/>
          <w:iCs/>
        </w:rPr>
        <w:t xml:space="preserve">Canonical source: </w:t>
      </w:r>
      <w:r>
        <w:t xml:space="preserve">GBS-SETHS Consolidated Super Framework, Document 00 §6.3; Employer Acquisition Framework (Document 05).</w:t>
      </w:r>
    </w:p>
    <w:p>
      <w:pPr>
        <w:pStyle w:val="Heading1"/>
      </w:pPr>
      <w:r>
        <w:t xml:space="preserve">26. Continental Deployment — The Seven Regions</w:t>
      </w:r>
    </w:p>
    <w:p>
      <w:pPr>
        <w:spacing w:after="160" w:line="276"/>
        <w:jc w:val="left"/>
      </w:pPr>
      <w:r>
        <w:t xml:space="preserve">GBS's end-state regional architecture, reached through the five-phase near-term entry sequence (South Africa → SADC → East Africa → BRICS-adjacent → Global English markets).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5860"/>
      </w:tblGrid>
      <w:tr>
        <w:trPr>
          <w:tblHeader/>
        </w:trPr>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Region</w:t>
            </w:r>
          </w:p>
        </w:tc>
        <w:tc>
          <w:tcPr>
            <w:tcW w:type="dxa" w:w="58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Primary Deployment Challenge</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Africa (SA, SADC, East Africa)</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Youth unemployment crisis; NEET population; AI displacement of entry-level roles</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Europe (UK, Germany, Netherlands)</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displacement of white-collar roles; aging workforce; migration integration</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North America (USA, Canada)</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Automation-driven workforce transition; trade-skills shortage; veterans reintegration</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Asia (India, Southeast Asia)</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Mass capability-development need; digital economy growth</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Middle East (UAE, Saudi Arabia, Qatar)</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Economic diversification; localisation mandates; AI readiness agenda</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Latin America (Brazil, Colombia, Mexico)</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Economic mobility; informal-economy formalisation</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Oceania (Australia, Pacific Islands)</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Remote community development; indigenous economic participation</w:t>
            </w:r>
          </w:p>
        </w:tc>
      </w:tr>
    </w:tbl>
    <w:p>
      <w:pPr>
        <w:spacing w:after="160" w:line="276"/>
        <w:jc w:val="left"/>
      </w:pPr>
      <w:r>
        <w:rPr>
          <w:i/>
          <w:iCs/>
        </w:rPr>
        <w:t xml:space="preserve">Canonical source: </w:t>
      </w:r>
      <w:r>
        <w:t xml:space="preserve">GBS-SETHS Consolidated Super Framework, Document 00, Part VI.</w:t>
      </w:r>
    </w:p>
    <w:p>
      <w:pPr>
        <w:pStyle w:val="Heading1"/>
      </w:pPr>
      <w:r>
        <w:t xml:space="preserve">27. The 250-Year Strategic Roadmap</w:t>
      </w:r>
    </w:p>
    <w:p>
      <w:pPr>
        <w:spacing w:after="160" w:line="276"/>
        <w:jc w:val="left"/>
      </w:pPr>
      <w:r>
        <w:t xml:space="preserve">Not a survival guarantee — a planning discipline. Systems designed for 250 years make different architectural choices than systems designed for five, which is why the constitutional IP Trust, the COB's founder-removal authority, and the Phase 6 lifetime guarantee are engineering decisions, not marketing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2600"/>
        <w:gridCol w:w="5760"/>
      </w:tblGrid>
      <w:tr>
        <w:trPr>
          <w:tblHeader/>
        </w:trPr>
        <w:tc>
          <w:tcPr>
            <w:tcW w:type="dxa" w:w="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Phase</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Timeline</w:t>
            </w:r>
          </w:p>
        </w:tc>
        <w:tc>
          <w:tcPr>
            <w:tcW w:type="dxa" w:w="5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0–25 years (2026–2051)</w:t>
            </w:r>
          </w:p>
        </w:tc>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Foundation — prove the model, establish credibility, secure the constitutional base</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25–50 years (2051–2076)</w:t>
            </w:r>
          </w:p>
        </w:tc>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Expansion — scale globally, activate the peer-mentor replication engine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50–100 years (2076–2126)</w:t>
            </w:r>
          </w:p>
        </w:tc>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Institutionalisation — embed into national policy frameworks in 10+ countries</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100–150 years (2126–2176)</w:t>
            </w:r>
          </w:p>
        </w:tc>
        <w:tc>
          <w:tcPr>
            <w:tcW w:type="dxa" w:w="5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Global Integration — universal adoption, Skills Passport recognised across 50+ borders</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150–250 years (2176–2276)</w:t>
            </w:r>
          </w:p>
        </w:tc>
        <w:tc>
          <w:tcPr>
            <w:tcW w:type="dxa" w:w="5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Civilisational Continuity — as unremarkable and essential as roads, schools, and hospitals</w:t>
            </w:r>
          </w:p>
        </w:tc>
      </w:tr>
    </w:tbl>
    <w:p>
      <w:pPr>
        <w:spacing w:after="160" w:line="276"/>
        <w:jc w:val="left"/>
      </w:pPr>
      <w:r>
        <w:rPr>
          <w:i/>
          <w:iCs/>
        </w:rPr>
        <w:t xml:space="preserve">Canonical source: </w:t>
      </w:r>
      <w:r>
        <w:t xml:space="preserve">GBS-SETHS Consolidated Super Framework, Document 00, Part VIII.</w:t>
      </w:r>
    </w:p>
    <w:p>
      <w:pPr>
        <w:pStyle w:val="Heading1"/>
      </w:pPr>
      <w:r>
        <w:t xml:space="preserve">28. Document Classification &amp; Brand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360"/>
      </w:tblGrid>
      <w:tr>
        <w:trPr>
          <w:tblHeader/>
        </w:trPr>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Classification</w:t>
            </w:r>
          </w:p>
        </w:tc>
        <w:tc>
          <w:tcPr>
            <w:tcW w:type="dxa" w:w="7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Meaning</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OPEN</w:t>
            </w:r>
          </w:p>
        </w:tc>
        <w:tc>
          <w:tcPr>
            <w:tcW w:type="dxa" w:w="7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Institutional adoption invitation — safe for unrestricted external distribution</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INSTITUTIONAL</w:t>
            </w:r>
          </w:p>
        </w:tc>
        <w:tc>
          <w:tcPr>
            <w:tcW w:type="dxa" w:w="7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External distribution appropriate with a cover letter or context</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CONFIDENTIAL</w:t>
            </w:r>
          </w:p>
        </w:tc>
        <w:tc>
          <w:tcPr>
            <w:tcW w:type="dxa" w:w="7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Distribute only under NDA — financial, risk, or commercially sensitive detail</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RESTRICTED</w:t>
            </w:r>
          </w:p>
        </w:tc>
        <w:tc>
          <w:tcPr>
            <w:tcW w:type="dxa" w:w="7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Governance-sensitive — COB and Trustee distribution only</w:t>
            </w:r>
          </w:p>
        </w:tc>
      </w:tr>
    </w:tbl>
    <w:p>
      <w:pPr>
        <w:spacing w:after="160" w:line="276"/>
        <w:jc w:val="left"/>
      </w:pPr>
      <w:r>
        <w:rPr>
          <w:b/>
          <w:bCs/>
        </w:rPr>
        <w:t xml:space="preserve">Brand standard: </w:t>
      </w:r>
      <w:r>
        <w:t xml:space="preserve">navy (#060E1C) and gold (#C9A84C), Arial typography, a compass-and-shield mark (trademark pending, to become registered on confirmation) — applied consistently across every institutional document, including this canon.</w:t>
      </w:r>
    </w:p>
    <w:p>
      <w:pPr>
        <w:pStyle w:val="Heading1"/>
      </w:pPr>
      <w:r>
        <w:t xml:space="preserve">29. Government &amp; DFI Relations</w:t>
      </w:r>
    </w:p>
    <w:p>
      <w:pPr>
        <w:spacing w:after="160" w:line="276"/>
        <w:jc w:val="left"/>
      </w:pPr>
      <w:r>
        <w:t xml:space="preserve">The specific institutional relationships each division's revenue and credibility model depends on — reference points, not yet executed agreements unless stated otherwise.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5860"/>
      </w:tblGrid>
      <w:tr>
        <w:trPr>
          <w:tblHeader/>
        </w:trPr>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Counterparty</w:t>
            </w:r>
          </w:p>
        </w:tc>
        <w:tc>
          <w:tcPr>
            <w:tcW w:type="dxa" w:w="58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Relevance</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SETA (Sector Education and Training Authority)</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Outcomes-based government funding source for S.E.T.H.S.</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EPWP (Expanded Public Works Programme)</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 South African public-works funding mechanism relevant to S.E.T.H.S. revenue</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DBSA (Development Bank of Southern Africa)</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Named DFI counterparty for M.A.D.I.B.A.; source of Ifisa, a blended-finance instrument relevant to T.S. Industries funding</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IDC (Industrial Development Corporation)</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Named DFI counterparty; South African industrial-development funder</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AfDB / IFC / PIC</w:t>
            </w:r>
          </w:p>
        </w:tc>
        <w:tc>
          <w:tcPr>
            <w:tcW w:type="dxa" w:w="5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Named DFI/institutional counterparties for M.A.D.I.B.A.'s Infrastructure Fund</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City of Johannesburg</w:t>
            </w:r>
          </w:p>
        </w:tc>
        <w:tc>
          <w:tcPr>
            <w:tcW w:type="dxa" w:w="5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Named local-government relationship supporting the S.E.T.H.S. pilot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Independent third-party validation, not a G.O.D.S. claim.</w:t>
            </w:r>
          </w:p>
          <w:p>
            <w:pPr>
              <w:spacing w:after="160" w:line="276"/>
              <w:jc w:val="left"/>
            </w:pPr>
            <w:r>
              <w:t xml:space="preserve">The Public Investment Corporation — Africa's largest asset manager — published research in April 2026 proposing exactly the TVET-as-investable-infrastructure model S.E.T.H.S./M.A.D.I.B.A. already implements, without referencing G.O.D.S. This arrived independently and remains the strongest external validation the thesis currently has.</w:t>
            </w:r>
          </w:p>
        </w:tc>
      </w:tr>
    </w:tbl>
    <w:p>
      <w:pPr>
        <w:pStyle w:val="Heading1"/>
      </w:pPr>
      <w:r>
        <w:t xml:space="preserve">30. Where Everything Else Lives — A Document Map</w:t>
      </w:r>
    </w:p>
    <w:p>
      <w:pPr>
        <w:spacing w:after="160" w:line="276"/>
        <w:jc w:val="left"/>
      </w:pPr>
      <w:r>
        <w:t xml:space="preserve">This canon defines terms; it does not replace the documents that specify them operationally. The map below is the fastest way to find the fuller treatment of anything summarised in this canon.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00"/>
        <w:gridCol w:w="4660"/>
      </w:tblGrid>
      <w:tr>
        <w:trPr>
          <w:tblHeader/>
        </w:trPr>
        <w:tc>
          <w:tcPr>
            <w:tcW w:type="dxa" w:w="4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If you need...</w:t>
            </w:r>
          </w:p>
        </w:tc>
        <w:tc>
          <w:tcPr>
            <w:tcW w:type="dxa" w:w="46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Go to...</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full merged institutional framework (all divisions, all pillars, the complete architecture)</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GBS-SETHS Consolidated Super Framework (Document 00)</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 authority, governance structure, amendment process</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Institutional Constitution (Document 01)</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How to launch and run a pilot node day to day</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Pilot Operations Manual (Document 02)</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Licensing terms for National/Regional/Delivery Operator franchise tiers</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Franchise Licensing Handbook (Document 03)</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Skills Passport data model and verification API</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Skills Passport Technical Standard (Document 04)</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sourcing, MOUs, and the Absorption Commitment Clause in practice</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Acquisition Framework (Document 05)</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GIS's full architecture, including the geospatial/node-monitoring module</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GIS Architecture Specification (Document 06)</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Revenue, cost, and capital modelling with a working spreadsheet</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Financial Model Workbook (Document 07 + .xlsx)</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Node-level operational risk and the incident-response ladder</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Risk &amp; Failure Framework (Document 08)</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POPIA, accreditation pathway, and procurement compliance, including the AI-policy correction</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Regulatory Compliance Framework (Document 09)</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succession specifically for GBS-SETHS</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Succession &amp; Continuity Charter (Document 10)</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full legal/constitutional architecture (share classes, entity structure)</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a-02, Constitutional Governance Charter</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COB composition, disqualification, and voting thresholds</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a-13, Oversight Board Charter</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Company-wide founder succession (the master version)</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a-14, Succession &amp; Continuity Charter</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broader constitutional doctrine on AI, AGI, and sovereign control</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a-15, Unified Constitutional Doctrine</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POPIA compliance in full technical/legal depth</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b-05, POPIA Compliance Framework</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company-wide five-year and twenty-five-year financial models</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c-01 / c-05</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M.A.D.I.B.A.'s three-vehicle capital structure in full</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c-07, M.A.D.I.B.A. Capital Strategy</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Industries' seven subsidiaries and SPV model in full</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e-07, T.S. Infrastructure Blueprint</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EVA's complete technical specification</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e-10, EVA Whitepaper</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UDOC's complete technical architecture</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e-15, UDOC Full Technical Whitepaper</w:t>
            </w:r>
          </w:p>
        </w:tc>
      </w:tr>
      <w:tr>
        <w:tc>
          <w:tcPr>
            <w:tcW w:type="dxa" w:w="4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commercial/patent-claim view of the whole UDOC stack</w:t>
            </w:r>
          </w:p>
        </w:tc>
        <w:tc>
          <w:tcPr>
            <w:tcW w:type="dxa" w:w="4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e-19, UDOC Pitch Deck v9.3</w:t>
            </w:r>
          </w:p>
        </w:tc>
      </w:tr>
      <w:tr>
        <w:tc>
          <w:tcPr>
            <w:tcW w:type="dxa" w:w="4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73-document institutional data room as a whole</w:t>
            </w:r>
          </w:p>
        </w:tc>
        <w:tc>
          <w:tcPr>
            <w:tcW w:type="dxa" w:w="4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GODS_DataRoom_Reference.md</w:t>
            </w:r>
          </w:p>
        </w:tc>
      </w:tr>
    </w:tbl>
    <w:p>
      <w:r>
        <w:br w:type="page"/>
      </w:r>
    </w:p>
    <w:p>
      <w:pPr>
        <w:pStyle w:val="Heading1"/>
      </w:pPr>
      <w:r>
        <w:t xml:space="preserve">Quick Reference — Every Acronym, One Line Each</w:t>
      </w:r>
    </w:p>
    <w:p>
      <w:pPr>
        <w:spacing w:after="160" w:line="276"/>
        <w:jc w:val="left"/>
      </w:pPr>
      <w:r>
        <w:t xml:space="preserve">For the moment you need a name and nothing else. Full entries are cross-referenced by Part and number where one exists.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5400"/>
        <w:gridCol w:w="166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Acronym</w:t>
            </w:r>
          </w:p>
        </w:tc>
        <w:tc>
          <w:tcPr>
            <w:tcW w:type="dxa" w:w="5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Full Name</w:t>
            </w:r>
          </w:p>
        </w:tc>
        <w:tc>
          <w:tcPr>
            <w:tcW w:type="dxa" w:w="16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See</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Good Orderly Directional Systems</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I, Entry 1</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Global Belief System</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I, Entry 2</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S.E.T.H.S.</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Systematically Engineered Transfer of Human Systems (canonicalized — see Part VII)</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III, Entry 12</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Technological Sector</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III, Entry 13</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Unified Digital Oversight &amp; Coordination</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III, Entry 14</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M.A.D.I.B.A.</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My African Dream Is Being Achieved</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III, Entry 15</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EVA</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Evaluating Valiant Algorithms</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 Entry 34</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G.O.D.S. Intelligence System</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 Entry 35</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CET/CTE</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Communicate-Educate-Transfer / Carry-Transfer-Evolve</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IV, Entry 19</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 Oversight Board</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II, Entry 10</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HQ-OS</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Hybrid Classical + Quantum Operating System</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 Entry 40</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MFCM</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Function confirmed (47-check compliance engine); full expansion not found in the searched corpus</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 Entry 39</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AEEF</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Function confirmed (sovereign policy orchestration); full expansion not found in the searched corpus</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 Entry 39</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IGA</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Independent external escalation/oversight authority; full expansion not found in the searched corpus</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 Entry 39</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FSM</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Finite State Machine — UDOC's 14-stage deterministic decision pipeline</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 Entry 36</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SVS</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Overloaded in source material — an infrastructure-sovereignty check in one context, the EVA composite score in another (unresolved, see Part VII)</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VII</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NAIFP</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National AI Policy Framework (South Africa, August 2024 — real and standing)</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VIII</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GG54477</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Draft National AI Policy Gazette number (April 2026 — withdrawn)</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VIII</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POPIA</w:t>
            </w:r>
          </w:p>
        </w:tc>
        <w:tc>
          <w:tcPr>
            <w:tcW w:type="dxa" w:w="5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Protection of Personal Information Act 4 of 2013</w:t>
            </w:r>
          </w:p>
        </w:tc>
        <w:tc>
          <w:tcPr>
            <w:tcW w:type="dxa" w:w="1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 VIII</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SAQA</w:t>
            </w:r>
          </w:p>
        </w:tc>
        <w:tc>
          <w:tcPr>
            <w:tcW w:type="dxa" w:w="5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South African Qualifications Authority</w:t>
            </w:r>
          </w:p>
        </w:tc>
        <w:tc>
          <w:tcPr>
            <w:tcW w:type="dxa" w:w="1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 VIII</w:t>
            </w:r>
          </w:p>
        </w:tc>
      </w:tr>
    </w:tbl>
    <w:p>
      <w:pPr>
        <w:pStyle w:val="Heading1"/>
      </w:pPr>
      <w:r>
        <w:t xml:space="preserve">31. The GBS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New synthesis in this version — not drawn verbatim from an existing G.O.D.S. document.</w:t>
            </w:r>
          </w:p>
          <w:p>
            <w:pPr>
              <w:spacing w:after="160" w:line="276"/>
              <w:jc w:val="left"/>
            </w:pPr>
            <w:r>
              <w:t xml:space="preserve">Every other diagram and table in this canon traces to a specific source document. This one doesn't — it's a new organising view, proposed during external review of this canon's first version, that maps the eight activities the other 38 entries already describe onto a single repeating cycle. It's included because it earned its place on the merits (every stage checks out against material already in this canon), not because an outside source suggested it. Treat it as a genuinely new synthesis, open to the founder's revision, not as something that was always implicit and is only now being written down.</w:t>
            </w:r>
          </w:p>
        </w:tc>
      </w:tr>
    </w:tbl>
    <w:p>
      <w:pPr>
        <w:spacing w:after="60" w:before="160"/>
        <w:jc w:val="center"/>
      </w:pPr>
      <w:r>
        <w:drawing>
          <wp:inline distT="0" distB="0" distL="0" distR="0">
            <wp:extent cx="3238500" cy="4629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238500" cy="4629150"/>
                    </a:xfrm>
                    <a:prstGeom prst="rect">
                      <a:avLst/>
                    </a:prstGeom>
                  </pic:spPr>
                </pic:pic>
              </a:graphicData>
            </a:graphic>
          </wp:inline>
        </w:drawing>
      </w:r>
    </w:p>
    <w:p>
      <w:pPr>
        <w:spacing w:after="200"/>
        <w:jc w:val="center"/>
      </w:pPr>
      <w:r>
        <w:rPr>
          <w:i/>
          <w:iCs/>
          <w:color w:val="5B6472"/>
          <w:sz w:val="16"/>
          <w:szCs w:val="16"/>
        </w:rPr>
        <w:t xml:space="preserve">The cycle re-enters at Methodology (Stage 3), not Belief (Stage 1) — the doctrine itself doesn't get re-litigated every cycle; the methodology built on it does, per Pillar XII, Evidence-Driven.</w:t>
      </w:r>
    </w:p>
    <w:p>
      <w:pPr>
        <w:pStyle w:val="Heading1"/>
      </w:pPr>
      <w:r>
        <w:t xml:space="preserve">32. Fail-Closed Governance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constitutional design rule that every AI governance decision in the G.O.D.S. ecosystem defaults to BLOCK in the absence of verified sovereign authorisation or a passing evaluation — never to silent approval.</w:t>
            </w:r>
          </w:p>
        </w:tc>
      </w:tr>
    </w:tbl>
    <w:p>
      <w:pPr>
        <w:spacing w:after="160" w:line="276"/>
        <w:jc w:val="left"/>
      </w:pPr>
      <w:r>
        <w:t xml:space="preserve">This is the single principle every technology entry in Part VI implements in a different technical form: EVA's dimension thresholds, UDOC's FSM stage S11:FAIL_CLOSED, GIS's twelve-pillar check, and the FPGA layer's hardware kill-switches are all the same constitutional rule, expressed at a different layer of the stack.</w:t>
      </w:r>
    </w:p>
    <w:p>
      <w:pPr>
        <w:spacing w:after="160" w:line="276"/>
        <w:jc w:val="left"/>
      </w:pPr>
      <w:r>
        <w:rPr>
          <w:i/>
          <w:iCs/>
        </w:rPr>
        <w:t xml:space="preserve">Canonical source: </w:t>
      </w:r>
      <w:r>
        <w:t xml:space="preserve">Constitutional Pillar VIII; a-15, Part Three, Article IV §3.</w:t>
      </w:r>
    </w:p>
    <w:p>
      <w:pPr>
        <w:spacing w:after="60" w:before="200"/>
      </w:pPr>
      <w:r>
        <w:rPr>
          <w:b/>
          <w:bCs/>
          <w:color w:val="8C7330"/>
          <w:sz w:val="22"/>
          <w:szCs w:val="22"/>
        </w:rPr>
        <w:t xml:space="preserve">PART VI</w:t>
      </w:r>
    </w:p>
    <w:p>
      <w:pPr>
        <w:spacing w:after="300"/>
      </w:pPr>
      <w:r>
        <w:rPr>
          <w:b/>
          <w:bCs/>
          <w:color w:val="16233A"/>
          <w:sz w:val="26"/>
          <w:szCs w:val="26"/>
        </w:rPr>
        <w:t xml:space="preserve">THE TECHNOLOGY &amp; GOVERNANCE-ENGINE LAYER</w:t>
      </w:r>
    </w:p>
    <w:p>
      <w:pPr>
        <w:pStyle w:val="Heading1"/>
      </w:pPr>
      <w:r>
        <w:t xml:space="preserve">33. The UDOC/EVA API Interface</w:t>
      </w:r>
    </w:p>
    <w:p>
      <w:pPr>
        <w:spacing w:after="160" w:line="276"/>
        <w:jc w:val="left"/>
      </w:pPr>
      <w:r>
        <w:t xml:space="preserve">The technical interface any registered system uses to submit an AI decision for governance evaluation — the concrete, callable surface behind everything Part VI describes conceptually.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4960"/>
      </w:tblGrid>
      <w:tr>
        <w:trPr>
          <w:tblHeader/>
        </w:trPr>
        <w:tc>
          <w:tcPr>
            <w:tcW w:type="dxa" w:w="1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Method</w:t>
            </w:r>
          </w:p>
        </w:tc>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Endpoint</w:t>
            </w:r>
          </w:p>
        </w:tc>
        <w:tc>
          <w:tcPr>
            <w:tcW w:type="dxa" w:w="4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POST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/api/v1/eva/evaluate</w:t>
            </w:r>
          </w:p>
        </w:tc>
        <w:tc>
          <w:tcPr>
            <w:tcW w:type="dxa" w:w="4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Submit an AI decision for full six-dimension evaluation. Returns a signed EVA Certificate.</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GET</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/api/v1/eva/evaluate/{id}</w:t>
            </w:r>
          </w:p>
        </w:tc>
        <w:tc>
          <w:tcPr>
            <w:tcW w:type="dxa" w:w="4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Retrieve an evaluation result by ID, including all six dimension scores.</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GET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/api/v1/eva/evaluate/{id}/verify</w:t>
            </w:r>
          </w:p>
        </w:tc>
        <w:tc>
          <w:tcPr>
            <w:tcW w:type="dxa" w:w="4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Public endpoint — cryptographic verification of an EVA Certificate.</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GET</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/api/v1/eva/systems</w:t>
            </w:r>
          </w:p>
        </w:tc>
        <w:tc>
          <w:tcPr>
            <w:tcW w:type="dxa" w:w="4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List all EVA-monitored systems with their latest composite score.</w:t>
            </w:r>
          </w:p>
        </w:tc>
      </w:tr>
      <w:tr>
        <w:tc>
          <w:tcPr>
            <w:tcW w:type="dxa" w:w="1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POST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/api/v1/eva/policy/rules</w:t>
            </w:r>
          </w:p>
        </w:tc>
        <w:tc>
          <w:tcPr>
            <w:tcW w:type="dxa" w:w="4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Create a new EVA policy rule — COB sign-off required for high-risk rules.</w:t>
            </w:r>
          </w:p>
        </w:tc>
      </w:tr>
      <w:tr>
        <w:tc>
          <w:tcPr>
            <w:tcW w:type="dxa" w:w="1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POST</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/api/v1/eva/sweep</w:t>
            </w:r>
          </w:p>
        </w:tc>
        <w:tc>
          <w:tcPr>
            <w:tcW w:type="dxa" w:w="4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Trigger a full EVA sweep across every registered AI system.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This interface specification is fully documented to implementation-ready depth in the EVA Technical Whitepaper.</w:t>
            </w:r>
          </w:p>
          <w:p>
            <w:pPr>
              <w:spacing w:after="60"/>
            </w:pPr>
            <w:r>
              <w:rPr>
                <w:b/>
                <w:bCs/>
              </w:rPr>
              <w:t xml:space="preserve">Designed / production-specified, not yet built:  </w:t>
            </w:r>
            <w:r>
              <w:t xml:space="preserve">No commercial clients are currently registered against this API — it describes the designed interface, not a populated production system.</w:t>
            </w:r>
          </w:p>
          <w:p>
            <w:pPr>
              <w:spacing w:after="0"/>
            </w:pPr>
            <w:r>
              <w:rPr>
                <w:b/>
                <w:bCs/>
              </w:rPr>
              <w:t xml:space="preserve">Aspirational / long-horizon:  </w:t>
            </w:r>
            <w:r>
              <w:t xml:space="preserve">N/A — this is a specification entry, not a roadmap one.</w:t>
            </w:r>
          </w:p>
        </w:tc>
      </w:tr>
    </w:tbl>
    <w:p>
      <w:pPr>
        <w:spacing w:after="160" w:line="276"/>
        <w:jc w:val="left"/>
      </w:pPr>
      <w:r>
        <w:rPr>
          <w:i/>
          <w:iCs/>
        </w:rPr>
        <w:t xml:space="preserve">Canonical source: </w:t>
      </w:r>
      <w:r>
        <w:t xml:space="preserve">e-10, EVA Whitepaper, Section 9.</w:t>
      </w:r>
    </w:p>
    <w:p>
      <w:pPr>
        <w:pStyle w:val="Heading1"/>
      </w:pPr>
      <w:r>
        <w:t xml:space="preserve">34. EVA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EVA is UDOC's AI decision governance and evaluation engine — a live, continuously executing layer that scores every AI decision event across six dimensions and assigns an automated governance outcome before that decision is permitted to execute.</w:t>
            </w:r>
          </w:p>
          <w:p>
            <w:pPr>
              <w:spacing w:after="160" w:line="276"/>
              <w:jc w:val="left"/>
            </w:pPr>
            <w:r>
              <w:rPr>
                <w:b/>
                <w:bCs/>
              </w:rPr>
              <w:t xml:space="preserve">Full Name. </w:t>
            </w:r>
            <w:r>
              <w:t xml:space="preserve">Evaluating Valiant Algorithms.</w:t>
            </w:r>
          </w:p>
          <w:p>
            <w:pPr>
              <w:spacing w:after="160" w:line="276"/>
              <w:jc w:val="left"/>
            </w:pPr>
            <w:r>
              <w:rPr>
                <w:b/>
                <w:bCs/>
              </w:rPr>
              <w:t xml:space="preserve">The name, explained. </w:t>
            </w:r>
            <w:r>
              <w:t xml:space="preserve">A "valiant algorithm," in EVA's own definition, is an AI system that claims to serve the public good, deliver operational efficiency, or advance socioeconomic objectives. EVA's role is to validate that specific claim — algorithms that pose unacceptable risk, exhibit bias, or lack compliance are not valiant, whatever they claim, and are blocked, escalated, or routed to human review accordingly.</w:t>
            </w:r>
          </w:p>
        </w:tc>
      </w:tr>
    </w:tbl>
    <w:p>
      <w:pPr>
        <w:pStyle w:val="Heading3"/>
      </w:pPr>
      <w:r>
        <w:t xml:space="preserve">The Six EVA Dimensions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1800"/>
        <w:gridCol w:w="1200"/>
        <w:gridCol w:w="5260"/>
      </w:tblGrid>
      <w:tr>
        <w:trPr>
          <w:tblHeader/>
        </w:trPr>
        <w:tc>
          <w:tcPr>
            <w:tcW w:type="dxa" w:w="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Dim</w:t>
            </w:r>
          </w:p>
        </w:tc>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c>
          <w:tcPr>
            <w:tcW w:type="dxa" w:w="1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Weight</w:t>
            </w:r>
          </w:p>
        </w:tc>
        <w:tc>
          <w:tcPr>
            <w:tcW w:type="dxa" w:w="5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It Measures</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01</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Validity</w:t>
            </w:r>
          </w:p>
        </w:tc>
        <w:tc>
          <w:tcPr>
            <w:tcW w:type="dxa" w:w="1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0.15</w:t>
            </w:r>
          </w:p>
        </w:tc>
        <w:tc>
          <w:tcPr>
            <w:tcW w:type="dxa" w:w="5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Logical correctness and input-output coherence of the AI decision</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02</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Confidence</w:t>
            </w:r>
          </w:p>
        </w:tc>
        <w:tc>
          <w:tcPr>
            <w:tcW w:type="dxa" w:w="1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0.15</w:t>
            </w:r>
          </w:p>
        </w:tc>
        <w:tc>
          <w:tcPr>
            <w:tcW w:type="dxa" w:w="5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Model reliability and uncertainty calibration</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03</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Risk</w:t>
            </w:r>
          </w:p>
        </w:tc>
        <w:tc>
          <w:tcPr>
            <w:tcW w:type="dxa" w:w="1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0.25</w:t>
            </w:r>
          </w:p>
        </w:tc>
        <w:tc>
          <w:tcPr>
            <w:tcW w:type="dxa" w:w="5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Standardised risk classification</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04</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Compliance</w:t>
            </w:r>
          </w:p>
        </w:tc>
        <w:tc>
          <w:tcPr>
            <w:tcW w:type="dxa" w:w="1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0.20</w:t>
            </w:r>
          </w:p>
        </w:tc>
        <w:tc>
          <w:tcPr>
            <w:tcW w:type="dxa" w:w="5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Continuous real-time regulatory compliance scoring</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05</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Stability</w:t>
            </w:r>
          </w:p>
        </w:tc>
        <w:tc>
          <w:tcPr>
            <w:tcW w:type="dxa" w:w="1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0.10</w:t>
            </w:r>
          </w:p>
        </w:tc>
        <w:tc>
          <w:tcPr>
            <w:tcW w:type="dxa" w:w="5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Automated drift detection against baseline behaviour</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06</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Societal Impact</w:t>
            </w:r>
          </w:p>
        </w:tc>
        <w:tc>
          <w:tcPr>
            <w:tcW w:type="dxa" w:w="1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0.15</w:t>
            </w:r>
          </w:p>
        </w:tc>
        <w:tc>
          <w:tcPr>
            <w:tcW w:type="dxa" w:w="5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Continuous, ongoing impact quantification — not pre-deployment only</w:t>
            </w:r>
          </w:p>
        </w:tc>
      </w:tr>
    </w:tbl>
    <w:p>
      <w:pPr>
        <w:spacing w:after="160" w:line="276"/>
        <w:jc w:val="left"/>
      </w:pPr>
      <w:r>
        <w:rPr>
          <w:b/>
          <w:bCs/>
        </w:rPr>
        <w:t xml:space="preserve">Composite scoring. </w:t>
      </w:r>
      <w:r>
        <w:t xml:space="preserve">Weights sum to 1.000. The composite score is a weighted aggregate of all six dimensions (risk and impact are inverted before weighting, since a lower raw score there means higher governance quality). Individual dimension thresholds can trigger an outcome independent of the composite — a single disqualifying dimension is not averaged away by five good ones.</w:t>
      </w:r>
    </w:p>
    <w:p>
      <w:pPr>
        <w:pStyle w:val="Heading3"/>
      </w:pPr>
      <w:r>
        <w:t xml:space="preserve">Regulatory Alignment Per Dimension</w:t>
      </w:r>
    </w:p>
    <w:p>
      <w:pPr>
        <w:spacing w:after="160" w:line="276"/>
        <w:jc w:val="left"/>
      </w:pPr>
      <w:r>
        <w:t xml:space="preserve">Each dimension maps to specific, named external frameworks — the mechanism by which one EVA evaluation produces evidence usable across multiple regulatory regimes at once, rather than a separate compliance exercise per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560"/>
      </w:tblGrid>
      <w:tr>
        <w:trPr>
          <w:tblHeader/>
        </w:trPr>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Dim</w:t>
            </w:r>
          </w:p>
        </w:tc>
        <w:tc>
          <w:tcPr>
            <w:tcW w:type="dxa" w:w="7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Maps To</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Validity</w:t>
            </w:r>
          </w:p>
        </w:tc>
        <w:tc>
          <w:tcPr>
            <w:tcW w:type="dxa" w:w="7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EU AI Act Art.9 · ISO/IEC 42001 s6.1</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Confidence</w:t>
            </w:r>
          </w:p>
        </w:tc>
        <w:tc>
          <w:tcPr>
            <w:tcW w:type="dxa" w:w="7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NIST AI RMF ME-2 · EU AI Act Art.13 · ISO/IEC 42001 s9.1</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Risk</w:t>
            </w:r>
          </w:p>
        </w:tc>
        <w:tc>
          <w:tcPr>
            <w:tcW w:type="dxa" w:w="7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EU AI Act Annex III · Constitutional Pillars I and VIII</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Compliance</w:t>
            </w:r>
          </w:p>
        </w:tc>
        <w:tc>
          <w:tcPr>
            <w:tcW w:type="dxa" w:w="7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POPIA Act 4/2013 · ISO/IEC 42001 s9.1 · the applicable national AI policy framework</w:t>
            </w:r>
          </w:p>
        </w:tc>
      </w:tr>
      <w:tr>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Stability</w:t>
            </w:r>
          </w:p>
        </w:tc>
        <w:tc>
          <w:tcPr>
            <w:tcW w:type="dxa" w:w="7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EU AI Act Art.9 post-market monitoring</w:t>
            </w:r>
          </w:p>
        </w:tc>
      </w:tr>
      <w:tr>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Societal Impact</w:t>
            </w:r>
          </w:p>
        </w:tc>
        <w:tc>
          <w:tcPr>
            <w:tcW w:type="dxa" w:w="7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 Rights Impact Assessment mandate; Constitutional ss.9, 10, 27</w:t>
            </w:r>
          </w:p>
        </w:tc>
      </w:tr>
    </w:tbl>
    <w:p>
      <w:pPr>
        <w:pStyle w:val="Heading3"/>
      </w:pPr>
      <w:r>
        <w:t xml:space="preserve">Outcomes — a discrepancy resolved, not hidden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Two source whitepapers each describe four outcomes; they are not quite the same four. The live platform implements five.</w:t>
            </w:r>
          </w:p>
          <w:p>
            <w:pPr>
              <w:spacing w:after="160" w:line="276"/>
              <w:jc w:val="left"/>
            </w:pPr>
            <w:r>
              <w:t xml:space="preserve">EVA's original technical whitepaper (April 2026) lists APPROVE, REVIEW, ESCALATE, BLOCK. The later pitch deck (v9.3) lists APPROVE, RESTRICT, ESCALATE, BLOCK — REVIEW and RESTRICT are not the same outcome, and neither source explains the substitution. The live platform-core codebase's Decision model implements all five (APPROVE, REVIEW, RESTRICT, ESCALATE, BLOCK) as valid values. This canon treats the live five-outcome set as current and correct, and notes the two-whitepaper discrepancy as something worth reconciling in the next whitepaper revision, rather than a live-system defect.</w:t>
            </w:r>
          </w:p>
        </w:tc>
      </w:tr>
    </w:tbl>
    <w:p>
      <w:pPr>
        <w:pStyle w:val="Heading3"/>
      </w:pPr>
      <w:r>
        <w:t xml:space="preserve">The Composite Formula — a second discrepancy, resolved the same way as the first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Two source whitepapers compute the same six dimensions two different ways.</w:t>
            </w:r>
          </w:p>
          <w:p>
            <w:pPr>
              <w:spacing w:after="160" w:line="276"/>
              <w:jc w:val="left"/>
            </w:pPr>
            <w:r>
              <w:rPr>
                <w:b/>
                <w:bCs/>
              </w:rPr>
              <w:t xml:space="preserve">The EVA Whitepaper (April 2026): </w:t>
            </w:r>
            <w:r>
              <w:t xml:space="preserve">a simple average with Risk and Impact inverted before averaging — Composite = (Validity + Confidence + (10−Risk) + Compliance + Stability + (10−Impact)) / 6, on a 0.0–10.0 scale, with Approve ≥7.0 / Review 5.0–6.9 / Escalate 3.0–4.9 / Block &lt;3.0 or Risk ≥7.</w:t>
            </w:r>
          </w:p>
          <w:p>
            <w:pPr>
              <w:spacing w:after="160" w:line="276"/>
              <w:jc w:val="left"/>
            </w:pPr>
            <w:r>
              <w:rPr>
                <w:b/>
                <w:bCs/>
              </w:rPr>
              <w:t xml:space="preserve">The Pitch Deck (v9.3): </w:t>
            </w:r>
            <w:r>
              <w:t xml:space="preserve">a weighted sum — Composite = Σ(weight × dimension), with the specific weights in the table above.</w:t>
            </w:r>
          </w:p>
          <w:p>
            <w:pPr>
              <w:spacing w:after="160" w:line="276"/>
              <w:jc w:val="left"/>
            </w:pPr>
            <w:r>
              <w:rPr>
                <w:b/>
                <w:bCs/>
              </w:rPr>
              <w:t xml:space="preserve">Resolution: </w:t>
            </w:r>
            <w:r>
              <w:t xml:space="preserve">both are presented, neither is silently dropped. The weighted-sum version is more expressive (it lets individual dimensions matter more or less) and appears in the more recent, patent-claim-referenced document, so this canon treats it as the primary current formula — but the simple-average version's precise threshold bands (Approve/Review/Escalate/Block score ranges) are the more fully worked-out outcome-mapping and are reproduced below since the newer document does not restate them.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4700"/>
        <w:gridCol w:w="306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Outcome</w:t>
            </w:r>
          </w:p>
        </w:tc>
        <w:tc>
          <w:tcPr>
            <w:tcW w:type="dxa" w:w="4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Trigger Condition (per the EVA Whitepaper's fully worked mapping)</w:t>
            </w:r>
          </w:p>
        </w:tc>
        <w:tc>
          <w:tcPr>
            <w:tcW w:type="dxa" w:w="3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Downstream Action</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APPROVE</w:t>
            </w:r>
          </w:p>
        </w:tc>
        <w:tc>
          <w:tcPr>
            <w:tcW w:type="dxa" w:w="4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Validity ≥7 AND Confidence ≥7 AND Risk &lt;7 AND Compliance &gt;4</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Deployment cleared. Signed EVA Certificate issued. Written to the audit chain.</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REVIEW</w:t>
            </w:r>
          </w:p>
        </w:tc>
        <w:tc>
          <w:tcPr>
            <w:tcW w:type="dxa" w:w="4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Default outcome — no other rule triggered</w:t>
            </w:r>
          </w:p>
        </w:tc>
        <w:tc>
          <w:tcPr>
            <w:tcW w:type="dxa" w:w="3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Routed to human review with a 48-hour service-level commitment and a plain-language explanation requirement.</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ESCALATE</w:t>
            </w:r>
          </w:p>
        </w:tc>
        <w:tc>
          <w:tcPr>
            <w:tcW w:type="dxa" w:w="4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Compliance ≤4 OR composite score 3.0–4.9</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COB notification, 30-day remediation window.</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BLOCK</w:t>
            </w:r>
          </w:p>
        </w:tc>
        <w:tc>
          <w:tcPr>
            <w:tcW w:type="dxa" w:w="4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Risk ≥7 OR the system is classified prohibited-risk</w:t>
            </w:r>
          </w:p>
        </w:tc>
        <w:tc>
          <w:tcPr>
            <w:tcW w:type="dxa" w:w="3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Immediate suspension pending full remediation.</w:t>
            </w:r>
          </w:p>
        </w:tc>
      </w:tr>
    </w:tbl>
    <w:p>
      <w:pPr>
        <w:pStyle w:val="Heading3"/>
      </w:pPr>
      <w:r>
        <w:t xml:space="preserve">The EVA Pipeline Sequence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AI decision event submitted → EVA pre-screen (risk tier, jurisdiction, human-review pathway check) → full six-dimension evaluation → policy rule engine executes the outcome → EVA Certificate generated and signed → written to the immutable audit chain → outcome routed (deployment cleared / human review queue / COB escalation / system block).</w:t>
            </w:r>
          </w:p>
        </w:tc>
      </w:tr>
    </w:tbl>
    <w:p>
      <w:pPr>
        <w:spacing w:after="160" w:line="276"/>
        <w:jc w:val="left"/>
      </w:pPr>
      <w:r>
        <w:t xml:space="preserve">A signed governance-evidence object generated on every APPROVE outcome — the structured proof that systematic evaluation occurred, written to UDOC's immutable audit store and independently verifiable by any party holding the UDOC public key.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six-dimension framework, the weighting formula, and the certificate architecture are fully specified to patent-claim depth.</w:t>
            </w:r>
          </w:p>
          <w:p>
            <w:pPr>
              <w:spacing w:after="60"/>
            </w:pPr>
            <w:r>
              <w:rPr>
                <w:b/>
                <w:bCs/>
              </w:rPr>
              <w:t xml:space="preserve">Designed / production-specified, not yet built:  </w:t>
            </w:r>
            <w:r>
              <w:t xml:space="preserve">Full production deployment (6-hourly continuous sweeps, government national-backbone module, post-quantum certificate migration) is phased across the EVA Implementation Roadmap's Phase 1–3, tied to seed capital and government-contract triggers.</w:t>
            </w:r>
          </w:p>
          <w:p>
            <w:pPr>
              <w:spacing w:after="0"/>
            </w:pPr>
            <w:r>
              <w:rPr>
                <w:b/>
                <w:bCs/>
              </w:rPr>
              <w:t xml:space="preserve">Aspirational / long-horizon:  </w:t>
            </w:r>
            <w:r>
              <w:t xml:space="preserve">SADC-wide, multi-jurisdiction EVA governance — the Phase 3 horizon.</w:t>
            </w:r>
          </w:p>
        </w:tc>
      </w:tr>
    </w:tbl>
    <w:p>
      <w:pPr>
        <w:spacing w:after="160" w:line="276"/>
        <w:jc w:val="left"/>
      </w:pPr>
      <w:r>
        <w:rPr>
          <w:i/>
          <w:iCs/>
        </w:rPr>
        <w:t xml:space="preserve">Canonical source: </w:t>
      </w:r>
      <w:r>
        <w:t xml:space="preserve">e-10, EVA Whitepaper; e-19, UDOC Pitch Deck v9.3.</w:t>
      </w:r>
    </w:p>
    <w:p>
      <w:pPr>
        <w:pStyle w:val="Heading1"/>
      </w:pPr>
      <w:r>
        <w:t xml:space="preserve">35. GIS — The G.O.D.S. Intelligence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GIS is the AI backbone that supersedes EVA as G.O.D.S.'s institution-facing intelligence layer — expanding EVA's single-division decision-scoring role into a cross-institutional system serving all ten levels of the G.O.D.S. architecture: governance, career navigation, mentorship, compliance verification, research, outcome auditing, and franchise intelligence.</w:t>
            </w:r>
          </w:p>
        </w:tc>
      </w:tr>
    </w:tbl>
    <w:p>
      <w:pPr>
        <w:spacing w:after="160" w:line="276"/>
        <w:jc w:val="left"/>
      </w:pPr>
      <w:r>
        <w:rPr>
          <w:b/>
          <w:bCs/>
        </w:rPr>
        <w:t xml:space="preserve">Relationship to EVA and UDOC — stated precisely, since this is the entry most prone to confusion. </w:t>
      </w:r>
      <w:r>
        <w:t xml:space="preserve">GIS does not delete or replace EVA's scoring function or UDOC's orchestration and audit role. GIS issues its decisions via UDOC's existing sealed audit infrastructure, and can draw on EVA's six-dimension scoring as one input among the several a GIS decision considers. GIS is the newer, broader, participant-and-institution-facing layer sitting above a scoring/orchestration pair that continues to do the specific jobs it already did.</w:t>
      </w:r>
    </w:p>
    <w:p>
      <w:pPr>
        <w:pStyle w:val="Heading3"/>
      </w:pPr>
      <w:r>
        <w:t xml:space="preserve">The Seven GIS Functions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5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w:t>
            </w:r>
          </w:p>
        </w:tc>
        <w:tc>
          <w:tcPr>
            <w:tcW w:type="dxa" w:w="6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It Does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Governor</w:t>
            </w:r>
          </w:p>
        </w:tc>
        <w:tc>
          <w:tcPr>
            <w:tcW w:type="dxa" w:w="6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Issues sealed, auditable governance decisions applying constitutional pillar checks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Career Navigator</w:t>
            </w:r>
          </w:p>
        </w:tc>
        <w:tc>
          <w:tcPr>
            <w:tcW w:type="dxa" w:w="6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Assesses participant skills and goals, maps to vocational pathway</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Mentor</w:t>
            </w:r>
          </w:p>
        </w:tc>
        <w:tc>
          <w:tcPr>
            <w:tcW w:type="dxa" w:w="6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On-demand learning support through the CET/CTE journey</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Compliance Verifier</w:t>
            </w:r>
          </w:p>
        </w:tc>
        <w:tc>
          <w:tcPr>
            <w:tcW w:type="dxa" w:w="6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Verifies delivery operators and franchise nodes meet constitutional standards</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Research &amp; Intelligence Engine</w:t>
            </w:r>
          </w:p>
        </w:tc>
        <w:tc>
          <w:tcPr>
            <w:tcW w:type="dxa" w:w="6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Tracks labour-market and regulatory shifts to inform methodology updates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Outcome Auditor</w:t>
            </w:r>
          </w:p>
        </w:tc>
        <w:tc>
          <w:tcPr>
            <w:tcW w:type="dxa" w:w="6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Records and verifies participant outcomes to the sealed audit trail</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Franchise Intelligence</w:t>
            </w:r>
          </w:p>
        </w:tc>
        <w:tc>
          <w:tcPr>
            <w:tcW w:type="dxa" w:w="6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Monitors performance across all franchise nodes, escalating underperformance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GIS's seven-function design, its fail-closed twelve-pillar decision logic, and its live Python implementation inside platform-core (gis_engine.py, cetcte_engine.py, gbs_engine.py) are built and verified — 30 of 30 functional checks pass against a real running instance, alongside the pre-existing 34 of 34 ecosystem smoke tests.</w:t>
            </w:r>
          </w:p>
          <w:p>
            <w:pPr>
              <w:spacing w:after="60"/>
            </w:pPr>
            <w:r>
              <w:rPr>
                <w:b/>
                <w:bCs/>
              </w:rPr>
              <w:t xml:space="preserve">Designed / production-specified, not yet built:  </w:t>
            </w:r>
            <w:r>
              <w:t xml:space="preserve">The standalone TypeScript reference package (governance-engines/gis) mirrors this logic for documentation purposes but is not itself the deployed system; its own governance-gate function is an honestly-labelled development placeholder, not evidence of runtime behaviour.</w:t>
            </w:r>
          </w:p>
          <w:p>
            <w:pPr>
              <w:spacing w:after="0"/>
            </w:pPr>
            <w:r>
              <w:rPr>
                <w:b/>
                <w:bCs/>
              </w:rPr>
              <w:t xml:space="preserve">Aspirational / long-horizon:  </w:t>
            </w:r>
            <w:r>
              <w:t xml:space="preserve">GIS operating as a genuinely cross-institutional layer at full multi-node franchise scale — the live implementation currently serves the single pilot node's data model.</w:t>
            </w:r>
          </w:p>
        </w:tc>
      </w:tr>
    </w:tbl>
    <w:p>
      <w:pPr>
        <w:spacing w:after="160" w:line="276"/>
        <w:jc w:val="left"/>
      </w:pPr>
      <w:r>
        <w:rPr>
          <w:i/>
          <w:iCs/>
        </w:rPr>
        <w:t xml:space="preserve">Canonical source: </w:t>
      </w:r>
      <w:r>
        <w:t xml:space="preserve">GBS-SETHS Consolidated Super Framework, Document 00, Part I §3; GIS Architecture Specification (Document 06); the GIS alignment engineering work merged into platform-core.</w:t>
      </w:r>
    </w:p>
    <w:p>
      <w:pPr>
        <w:pStyle w:val="Heading1"/>
      </w:pPr>
      <w:r>
        <w:t xml:space="preserve">36. The 14-Stage Deterministic Sovereign FSM</w:t>
      </w:r>
    </w:p>
    <w:p>
      <w:pPr>
        <w:spacing w:after="160" w:line="276"/>
        <w:jc w:val="left"/>
      </w:pPr>
      <w:r>
        <w:t xml:space="preserve">UDOC's decision pipeline — every AI inference passes through the same deterministic state sequence, hardware-enforced, not advisory.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S0:INIT → S1:VERIFY → S2:EVALUATE → S3:AUTHORISE → S4:EXECUTE → S5:MONITOR → S6:RESTRICT → S7:ESCALATE → S8:QUARANTINE → S9:SOV_ISOLATED → S10:AUDIT → S11:FAIL_CLOSED → (S12:RECOVERY, dual-officer authorisation required to re-enter S0)</w:t>
            </w:r>
          </w:p>
        </w:tc>
      </w:tr>
    </w:tbl>
    <w:p>
      <w:pPr>
        <w:spacing w:after="160" w:line="276"/>
        <w:jc w:val="left"/>
      </w:pPr>
      <w:r>
        <w:rPr>
          <w:b/>
          <w:bCs/>
        </w:rPr>
        <w:t xml:space="preserve">Six operating modes: </w:t>
      </w:r>
      <w:r>
        <w:t xml:space="preserve">NOMINAL (all fourteen stages active) and five degraded modes of increasing severity — Coarse Restrict, Elevated, Fine Degraded, Near Halt, and Full Halt (G_HALT asserted, relay physically open, no inference possible even if the OS or hypervisor is compromised).</w:t>
      </w:r>
    </w:p>
    <w:p>
      <w:pPr>
        <w:spacing w:after="160" w:line="276"/>
        <w:jc w:val="left"/>
      </w:pPr>
      <w:r>
        <w:rPr>
          <w:i/>
          <w:iCs/>
        </w:rPr>
        <w:t xml:space="preserve">Canonical source: </w:t>
      </w:r>
      <w:r>
        <w:t xml:space="preserve">e-19, UDOC Pitch Deck v9.3.</w:t>
      </w:r>
    </w:p>
    <w:p>
      <w:pPr>
        <w:pStyle w:val="Heading1"/>
      </w:pPr>
      <w:r>
        <w:t xml:space="preserve">37. StayChain™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UDOC's trademarked immutable audit-trail technology — the blockchain layer that makes every governance decision tamper-evident and independently verifiable.</w:t>
            </w:r>
          </w:p>
        </w:tc>
      </w:tr>
    </w:tbl>
    <w:p>
      <w:pPr>
        <w:pStyle w:val="ListParagraph"/>
        <w:numPr>
          <w:ilvl w:val="0"/>
          <w:numId w:val="3"/>
        </w:numPr>
        <w:spacing w:after="100" w:line="276"/>
      </w:pPr>
      <w:r>
        <w:t xml:space="preserve">SHA-3-256 cross-block hashing for tamper detection</w:t>
      </w:r>
    </w:p>
    <w:p>
      <w:pPr>
        <w:pStyle w:val="ListParagraph"/>
        <w:numPr>
          <w:ilvl w:val="0"/>
          <w:numId w:val="3"/>
        </w:numPr>
        <w:spacing w:after="100" w:line="276"/>
      </w:pPr>
      <w:r>
        <w:t xml:space="preserve">CRYSTALS-Dilithium (FIPS 204) post-quantum signatures on every record</w:t>
      </w:r>
    </w:p>
    <w:p>
      <w:pPr>
        <w:pStyle w:val="ListParagraph"/>
        <w:numPr>
          <w:ilvl w:val="0"/>
          <w:numId w:val="3"/>
        </w:numPr>
        <w:spacing w:after="100" w:line="276"/>
      </w:pPr>
      <w:r>
        <w:t xml:space="preserve">SPHINCS+ (FIPS 205) counter-signing for long-term quantum resistance</w:t>
      </w:r>
    </w:p>
    <w:p>
      <w:pPr>
        <w:pStyle w:val="ListParagraph"/>
        <w:numPr>
          <w:ilvl w:val="0"/>
          <w:numId w:val="3"/>
        </w:numPr>
        <w:spacing w:after="100" w:line="276"/>
      </w:pPr>
      <w:r>
        <w:t xml:space="preserve">BFT consensus across three South African witness nodes (Gauteng, Western Cape, KwaZulu-Natal)</w:t>
      </w:r>
    </w:p>
    <w:p>
      <w:pPr>
        <w:pStyle w:val="ListParagraph"/>
        <w:numPr>
          <w:ilvl w:val="0"/>
          <w:numId w:val="3"/>
        </w:numPr>
        <w:spacing w:after="100" w:line="276"/>
      </w:pPr>
      <w:r>
        <w:t xml:space="preserve">Dual-path WORM storage alongside a classical Cassandra cluster</w:t>
      </w:r>
    </w:p>
    <w:p>
      <w:pPr>
        <w:pStyle w:val="ListParagraph"/>
        <w:numPr>
          <w:ilvl w:val="0"/>
          <w:numId w:val="3"/>
        </w:numPr>
        <w:spacing w:after="100" w:line="276"/>
      </w:pPr>
      <w:r>
        <w:t xml:space="preserve">PROV-ML data lineage and DUO ontology tagging on every record</w:t>
      </w:r>
    </w:p>
    <w:p>
      <w:pPr>
        <w:pStyle w:val="ListParagraph"/>
        <w:numPr>
          <w:ilvl w:val="0"/>
          <w:numId w:val="3"/>
        </w:numPr>
        <w:spacing w:after="100" w:line="276"/>
      </w:pPr>
      <w:r>
        <w:t xml:space="preserve">7-year tamper-proof retention, POPIA and ISO/IEC 42001 compliant</w:t>
      </w:r>
    </w:p>
    <w:p>
      <w:pPr>
        <w:spacing w:after="160" w:line="276"/>
        <w:jc w:val="left"/>
      </w:pPr>
      <w:r>
        <w:rPr>
          <w:i/>
          <w:iCs/>
        </w:rPr>
        <w:t xml:space="preserve">Canonical source: </w:t>
      </w:r>
      <w:r>
        <w:t xml:space="preserve">e-19, UDOC Pitch Deck v9.3; e-15, UDOC Full Technical Whitepaper.</w:t>
      </w:r>
    </w:p>
    <w:p>
      <w:pPr>
        <w:pStyle w:val="Heading1"/>
      </w:pPr>
      <w:r>
        <w:t xml:space="preserve">38. The FPGA Enforcement Layer &amp; Opcode Set</w:t>
      </w:r>
    </w:p>
    <w:p>
      <w:pPr>
        <w:spacing w:after="160" w:line="276"/>
        <w:jc w:val="left"/>
      </w:pPr>
      <w:r>
        <w:t xml:space="preserve">The hardware layer that makes UDOC's fail-closed guarantee physical rather than only logical — a relay that disconnects the model execution pathway at the hardware level, non-bypassable by software regardless of OS or hypervisor state.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A discrepancy against this project's own prior memory, corrected here against the verified source.</w:t>
            </w:r>
          </w:p>
          <w:p>
            <w:pPr>
              <w:spacing w:after="160" w:line="276"/>
              <w:jc w:val="left"/>
            </w:pPr>
            <w:r>
              <w:t xml:space="preserve">Earlier working notes on this project listed a ten-opcode set including G_RELEASE, G_MESH, G_ZKP, G_POLICY, and G_ECON. None of those five appear in the verified source deck; the deck's own patent-claim-referenced opcode set (below) is adopted here instead, and the discrepancy is recorded rather than silently dropped.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4200"/>
        <w:gridCol w:w="3260"/>
      </w:tblGrid>
      <w:tr>
        <w:trPr>
          <w:tblHeader/>
        </w:trPr>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Opcode</w:t>
            </w:r>
          </w:p>
        </w:tc>
        <w:tc>
          <w:tcPr>
            <w:tcW w:type="dxa" w:w="4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w:t>
            </w:r>
          </w:p>
        </w:tc>
        <w:tc>
          <w:tcPr>
            <w:tcW w:type="dxa" w:w="3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Hardware Timing</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G_HALT</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CPU freeze + relay open</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10 ns</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G_LOCK</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HSM-NVRAM persist block</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&lt; 1 ms</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G_SOV_VERIFY</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Sovereignty verification</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1 ms</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G_ATTEST</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FPGA bitstream integrity check</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&lt; 10 ms</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G_AUDIT</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Dilithium sign + StayChain™ write</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5 ms</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G_QUARANTINE</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Isolate execution context</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&lt; 5 ms</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G_RESTRICT</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Cap to MEDIUM tier maximum</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5 ms</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G_SYNC</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Broadcast state to all nodes</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&lt; 200 ms</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G_ESCALATE</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Dilithium-signed bundle to the IGA</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&lt; 500 ms</w:t>
            </w:r>
          </w:p>
        </w:tc>
      </w:tr>
    </w:tbl>
    <w:p>
      <w:pPr>
        <w:spacing w:after="160" w:line="276"/>
        <w:jc w:val="left"/>
      </w:pPr>
      <w:r>
        <w:rPr>
          <w:i/>
          <w:iCs/>
        </w:rPr>
        <w:t xml:space="preserve">Canonical source: </w:t>
      </w:r>
      <w:r>
        <w:t xml:space="preserve">e-19, UDOC Pitch Deck v9.3, Patent Claims 12 and 38.</w:t>
      </w:r>
    </w:p>
    <w:p>
      <w:pPr>
        <w:pStyle w:val="Heading1"/>
      </w:pPr>
      <w:r>
        <w:t xml:space="preserve">39. MFCM, AEEF, and IGA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Function confirmed; full acronym expansions not found in the searched corpus — presented as function only, not invented.</w:t>
            </w:r>
          </w:p>
          <w:p>
            <w:pPr>
              <w:spacing w:after="160" w:line="276"/>
              <w:jc w:val="left"/>
            </w:pPr>
            <w:r>
              <w:rPr>
                <w:b/>
                <w:bCs/>
              </w:rPr>
              <w:t xml:space="preserve">MFCM — </w:t>
            </w:r>
            <w:r>
              <w:t xml:space="preserve">operates at UDOC's Governance Hypervisor Layer, intercepting below OS level. Confirmed function: a 47-check weighted compliance average spanning POPIA, the National AI Policy Framework, and the EU AI Act, feeding directly into EVA's Compliance dimension.</w:t>
            </w:r>
          </w:p>
          <w:p>
            <w:pPr>
              <w:spacing w:after="160" w:line="276"/>
              <w:jc w:val="left"/>
            </w:pPr>
            <w:r>
              <w:rPr>
                <w:b/>
                <w:bCs/>
              </w:rPr>
              <w:t xml:space="preserve">AEEF — </w:t>
            </w:r>
            <w:r>
              <w:t xml:space="preserve">sits at UDOC's top Sovereign Governance Layer, paired with a Dynamic Legal/Policy Modulator and an Ethical Alignment Engine. Confirmed function: non-bypassable policy orchestration (Patent Claim 1).</w:t>
            </w:r>
          </w:p>
          <w:p>
            <w:pPr>
              <w:spacing w:after="160" w:line="276"/>
              <w:jc w:val="left"/>
            </w:pPr>
            <w:r>
              <w:rPr>
                <w:b/>
                <w:bCs/>
              </w:rPr>
              <w:t xml:space="preserve">IGA — </w:t>
            </w:r>
            <w:r>
              <w:t xml:space="preserve">an independent external authority that receives escalation notifications and recovery acknowledgements — the recipient at the far end of the G_ESCALATE opcode and the dual-officer recovery sequence. Confirmed function: independent oversight/notification recipient for critical governance events.</w:t>
            </w:r>
          </w:p>
        </w:tc>
      </w:tr>
    </w:tbl>
    <w:p>
      <w:pPr>
        <w:spacing w:after="160" w:line="276"/>
        <w:jc w:val="left"/>
      </w:pPr>
      <w:r>
        <w:rPr>
          <w:i/>
          <w:iCs/>
        </w:rPr>
        <w:t xml:space="preserve">Canonical source: </w:t>
      </w:r>
      <w:r>
        <w:t xml:space="preserve">e-19, UDOC Pitch Deck v9.3.</w:t>
      </w:r>
    </w:p>
    <w:p>
      <w:pPr>
        <w:pStyle w:val="Heading1"/>
      </w:pPr>
      <w:r>
        <w:t xml:space="preserve">40. HQ-OS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Definition. </w:t>
            </w:r>
            <w:r>
              <w:t xml:space="preserve">The Hybrid Classical + Quantum Operating System — UDOC's next-generation architecture, addressing the approaching computational ceiling of classical-only AI governance infrastructure.</w:t>
            </w:r>
          </w:p>
          <w:p>
            <w:pPr>
              <w:spacing w:after="160" w:line="276"/>
              <w:jc w:val="left"/>
            </w:pPr>
            <w:r>
              <w:rPr>
                <w:b/>
                <w:bCs/>
              </w:rPr>
              <w:t xml:space="preserve">Full Name. </w:t>
            </w:r>
            <w:r>
              <w:t xml:space="preserve">Hybrid Classical + Quantum Operating System.</w:t>
            </w:r>
          </w:p>
        </w:tc>
      </w:tr>
    </w:tbl>
    <w:p>
      <w:pPr>
        <w:spacing w:after="160" w:line="276"/>
        <w:jc w:val="left"/>
      </w:pPr>
      <w:r>
        <w:t xml:space="preserve">A four-layer design: an Applications Layer (classical programmes and AI models), a Middleware Quantum-Classical Interface (task translation and scheduling), a Hybrid OS Kernel (unified dispatch across classical CPU/GPU and the Quantum Co-Processor), and a Hardware Layer (superconducting qubit arrays alongside classical memory). Delivers quantum-accelerated audit-trail verification, quantum-optimised bias detection, and Quantum Key Distribution for sovereign key exchange.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four-layer architecture and its integration points with UDOC are fully specified.</w:t>
            </w:r>
          </w:p>
          <w:p>
            <w:pPr>
              <w:spacing w:after="60"/>
            </w:pPr>
            <w:r>
              <w:rPr>
                <w:b/>
                <w:bCs/>
              </w:rPr>
              <w:t xml:space="preserve">Designed / production-specified, not yet built:  </w:t>
            </w:r>
            <w:r>
              <w:t xml:space="preserve">This is explicitly UDOC's next architectural generation, not the currently deployed system — a design target, not a running component.</w:t>
            </w:r>
          </w:p>
          <w:p>
            <w:pPr>
              <w:spacing w:after="0"/>
            </w:pPr>
            <w:r>
              <w:rPr>
                <w:b/>
                <w:bCs/>
              </w:rPr>
              <w:t xml:space="preserve">Aspirational / long-horizon:  </w:t>
            </w:r>
            <w:r>
              <w:t xml:space="preserve">Operational quantum co-processing at sovereign governance scale.</w:t>
            </w:r>
          </w:p>
        </w:tc>
      </w:tr>
    </w:tbl>
    <w:p>
      <w:pPr>
        <w:spacing w:after="160" w:line="276"/>
        <w:jc w:val="left"/>
      </w:pPr>
      <w:r>
        <w:rPr>
          <w:i/>
          <w:iCs/>
        </w:rPr>
        <w:t xml:space="preserve">Canonical source: </w:t>
      </w:r>
      <w:r>
        <w:t xml:space="preserve">e-17, UDOC HQ-OS Quantum Whitepaper.</w:t>
      </w:r>
    </w:p>
    <w:p>
      <w:pPr>
        <w:spacing w:after="60" w:before="200"/>
      </w:pPr>
      <w:r>
        <w:rPr>
          <w:b/>
          <w:bCs/>
          <w:color w:val="8C7330"/>
          <w:sz w:val="22"/>
          <w:szCs w:val="22"/>
        </w:rPr>
        <w:t xml:space="preserve">PART VII</w:t>
      </w:r>
    </w:p>
    <w:p>
      <w:pPr>
        <w:spacing w:after="300"/>
      </w:pPr>
      <w:r>
        <w:rPr>
          <w:b/>
          <w:bCs/>
          <w:color w:val="16233A"/>
          <w:sz w:val="26"/>
          <w:szCs w:val="26"/>
        </w:rPr>
        <w:t xml:space="preserve">CANONICALIZATION NOTES</w:t>
      </w:r>
    </w:p>
    <w:p>
      <w:pPr>
        <w:spacing w:after="160" w:line="276"/>
        <w:jc w:val="left"/>
      </w:pPr>
      <w:r>
        <w:t xml:space="preserve">Every naming or definitional conflict this canon resolved is consolidated here in one place, so the founder can review every decision at a glance rather than hunting through individual entries. Each row states what was found, what was decided, and why — nothing in this table was picked silently.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200"/>
        <w:gridCol w:w="3000"/>
        <w:gridCol w:w="1160"/>
      </w:tblGrid>
      <w:tr>
        <w:trPr>
          <w:tblHeader/>
        </w:trPr>
        <w:tc>
          <w:tcPr>
            <w:tcW w:type="dxa" w:w="1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Term</w:t>
            </w:r>
          </w:p>
        </w:tc>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Variants Found</w:t>
            </w:r>
          </w:p>
        </w:tc>
        <w:tc>
          <w:tcPr>
            <w:tcW w:type="dxa" w:w="3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Canonical Decision</w:t>
            </w:r>
          </w:p>
        </w:tc>
        <w:tc>
          <w:tcPr>
            <w:tcW w:type="dxa" w:w="1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Confidence</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S.E.T.H.S. acronym</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"...Transfer of Human Systems" (v1.0/v2.0) · "...To Hinder Speculators" (MOI Blueprint, live site) · "Skills, Employment, Training, Human Systems" (Programme Spec)</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"...Transfer of Human Systems" — most recent sources, structurally load-bearing (Transfer = the CET loop's third verb)</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Recommended, pending founder confirmation — a legal-form document and the live site still use a different variant</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 vs. EVA</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Some earlier material used "GIS" loosely for AI concepts generally; EVA predates GIS as a named engine</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 supersedes EVA as the institution-facing layer; EVA's scoring remains a GIS input via UDOC</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Settled — already implemented in the live codebase and verified by test</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T.S. Industries naming</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"Transition Systems" (earlier, March-2026-era) · "The Technological Sector" (current)</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Technological Sector" — explained rationale exists, live-site-confirmed, most recent</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Settled</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EVA outcome set</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 outcomes incl. REVIEW (EVA Whitepaper) · 4 outcomes incl. RESTRICT, not REVIEW (Pitch Deck v9.3)</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 outcomes (APPROVE/REVIEW/RESTRICT/ESCALATE/BLOCK) — the live platform's actual implementation, a superset of both whitepapers</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Settled against the live system; the two whitepapers' inconsistency with each other is worth reconciling in their next revision</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EVA composite formula</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Simple average with Risk/Impact inverted, 0-10 scale (EVA Whitepaper) · Weighted sum, Σ(w×dim) (Pitch Deck v9.3)</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Weighted sum adopted as primary (more recent, more expressive); the Whitepaper's fully worked threshold bands are reproduced alongside it since the Pitch Deck doesn't restate them</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Recommended — both formulas score the same six dimensions, so this may be a documentation-drift issue rather than two genuinely different engines; worth confirming with whoever last touched the scoring code</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SVS</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Used for an infrastructure-sovereignty check (min of BGP/Traceroute/DNSSEC/Storage) in one part of the source deck, and for the EVA composite score formula in another part of the same deck</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Both usages presented as found; not merged into one meaning, since the source material itself does not merge them</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Unresolved — flagged for the founder to confirm whether these are one term with two applications or two terms that happen to share an acronym</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FPGA opcode set</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This project's own prior working memory listed G_RELEASE/G_MESH/G_ZKP/G_POLICY/G_ECON among ten opcodes</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nine-opcode, patent-claim-referenced set in the verified source deck (Part VI, Entry 38) — the memory list does not appear in any source document found</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Settled against verified source; the discrepancy with prior memory is recorded, not silently overwritten</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MFCM / AEEF full names</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Referenced by acronym throughout the technical corpus; full expansion not located</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Presented as function only — not invented</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Open — needs the founder or original technical author to supply the expansion if one exists</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SA AI policy reference</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"NAIFP" (Aug 2024, foundational) vs. Draft AI Policy / Gazette 54477 (Apr 2026, withdrawn 26 Apr 2026)</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Both are real and distinct; NAIFP still stands, GG54477 does not — citing NAIFP specifically (not GG54477) in UDOC materials remains accurate</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Settled, independently verified via web search</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Twelve Pillars VII &amp; IX</w:t>
            </w:r>
          </w:p>
        </w:tc>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"Anti-Capture" and "Equity of Access" (a-15, March 2026) vs. "Founder Constraint" and "Reintegration" (Constitutional Governance Charter, Oversight Board Charter, GBS-SETHS v2.0)</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narrower, later, more mechanically specific pair (Founder Constraint, Reintegration), read as a refinement rather than a contradiction of the broader March-2026 statement</w:t>
            </w:r>
          </w:p>
        </w:tc>
        <w:tc>
          <w:tcPr>
            <w:tcW w:type="dxa" w:w="1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Recommended, pending founder confirmation — this is a substantive scope difference, not just a naming one</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GBS's place in the timeline</w:t>
            </w:r>
          </w:p>
        </w:tc>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Absent from the March-2026-and-earlier constitutional/technical corpus</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is the newer (July 2026) unifying layer, honestly presented as such, not retrofitted into the institution's founding narrative</w:t>
            </w:r>
          </w:p>
        </w:tc>
        <w:tc>
          <w:tcPr>
            <w:tcW w:type="dxa" w:w="1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Settled — stated plainly in Part I, Entry 2</w:t>
            </w:r>
          </w:p>
        </w:tc>
      </w:tr>
    </w:tbl>
    <w:p>
      <w:pPr>
        <w:spacing w:after="60" w:before="200"/>
      </w:pPr>
      <w:r>
        <w:rPr>
          <w:b/>
          <w:bCs/>
          <w:color w:val="8C7330"/>
          <w:sz w:val="22"/>
          <w:szCs w:val="22"/>
        </w:rPr>
        <w:t xml:space="preserve">PART VIII</w:t>
      </w:r>
    </w:p>
    <w:p>
      <w:pPr>
        <w:spacing w:after="300"/>
      </w:pPr>
      <w:r>
        <w:rPr>
          <w:b/>
          <w:bCs/>
          <w:color w:val="16233A"/>
          <w:sz w:val="26"/>
          <w:szCs w:val="26"/>
        </w:rPr>
        <w:t xml:space="preserve">MASTER ALPHABETICAL GLOSSARY</w:t>
      </w:r>
    </w:p>
    <w:p>
      <w:pPr>
        <w:spacing w:after="160" w:line="276"/>
        <w:jc w:val="left"/>
      </w:pPr>
      <w:r>
        <w:t xml:space="preserve">Supporting terms referenced throughout this canon and the wider document set, in one scannable A–Z reference. Terms with a full entry elsewhere in this canon are cross-referenced rather than repeated.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160"/>
      </w:tblGrid>
      <w:tr>
        <w:trPr>
          <w:tblHeader/>
        </w:trPr>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Term</w:t>
            </w:r>
          </w:p>
        </w:tc>
        <w:tc>
          <w:tcPr>
            <w:tcW w:type="dxa" w:w="7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Definition</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AfDB</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African Development Bank — a named priority DFI counterparty for M.A.D.I.B.A. (Entry 15).</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B-BBEE</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Broad-Based Black Economic Empowerment — the South African transformation framework the Absorption Commitment Clause (Entry 25) is built to keep genuinely, not just technically, compliant with.</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Cassandra (WORM nodes)</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classical write-once-read-many database cluster StayChain™ (Entry 37) runs alongside as its dual storage path.</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CIPC</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Companies and Intellectual Property Commission — the South African body G.O.D.S Holdings (Pty) Ltd registers with.</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CRYSTALS-Dilithium</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post-quantum digital signature algorithm (FIPS 204) StayChain™ uses to sign every audit record.</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CRYSTALS-Kyber</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post-quantum key-encapsulation algorithm (FIPS 203) used for secure key exchange in UDOC's Phase 2+ cryptographic roadmap.</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DBSA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Development Bank of Southern Africa — a named DFI counterparty; also the source of Ifisa, a blended-finance instrument referenced in the T.S. Industries funding landscape.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DFI</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Development Finance Institution — the category of capital partner (DBSA, IDC, AfDB, IFC, PIC) M.A.D.I.B.A. is built to engage.</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DUO (ontology)</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data-lineage ontology tagging scheme applied to every StayChain™ record alongside PROV-ML.</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EPWP</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Expanded Public Works Programme — a South African government funding mechanism relevant to S.E.T.H.S.'s outcomes-based revenue model.</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EU AI Act</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European Union's AI regulation — one of the three frameworks MFCM's compliance scoring checks against (Entry 39).</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FIPS</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Federal Information Processing Standards — the U.S. cryptographic standards series (140-3, 203, 204, 205) UDOC's cryptography aligns to.</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GG54477</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Government Gazette number for South Africa's Draft National AI Policy, published for public comment 8 April 2026 and withdrawn by the Minister of Communications and Digital Technologies on 26 April 2026 after fabricated academic citations were found in the draft. Distinct from NAIFP (above), which remains standing. Any G.O.D.S. material still citing GG54477 as an active framework needs updating.</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HITL</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Human-in-the-Loop — the general term for mandatory human review points in an otherwise automated pipeline; the specific architectural expression of Constitutional Pillar VIII.</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HRIA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Rights Impact Assessment — a governance instrument referenced in the wider UDOC compliance architecture.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HSM</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Hardware Security Module — physical key-custody hardware, specified at FIPS 140-3 Level 3 with 2-of-3 key-split custody.</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IDC</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Industrial Development Corporation — a named DFI counterparty for M.A.D.I.B.A. and a funding source referenced in the T.S. Industries landscape.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IFC</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International Finance Corporation (World Bank Group) — a named DFI counterparty.</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Ifisa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DBSA blended-finance instrument relevant to T.S. Industries' infrastructure funding landscape.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ISO/IEC 42001</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international AI management-system standard StayChain™ and UDOC's compliance posture align to.</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MOI</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Memorandum of Incorporation — the South African company-constitution document; G.O.D.S Holdings' MOI is architecturally specified (a-02) but not yet professionally drafted and filed.</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NAIFP</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South Africa's National AI Policy Framework, published August 2024 — a real, standing, foundational government document, distinct from and prior to the Draft AI Policy (Government Gazette 54477) that was published in April 2026 and withdrawn later that same month. See Part VII.</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NIST AI RMF</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U.S. National Institute of Standards and Technology's AI Risk Management Framework — another of the frameworks UDOC's compliance layer references.</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NQF</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Qualifications Framework — the South African qualifications-levels system S.E.T.H.S. certification tiers map to.</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PIC</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Public Investment Corporation — Africa's largest asset manager; published independent April 2026 research on TVET-as-investable-infrastructure that closely validates the S.E.T.H.S./M.A.D.I.B.A. thesis without referencing G.O.D.S. directly.</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POPIA</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Protection of Personal Information Act 4 of 2013 — South Africa's data-protection law; the operative legal framework for every participant, employer, and franchise data flow in the ecosystem.</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PQC</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Post-Quantum Cryptography — the cryptographic family (CRYSTALS-Kyber, CRYSTALS-Dilithium, SPHINCS+) UDOC is migrating toward.</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PROV-ML</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 machine-learning data-provenance standard applied to StayChain™ records alongside DUO ontology tagging.</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REIPPP</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Renewable Energy Independent Power Producer Procurement Programme — the South African programme T.S. Energy's SPV structure is designed to be compatible with.</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RPL</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Recognition of Prior Learning — the SAQA policy mechanism underlying the dual-track accreditation strategy (register under existing unit standards now; petition for GBS-SETHS-specific standards once outcome data exists).</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SAQA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South African Qualifications Authority — the national qualifications and accreditation body. Note: SAQA 118707 NQF5 is the founder's own personal Software Developer learnership qualification, never a S.E.T.H.S. programme accreditation — a distinction this canon and the wider document set are careful to maintain.</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Series A Triggers</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four conditions M.A.D.I.B.A.'s capital-raise sequencing is built around: 100+ verified S.E.T.H.S. placements, 3+ paying UDOC clients, a signed government Letter of Intent, and T.S. Industries' first project operational. Tracked against real transactional data plus one manually-recorded milestone (the government LOI, which has no natural transactional trace).</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SETA</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Sector Education and Training Authority — a South African outcomes-based funding source for S.E.T.H.S.</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SPHINCS+</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stateless, hash-based post-quantum signature algorithm (FIPS 205) used for long-term archive signing in StayChain™.</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SPV (Special Purpose Vehicle)</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separate legal entity created for a single T.S. Industries project above R50 million, co-owned by T.S. Industries, M.A.D.I.B.A.'s Infrastructure Fund, and any project-specific co-investors — standard South African infrastructure-finance practice.</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Trust Property Control Act 57 of 1988</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South African legislation under which the G.O.D.S. IP Trust (Entry 11) is established.</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TVET</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Technical and Vocational Education and Training — the South African college sector the Public Investment Corporation's April 2026 research proposed transforming into investable infrastructure, closely validating the S.E.T.H.S./M.A.D.I.B.A. model.</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r>
              <w:rPr>
                <w:b/>
                <w:bCs/>
              </w:rPr>
              <w:t xml:space="preserve">Valiant Algorithm</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EVA's own term for an AI system claiming to serve the public good, deliver efficiency, or advance socioeconomic objectives — EVA's function is to validate that specific claim against six measured dimensions, not to take it on faith.</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r>
              <w:rPr>
                <w:b/>
                <w:bCs/>
              </w:rPr>
              <w:t xml:space="preserve">WORM</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Write-Once-Read-Many — the storage property both Cassandra and StayChain™ implement, guaranteeing an audit record cannot be altered after it is written.</w:t>
            </w:r>
          </w:p>
        </w:tc>
      </w:tr>
    </w:tbl>
    <w:p>
      <w:pPr>
        <w:pStyle w:val="Heading1"/>
      </w:pPr>
      <w:r>
        <w:t xml:space="preserve">Closing — Using This Canon</w:t>
      </w:r>
    </w:p>
    <w:p>
      <w:pPr>
        <w:spacing w:after="160" w:line="276"/>
        <w:jc w:val="left"/>
      </w:pPr>
      <w:r>
        <w:t xml:space="preserve">This canon is a reference, not a replacement for the documents it draws from — every entry points back to its source, and the eleven-document Institutional Readiness Package, the GBS-SETHS Framework, and the constitutional and technical whitepapers remain the fuller treatment of anything summarised here. Where this canon and an older document disagree, this canon governs going forward, per the resolutions in Part VII — but the disagreement itself, and the reasoning that resolved it, stays visible rather than disappearing.</w:t>
      </w:r>
    </w:p>
    <w:p>
      <w:pPr>
        <w:spacing w:after="160" w:line="276"/>
        <w:jc w:val="left"/>
      </w:pPr>
      <w:r>
        <w:t xml:space="preserve">New terms, new divisions, and new technology layers will be added to this canon as the ecosystem grows. The discipline that produced Version 1.0 — state every variant, prefer the most recent and most internally consistent, and never pick silently — is the discipline every future version should keep.</w:t>
      </w:r>
    </w:p>
    <w:p>
      <w:pPr>
        <w:pBdr>
          <w:bottom w:val="single" w:color="C9A84C" w:sz="6"/>
        </w:pBdr>
        <w:spacing w:after="120" w:before="120"/>
      </w:pPr>
    </w:p>
    <w:p>
      <w:pPr>
        <w:spacing w:after="40" w:before="200"/>
        <w:jc w:val="center"/>
      </w:pPr>
      <w:r>
        <w:rPr>
          <w:color w:val="5B6472"/>
          <w:sz w:val="18"/>
          <w:szCs w:val="18"/>
        </w:rPr>
        <w:t xml:space="preserve">The G.O.D.S. Canon — Version 1.0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INSTITUTIONAL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The G.O.D.S. Canon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a4c73797d46242458471520b4e91d03f0e6de48f.png"/><Relationship Id="rId10" Type="http://schemas.openxmlformats.org/officeDocument/2006/relationships/image" Target="media/fb6e897cffe662644769c113e7ae23c9d1114aa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2026-07-17T04:29:47.634Z</dcterms:created>
  <dcterms:modified xsi:type="dcterms:W3CDTF">2026-07-17T04:29:47.647Z</dcterms:modified>
</cp:coreProperties>
</file>

<file path=docProps/custom.xml><?xml version="1.0" encoding="utf-8"?>
<Properties xmlns="http://schemas.openxmlformats.org/officeDocument/2006/custom-properties" xmlns:vt="http://schemas.openxmlformats.org/officeDocument/2006/docPropsVTypes"/>
</file>